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E7E38" w:rsidTr="0010095E">
        <w:trPr>
          <w:trHeight w:hRule="exact" w:val="1418"/>
        </w:trPr>
        <w:tc>
          <w:tcPr>
            <w:tcW w:w="6804" w:type="dxa"/>
            <w:shd w:val="clear" w:color="auto" w:fill="auto"/>
            <w:vAlign w:val="center"/>
          </w:tcPr>
          <w:p w:rsidR="00751A4A" w:rsidRPr="00AE7E38" w:rsidRDefault="007D2371" w:rsidP="0010095E">
            <w:pPr>
              <w:pStyle w:val="EPName"/>
            </w:pPr>
            <w:r w:rsidRPr="00AE7E38">
              <w:t>Europski parlament</w:t>
            </w:r>
          </w:p>
          <w:p w:rsidR="00751A4A" w:rsidRPr="00AE7E38" w:rsidRDefault="00817416" w:rsidP="00756632">
            <w:pPr>
              <w:pStyle w:val="EPTerm"/>
              <w:rPr>
                <w:rStyle w:val="HideTWBExt"/>
                <w:noProof w:val="0"/>
                <w:vanish w:val="0"/>
                <w:color w:val="auto"/>
              </w:rPr>
            </w:pPr>
            <w:r w:rsidRPr="00AE7E38">
              <w:t>2019-2024</w:t>
            </w:r>
          </w:p>
        </w:tc>
        <w:tc>
          <w:tcPr>
            <w:tcW w:w="2268" w:type="dxa"/>
            <w:shd w:val="clear" w:color="auto" w:fill="auto"/>
          </w:tcPr>
          <w:p w:rsidR="00751A4A" w:rsidRPr="00AE7E38" w:rsidRDefault="00187494" w:rsidP="0010095E">
            <w:pPr>
              <w:pStyle w:val="EPLogo"/>
            </w:pPr>
            <w:r w:rsidRPr="00AE7E38">
              <w:rPr>
                <w:noProof/>
                <w:lang w:val="en-GB" w:eastAsia="zh-CN"/>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E7E38" w:rsidRDefault="00D058B8" w:rsidP="004C5D52">
      <w:pPr>
        <w:pStyle w:val="LineTop"/>
      </w:pPr>
    </w:p>
    <w:p w:rsidR="00680577" w:rsidRPr="00AE7E38" w:rsidRDefault="007D2371" w:rsidP="00680577">
      <w:pPr>
        <w:pStyle w:val="EPBodyTA1"/>
      </w:pPr>
      <w:r w:rsidRPr="00AE7E38">
        <w:t>USVOJENI TEKSTOVI</w:t>
      </w:r>
    </w:p>
    <w:p w:rsidR="00D058B8" w:rsidRPr="00AE7E38" w:rsidRDefault="00D058B8" w:rsidP="00D058B8">
      <w:pPr>
        <w:pStyle w:val="LineBottom"/>
      </w:pPr>
    </w:p>
    <w:p w:rsidR="007D2371" w:rsidRPr="00AE7E38" w:rsidRDefault="007D2371" w:rsidP="007D2371">
      <w:pPr>
        <w:pStyle w:val="ATHeading1"/>
      </w:pPr>
      <w:bookmarkStart w:id="0" w:name="TANumber"/>
      <w:r w:rsidRPr="00AE7E38">
        <w:t>P9_TA(2024)0</w:t>
      </w:r>
      <w:r w:rsidR="00862670">
        <w:t>266</w:t>
      </w:r>
      <w:bookmarkEnd w:id="0"/>
    </w:p>
    <w:p w:rsidR="007D2371" w:rsidRPr="00AE7E38" w:rsidRDefault="007D2371" w:rsidP="007D2371">
      <w:pPr>
        <w:pStyle w:val="ATHeading2"/>
      </w:pPr>
      <w:bookmarkStart w:id="1" w:name="title"/>
      <w:r w:rsidRPr="00AE7E38">
        <w:t>Razrješnica za 2022.: Agencija za potporu BEREC-u (Ured BEREC-a)</w:t>
      </w:r>
      <w:bookmarkEnd w:id="1"/>
    </w:p>
    <w:p w:rsidR="007D2371" w:rsidRPr="00AE7E38" w:rsidRDefault="007D2371" w:rsidP="007D2371">
      <w:pPr>
        <w:rPr>
          <w:i/>
          <w:vanish/>
        </w:rPr>
      </w:pPr>
      <w:r w:rsidRPr="00AE7E38">
        <w:rPr>
          <w:i/>
        </w:rPr>
        <w:fldChar w:fldCharType="begin"/>
      </w:r>
      <w:r w:rsidRPr="00AE7E38">
        <w:rPr>
          <w:i/>
        </w:rPr>
        <w:instrText xml:space="preserve"> TC"(</w:instrText>
      </w:r>
      <w:bookmarkStart w:id="2" w:name="DocNumber"/>
      <w:r w:rsidRPr="00AE7E38">
        <w:rPr>
          <w:i/>
        </w:rPr>
        <w:instrText>A9-0123/2024</w:instrText>
      </w:r>
      <w:bookmarkEnd w:id="2"/>
      <w:r w:rsidRPr="00AE7E38">
        <w:rPr>
          <w:i/>
        </w:rPr>
        <w:instrText xml:space="preserve"> - Izvjestitelj: Petri </w:instrText>
      </w:r>
      <w:proofErr w:type="spellStart"/>
      <w:r w:rsidRPr="00AE7E38">
        <w:rPr>
          <w:i/>
        </w:rPr>
        <w:instrText>Sarvamaa</w:instrText>
      </w:r>
      <w:proofErr w:type="spellEnd"/>
      <w:r w:rsidRPr="00AE7E38">
        <w:rPr>
          <w:i/>
        </w:rPr>
        <w:instrText xml:space="preserve">)"\l3 \n&gt; \* MERGEFORMAT </w:instrText>
      </w:r>
      <w:r w:rsidRPr="00AE7E38">
        <w:rPr>
          <w:i/>
        </w:rPr>
        <w:fldChar w:fldCharType="end"/>
      </w:r>
    </w:p>
    <w:p w:rsidR="007D2371" w:rsidRPr="00AE7E38" w:rsidRDefault="007D2371" w:rsidP="007D2371">
      <w:pPr>
        <w:rPr>
          <w:vanish/>
        </w:rPr>
      </w:pPr>
      <w:bookmarkStart w:id="3" w:name="Commission"/>
      <w:r w:rsidRPr="00AE7E38">
        <w:rPr>
          <w:vanish/>
        </w:rPr>
        <w:t>Odbor za proračunski nadzor</w:t>
      </w:r>
      <w:bookmarkEnd w:id="3"/>
    </w:p>
    <w:p w:rsidR="007D2371" w:rsidRPr="00AE7E38" w:rsidRDefault="007D2371" w:rsidP="007D2371">
      <w:pPr>
        <w:rPr>
          <w:vanish/>
        </w:rPr>
      </w:pPr>
      <w:bookmarkStart w:id="4" w:name="PE"/>
      <w:r w:rsidRPr="00AE7E38">
        <w:rPr>
          <w:vanish/>
        </w:rPr>
        <w:t>PE753.507</w:t>
      </w:r>
      <w:bookmarkEnd w:id="4"/>
    </w:p>
    <w:p w:rsidR="007D2371" w:rsidRPr="00AE7E38" w:rsidRDefault="00AE7E38" w:rsidP="007D2371">
      <w:pPr>
        <w:pStyle w:val="ATHeading3"/>
      </w:pPr>
      <w:bookmarkStart w:id="5" w:name="Sujet"/>
      <w:r>
        <w:t xml:space="preserve">1. </w:t>
      </w:r>
      <w:r w:rsidR="007D2371" w:rsidRPr="00AE7E38">
        <w:t>Od</w:t>
      </w:r>
      <w:r>
        <w:t>luka Europskog parlamenta od 11</w:t>
      </w:r>
      <w:r w:rsidR="007D2371" w:rsidRPr="00AE7E38">
        <w:t xml:space="preserve">. </w:t>
      </w:r>
      <w:r>
        <w:t xml:space="preserve">travnja </w:t>
      </w:r>
      <w:r w:rsidR="007D2371" w:rsidRPr="00AE7E38">
        <w:t>2024. o razrješnici za izvršenje proračuna Agencije za potporu BEREC-u (Ured BEREC-a) za financijsku godinu 2022.</w:t>
      </w:r>
      <w:bookmarkEnd w:id="5"/>
      <w:r w:rsidR="007D2371" w:rsidRPr="00AE7E38">
        <w:t xml:space="preserve"> </w:t>
      </w:r>
      <w:bookmarkStart w:id="6" w:name="References"/>
      <w:r w:rsidR="007D2371" w:rsidRPr="00AE7E38">
        <w:t>(2023/2141(DEC))</w:t>
      </w:r>
      <w:bookmarkEnd w:id="6"/>
    </w:p>
    <w:p w:rsidR="00C04CF8" w:rsidRPr="00AE7E38" w:rsidRDefault="00C04CF8" w:rsidP="00C04CF8">
      <w:pPr>
        <w:pStyle w:val="EPComma"/>
      </w:pPr>
      <w:bookmarkStart w:id="7" w:name="TextBodyBegin"/>
      <w:bookmarkEnd w:id="7"/>
      <w:r w:rsidRPr="00AE7E38">
        <w:rPr>
          <w:i/>
        </w:rPr>
        <w:t>Europski parlament</w:t>
      </w:r>
      <w:r w:rsidRPr="00AE7E38">
        <w:t>,</w:t>
      </w:r>
    </w:p>
    <w:p w:rsidR="00C04CF8" w:rsidRPr="00AE7E38" w:rsidRDefault="00C04CF8" w:rsidP="00C04CF8">
      <w:pPr>
        <w:pStyle w:val="NormalHanging12a"/>
      </w:pPr>
      <w:r w:rsidRPr="00AE7E38">
        <w:t>–</w:t>
      </w:r>
      <w:r w:rsidRPr="00AE7E38">
        <w:tab/>
        <w:t>uzimajući u obzir završnu godišnju računovodstvenu dokumentaciju Agencije za potporu BEREC-u (Ured BEREC-a) za financijsku godinu 2022.,</w:t>
      </w:r>
    </w:p>
    <w:p w:rsidR="00C04CF8" w:rsidRPr="00AE7E38" w:rsidRDefault="00C04CF8" w:rsidP="00C04CF8">
      <w:pPr>
        <w:pStyle w:val="NormalHanging12a"/>
      </w:pPr>
      <w:r w:rsidRPr="00AE7E38">
        <w:t>–</w:t>
      </w:r>
      <w:r w:rsidRPr="00AE7E38">
        <w:tab/>
        <w:t>uzimajući u obzir godišnje izvješće Revizorskog suda o agencijama EU-a za financijsku godinu 2022., kojemu su priloženi odgovori agencija</w:t>
      </w:r>
      <w:r w:rsidRPr="00AE7E38">
        <w:rPr>
          <w:rStyle w:val="FootnoteReference"/>
        </w:rPr>
        <w:footnoteReference w:id="1"/>
      </w:r>
      <w:r w:rsidRPr="00AE7E38">
        <w:t>,</w:t>
      </w:r>
    </w:p>
    <w:p w:rsidR="00C04CF8" w:rsidRPr="00AE7E38" w:rsidRDefault="00C04CF8" w:rsidP="00C04CF8">
      <w:pPr>
        <w:pStyle w:val="NormalHanging12a"/>
      </w:pPr>
      <w:r w:rsidRPr="00AE7E38">
        <w:t>–</w:t>
      </w:r>
      <w:r w:rsidRPr="00AE7E38">
        <w:tab/>
        <w:t>uzimajući u obzir izjavu o jamstvu</w:t>
      </w:r>
      <w:r w:rsidRPr="00AE7E38">
        <w:rPr>
          <w:rStyle w:val="FootnoteReference"/>
        </w:rPr>
        <w:footnoteReference w:id="2"/>
      </w:r>
      <w:r w:rsidRPr="00AE7E38">
        <w:t xml:space="preserve"> u pogledu pouzdanosti računovodstvene dokumentacije te zakonitosti i pravilnosti temeljnih transakcija koju je u skladu s člankom 287. Ugovora o funkcioniranju Europske unije Revizorski sud podnio za financijsku godinu 2022.,</w:t>
      </w:r>
    </w:p>
    <w:p w:rsidR="00C04CF8" w:rsidRPr="00AE7E38" w:rsidRDefault="00C04CF8" w:rsidP="00C04CF8">
      <w:pPr>
        <w:pStyle w:val="NormalHanging12a"/>
      </w:pPr>
      <w:r w:rsidRPr="00AE7E38">
        <w:t>–</w:t>
      </w:r>
      <w:r w:rsidRPr="00AE7E38">
        <w:tab/>
        <w:t>uzimajući u obzir preporuku Vijeća od 22. veljače 2024. o razrješnici koju Agencija treba dobiti za izvršenje proračuna za financijsku godinu 2022. (0</w:t>
      </w:r>
      <w:r w:rsidR="00CB5EC1">
        <w:t>618</w:t>
      </w:r>
      <w:r w:rsidRPr="00AE7E38">
        <w:t>0/2024 – C9</w:t>
      </w:r>
      <w:r w:rsidRPr="00AE7E38">
        <w:noBreakHyphen/>
        <w:t>00</w:t>
      </w:r>
      <w:r w:rsidR="00CB5EC1">
        <w:t>79</w:t>
      </w:r>
      <w:r w:rsidRPr="00AE7E38">
        <w:t>/2024),</w:t>
      </w:r>
    </w:p>
    <w:p w:rsidR="00C04CF8" w:rsidRPr="00AE7E38" w:rsidRDefault="00C04CF8" w:rsidP="00C04CF8">
      <w:pPr>
        <w:pStyle w:val="NormalHanging12a"/>
      </w:pPr>
      <w:r w:rsidRPr="00AE7E38">
        <w:t>–</w:t>
      </w:r>
      <w:r w:rsidRPr="00AE7E38">
        <w:tab/>
        <w:t>uzimajući u obzir članak 319. Ugovora o funkcioniranju Europske unije,</w:t>
      </w:r>
    </w:p>
    <w:p w:rsidR="00C04CF8" w:rsidRPr="00AE7E38" w:rsidRDefault="00C04CF8" w:rsidP="00C04CF8">
      <w:pPr>
        <w:pStyle w:val="NormalHanging12a"/>
      </w:pPr>
      <w:r w:rsidRPr="00AE7E38">
        <w:t>–</w:t>
      </w:r>
      <w:r w:rsidRPr="00AE7E38">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E7E38">
        <w:rPr>
          <w:rStyle w:val="FootnoteReference"/>
        </w:rPr>
        <w:footnoteReference w:id="3"/>
      </w:r>
      <w:r w:rsidRPr="00AE7E38">
        <w:t>, a posebno njezin članak 70.,</w:t>
      </w:r>
    </w:p>
    <w:p w:rsidR="00C04CF8" w:rsidRPr="00AE7E38" w:rsidRDefault="00C04CF8" w:rsidP="00C04CF8">
      <w:pPr>
        <w:pStyle w:val="NormalHanging12a"/>
      </w:pPr>
      <w:r w:rsidRPr="00AE7E38">
        <w:t>–</w:t>
      </w:r>
      <w:r w:rsidRPr="00AE7E38">
        <w:tab/>
        <w:t xml:space="preserve">uzimajući u obzir Uredbu (EU) 2018/1971 Europskog parlamenta i Vijeća od 11. prosinca 2018. o osnivanju Tijela europskih regulatora za elektroničke komunikacije </w:t>
      </w:r>
      <w:r w:rsidRPr="00AE7E38">
        <w:lastRenderedPageBreak/>
        <w:t>(BEREC) i Agencije za potporu BEREC-u (Ured BEREC-a), izmjeni Uredbe (EU) 2015/2120 i stavljanju izvan snage Uredbe (EZ) br. 1211/2009</w:t>
      </w:r>
      <w:r w:rsidRPr="00AE7E38">
        <w:rPr>
          <w:rStyle w:val="FootnoteReference"/>
        </w:rPr>
        <w:footnoteReference w:id="4"/>
      </w:r>
      <w:r w:rsidRPr="00AE7E38">
        <w:t>, a posebno njezin članak 28.,</w:t>
      </w:r>
    </w:p>
    <w:p w:rsidR="00C04CF8" w:rsidRPr="00AE7E38" w:rsidRDefault="00C04CF8" w:rsidP="00C04CF8">
      <w:pPr>
        <w:pStyle w:val="NormalHanging12a"/>
      </w:pPr>
      <w:r w:rsidRPr="00AE7E38">
        <w:t>–</w:t>
      </w:r>
      <w:r w:rsidRPr="00AE7E38">
        <w:tab/>
        <w:t xml:space="preserve">uzimajući u obzir Delegiranu uredbu Komisije (EU) 2019/715 od 18. prosinca 2018. o okvirnoj financijskoj uredbi za tijela osnovana na temelju Ugovora o funkcioniranju Europske unije i Ugovora o </w:t>
      </w:r>
      <w:proofErr w:type="spellStart"/>
      <w:r w:rsidRPr="00AE7E38">
        <w:t>Euratomu</w:t>
      </w:r>
      <w:proofErr w:type="spellEnd"/>
      <w:r w:rsidRPr="00AE7E38">
        <w:t xml:space="preserve"> na koja se upućuje u članku 70. Uredbe (EU, Euratom) 2018/1046 Europskog parlamenta i Vijeća</w:t>
      </w:r>
      <w:r w:rsidRPr="00AE7E38">
        <w:rPr>
          <w:rStyle w:val="FootnoteReference"/>
        </w:rPr>
        <w:footnoteReference w:id="5"/>
      </w:r>
      <w:r w:rsidRPr="00AE7E38">
        <w:t>, a posebno njezin članak 105.,</w:t>
      </w:r>
    </w:p>
    <w:p w:rsidR="00C04CF8" w:rsidRPr="00AE7E38" w:rsidRDefault="00C04CF8" w:rsidP="00C04CF8">
      <w:pPr>
        <w:pStyle w:val="NormalHanging12a"/>
      </w:pPr>
      <w:r w:rsidRPr="00AE7E38">
        <w:t>–</w:t>
      </w:r>
      <w:r w:rsidRPr="00AE7E38">
        <w:tab/>
        <w:t>uzimajući u obzir članak 100. Poslovnika i Prilog V. Poslovniku,</w:t>
      </w:r>
    </w:p>
    <w:p w:rsidR="00C04CF8" w:rsidRPr="00AE7E38" w:rsidRDefault="00C04CF8" w:rsidP="00C04CF8">
      <w:pPr>
        <w:pStyle w:val="NormalHanging12a"/>
      </w:pPr>
      <w:r w:rsidRPr="00AE7E38">
        <w:t>–</w:t>
      </w:r>
      <w:r w:rsidRPr="00AE7E38">
        <w:tab/>
        <w:t>uzimajući u obzir izvješće Odbora za proračunski nadzor (A9</w:t>
      </w:r>
      <w:r w:rsidRPr="00AE7E38">
        <w:noBreakHyphen/>
        <w:t>0123/2024),</w:t>
      </w:r>
    </w:p>
    <w:p w:rsidR="00C04CF8" w:rsidRPr="00AE7E38" w:rsidRDefault="00C04CF8" w:rsidP="00C04CF8">
      <w:pPr>
        <w:pStyle w:val="NormalHanging12a"/>
      </w:pPr>
      <w:r w:rsidRPr="00AE7E38">
        <w:t>1.</w:t>
      </w:r>
      <w:r w:rsidRPr="00AE7E38">
        <w:tab/>
        <w:t>daje razrješnicu direktoru Agencije za potporu BEREC-u (Ured BEREC-a) za izvršenje proračuna Agencije za financijsku godinu 2022.;</w:t>
      </w:r>
    </w:p>
    <w:p w:rsidR="00C04CF8" w:rsidRPr="00AE7E38" w:rsidRDefault="00C04CF8" w:rsidP="00C04CF8">
      <w:pPr>
        <w:pStyle w:val="NormalHanging12a"/>
      </w:pPr>
      <w:r w:rsidRPr="00AE7E38">
        <w:t>2.</w:t>
      </w:r>
      <w:r w:rsidRPr="00AE7E38">
        <w:tab/>
        <w:t>iznosi svoje primjedbe u Rezoluciji u nastavku;</w:t>
      </w:r>
    </w:p>
    <w:p w:rsidR="00C04CF8" w:rsidRPr="00AE7E38" w:rsidRDefault="000705B2" w:rsidP="00C04CF8">
      <w:pPr>
        <w:pStyle w:val="NormalHanging12a"/>
      </w:pPr>
      <w:r>
        <w:t>3.</w:t>
      </w:r>
      <w:r>
        <w:tab/>
        <w:t>nalaže svojoj predsjednici</w:t>
      </w:r>
      <w:r w:rsidR="00C04CF8" w:rsidRPr="00AE7E38">
        <w:t xml:space="preserve"> da ovu Odluku i Rezoluciju, koja je njezin sastavni dio, proslijedi direktoru Agencije za potporu BEREC-u (Ured BEREC-a), Vijeću, Komisiji i Revizorskom sudu te da ih da na objavu u </w:t>
      </w:r>
      <w:r w:rsidR="00C04CF8" w:rsidRPr="00AE7E38">
        <w:rPr>
          <w:i/>
        </w:rPr>
        <w:t>Službenom listu Europske unije</w:t>
      </w:r>
      <w:r w:rsidR="00C04CF8" w:rsidRPr="00AE7E38">
        <w:t xml:space="preserve"> (serija L).</w:t>
      </w:r>
    </w:p>
    <w:p w:rsidR="00C04CF8" w:rsidRPr="00AE7E38" w:rsidRDefault="00C04CF8" w:rsidP="00C04CF8"/>
    <w:p w:rsidR="00C04CF8" w:rsidRPr="00AE7E38" w:rsidRDefault="00C04CF8" w:rsidP="00C04CF8">
      <w:pPr>
        <w:pStyle w:val="PageHeading"/>
        <w:sectPr w:rsidR="00C04CF8" w:rsidRPr="00AE7E38" w:rsidSect="004E677B">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04CF8" w:rsidRPr="00AE7E38" w:rsidRDefault="00AE7E38" w:rsidP="00AE7E38">
      <w:pPr>
        <w:pStyle w:val="ATHeading3"/>
      </w:pPr>
      <w:bookmarkStart w:id="8" w:name="_Toc161926212"/>
      <w:r w:rsidRPr="00AE7E38">
        <w:lastRenderedPageBreak/>
        <w:t xml:space="preserve">2. </w:t>
      </w:r>
      <w:r>
        <w:t>Odluka E</w:t>
      </w:r>
      <w:r w:rsidRPr="00AE7E38">
        <w:t>uropskog parlamenta</w:t>
      </w:r>
      <w:bookmarkEnd w:id="8"/>
      <w:r w:rsidRPr="00AE7E38">
        <w:t xml:space="preserve"> </w:t>
      </w:r>
      <w:r>
        <w:t xml:space="preserve">od 11. travnja 2024. </w:t>
      </w:r>
      <w:r w:rsidR="00C04CF8" w:rsidRPr="00AE7E38">
        <w:t>o zaključenju poslovnih knjiga Agencije za potporu BEREC-u (Ured BEREC-a) za financijsku godinu 2022.</w:t>
      </w:r>
      <w:r w:rsidRPr="00AE7E38">
        <w:t xml:space="preserve"> </w:t>
      </w:r>
      <w:r w:rsidR="00C04CF8" w:rsidRPr="00AE7E38">
        <w:t>(2023/2141(DEC))</w:t>
      </w:r>
    </w:p>
    <w:p w:rsidR="00C04CF8" w:rsidRPr="00AE7E38" w:rsidRDefault="00C04CF8" w:rsidP="00C04CF8">
      <w:pPr>
        <w:pStyle w:val="EPComma"/>
      </w:pPr>
      <w:r w:rsidRPr="00AE7E38">
        <w:rPr>
          <w:i/>
        </w:rPr>
        <w:t>Europski parlament</w:t>
      </w:r>
      <w:r w:rsidRPr="00AE7E38">
        <w:t>,</w:t>
      </w:r>
    </w:p>
    <w:p w:rsidR="00C04CF8" w:rsidRPr="00AE7E38" w:rsidRDefault="00C04CF8" w:rsidP="00C04CF8">
      <w:pPr>
        <w:pStyle w:val="NormalHanging12a"/>
      </w:pPr>
      <w:r w:rsidRPr="00AE7E38">
        <w:t>–</w:t>
      </w:r>
      <w:r w:rsidRPr="00AE7E38">
        <w:tab/>
        <w:t>uzimajući u obzir završnu godišnju računovodstvenu dokumentaciju Agencije za potporu BEREC-u (Ured BEREC-a) za financijsku godinu 2022.,</w:t>
      </w:r>
    </w:p>
    <w:p w:rsidR="00C04CF8" w:rsidRPr="00AE7E38" w:rsidRDefault="00C04CF8" w:rsidP="00C04CF8">
      <w:pPr>
        <w:pStyle w:val="NormalHanging12a"/>
      </w:pPr>
      <w:r w:rsidRPr="00AE7E38">
        <w:t>–</w:t>
      </w:r>
      <w:r w:rsidRPr="00AE7E38">
        <w:tab/>
        <w:t>uzimajući u obzir godišnje izvješće Revizorskog suda o agencijama EU-a za financijsku godinu 2022., kojemu su priloženi odgovori agencija</w:t>
      </w:r>
      <w:r w:rsidRPr="00AE7E38">
        <w:rPr>
          <w:rStyle w:val="FootnoteReference"/>
        </w:rPr>
        <w:footnoteReference w:id="6"/>
      </w:r>
      <w:r w:rsidRPr="00AE7E38">
        <w:t>,</w:t>
      </w:r>
    </w:p>
    <w:p w:rsidR="00C04CF8" w:rsidRPr="00AE7E38" w:rsidRDefault="00C04CF8" w:rsidP="00C04CF8">
      <w:pPr>
        <w:pStyle w:val="NormalHanging12a"/>
      </w:pPr>
      <w:r w:rsidRPr="00AE7E38">
        <w:t>–</w:t>
      </w:r>
      <w:r w:rsidRPr="00AE7E38">
        <w:tab/>
        <w:t>uzimajući u obzir izjavu o jamstvu</w:t>
      </w:r>
      <w:r w:rsidRPr="00AE7E38">
        <w:rPr>
          <w:rStyle w:val="FootnoteReference"/>
        </w:rPr>
        <w:footnoteReference w:id="7"/>
      </w:r>
      <w:r w:rsidRPr="00AE7E38">
        <w:t xml:space="preserve"> u pogledu pouzdanosti računovodstvene dokumentacije te zakonitosti i pravilnosti temeljnih transakcija koju je u skladu s člankom 287. Ugovora o funkcioniranju Europske unije Revizorski sud podnio za financijsku godinu 2022.,</w:t>
      </w:r>
    </w:p>
    <w:p w:rsidR="00C04CF8" w:rsidRPr="00AE7E38" w:rsidRDefault="00C04CF8" w:rsidP="00C04CF8">
      <w:pPr>
        <w:pStyle w:val="NormalHanging12a"/>
      </w:pPr>
      <w:r w:rsidRPr="00AE7E38">
        <w:t>–</w:t>
      </w:r>
      <w:r w:rsidRPr="00AE7E38">
        <w:tab/>
        <w:t>uzimajući u obzir preporuku Vijeća od 22. veljače 2024. o razrješnici koju Agencija treba dobiti za izvršenje proračuna za financijsku godinu 2022. (0</w:t>
      </w:r>
      <w:r w:rsidR="00CB5EC1">
        <w:t>618</w:t>
      </w:r>
      <w:r w:rsidRPr="00AE7E38">
        <w:t>0/2024 – C9</w:t>
      </w:r>
      <w:r w:rsidRPr="00AE7E38">
        <w:noBreakHyphen/>
        <w:t>00</w:t>
      </w:r>
      <w:r w:rsidR="00CB5EC1">
        <w:t>79</w:t>
      </w:r>
      <w:r w:rsidRPr="00AE7E38">
        <w:t>/2024),</w:t>
      </w:r>
    </w:p>
    <w:p w:rsidR="00C04CF8" w:rsidRPr="00AE7E38" w:rsidRDefault="00C04CF8" w:rsidP="00C04CF8">
      <w:pPr>
        <w:pStyle w:val="NormalHanging12a"/>
      </w:pPr>
      <w:r w:rsidRPr="00AE7E38">
        <w:t>–</w:t>
      </w:r>
      <w:r w:rsidRPr="00AE7E38">
        <w:tab/>
        <w:t>uzimajući u obzir članak 319. Ugovora o funkcioniranju Europske unije,</w:t>
      </w:r>
    </w:p>
    <w:p w:rsidR="00C04CF8" w:rsidRPr="00AE7E38" w:rsidRDefault="00C04CF8" w:rsidP="00C04CF8">
      <w:pPr>
        <w:pStyle w:val="NormalHanging12a"/>
      </w:pPr>
      <w:r w:rsidRPr="00AE7E38">
        <w:t>–</w:t>
      </w:r>
      <w:r w:rsidRPr="00AE7E38">
        <w:tab/>
        <w:t>uzimajući u obzir Uredbu (EU, Euratom) 2018/1046 Europskog parlamenta i Vijeća od 18. srpnja 2018. o financijskim pravilima koja se primjenjuju na opći proračun Unije, o izmjeni uredaba (EU) br. 1296/2013, (EU) br. 1301/2013, (EU) br. 1303/2013, (EU) br. 1304/2013, (EU) br. 1309/2013, (EU) br. 1316/2013, (EU) br. 223/2014, (EU) br. 283/2014 i Odluke br. 541/2014/EU te o stavljanju izvan snage Uredbe (EU, Euratom) br. 966/2012</w:t>
      </w:r>
      <w:r w:rsidRPr="00AE7E38">
        <w:rPr>
          <w:rStyle w:val="FootnoteReference"/>
        </w:rPr>
        <w:footnoteReference w:id="8"/>
      </w:r>
      <w:r w:rsidRPr="00AE7E38">
        <w:t>, a posebno njezin članak 70.,</w:t>
      </w:r>
    </w:p>
    <w:p w:rsidR="00C04CF8" w:rsidRPr="00AE7E38" w:rsidRDefault="00C04CF8" w:rsidP="00C04CF8">
      <w:pPr>
        <w:pStyle w:val="NormalHanging12a"/>
      </w:pPr>
      <w:r w:rsidRPr="00AE7E38">
        <w:t>–</w:t>
      </w:r>
      <w:r w:rsidRPr="00AE7E38">
        <w:tab/>
        <w:t>uzimajući u obzir Uredbu (EU) 2018/1971 Europskog parlamenta i Vijeća od 11. prosinca 2018. o osnivanju Tijela europskih regulatora za elektroničke komunikacije (BEREC) i Agencije za potporu BEREC-u (Ured BEREC-a), izmjeni Uredbe (EU) 2015/2120 i stavljanju izvan snage Uredbe (EZ) br. 1211/2009</w:t>
      </w:r>
      <w:r w:rsidRPr="00AE7E38">
        <w:rPr>
          <w:rStyle w:val="FootnoteReference"/>
        </w:rPr>
        <w:footnoteReference w:id="9"/>
      </w:r>
      <w:r w:rsidRPr="00AE7E38">
        <w:t>, a posebno njezin članak 28.,</w:t>
      </w:r>
    </w:p>
    <w:p w:rsidR="00C04CF8" w:rsidRPr="00AE7E38" w:rsidRDefault="00C04CF8" w:rsidP="00C04CF8">
      <w:pPr>
        <w:pStyle w:val="NormalHanging12a"/>
      </w:pPr>
      <w:r w:rsidRPr="00AE7E38">
        <w:t>–</w:t>
      </w:r>
      <w:r w:rsidRPr="00AE7E38">
        <w:tab/>
        <w:t xml:space="preserve">uzimajući u obzir Delegiranu uredbu Komisije (EU) 2019/715 od 18. prosinca 2018. o okvirnoj financijskoj uredbi za tijela osnovana na temelju Ugovora o funkcioniranju Europske unije i Ugovora o </w:t>
      </w:r>
      <w:proofErr w:type="spellStart"/>
      <w:r w:rsidRPr="00AE7E38">
        <w:t>Euratomu</w:t>
      </w:r>
      <w:proofErr w:type="spellEnd"/>
      <w:r w:rsidRPr="00AE7E38">
        <w:t xml:space="preserve"> na koja se upućuje u članku 70. Uredbe (EU, Euratom) 2018/1046 Europskog parlamenta i Vijeća</w:t>
      </w:r>
      <w:r w:rsidRPr="00AE7E38">
        <w:rPr>
          <w:rStyle w:val="FootnoteReference"/>
        </w:rPr>
        <w:footnoteReference w:id="10"/>
      </w:r>
      <w:r w:rsidRPr="00AE7E38">
        <w:t>, a posebno njezin članak 105.,</w:t>
      </w:r>
    </w:p>
    <w:p w:rsidR="00C04CF8" w:rsidRPr="00AE7E38" w:rsidRDefault="00C04CF8" w:rsidP="00C04CF8">
      <w:pPr>
        <w:pStyle w:val="NormalHanging12a"/>
      </w:pPr>
      <w:r w:rsidRPr="00AE7E38">
        <w:t>–</w:t>
      </w:r>
      <w:r w:rsidRPr="00AE7E38">
        <w:tab/>
        <w:t>uzimajući u obzir članak 100. Poslovnika i Prilog V. Poslovniku,</w:t>
      </w:r>
    </w:p>
    <w:p w:rsidR="00C04CF8" w:rsidRPr="00AE7E38" w:rsidRDefault="00C04CF8" w:rsidP="00C04CF8">
      <w:pPr>
        <w:pStyle w:val="NormalHanging12a"/>
      </w:pPr>
      <w:r w:rsidRPr="00AE7E38">
        <w:t>–</w:t>
      </w:r>
      <w:r w:rsidRPr="00AE7E38">
        <w:tab/>
        <w:t>uzimajući u obzir izvješće Odbora za proračunski nadzor (A9</w:t>
      </w:r>
      <w:r w:rsidRPr="00AE7E38">
        <w:noBreakHyphen/>
        <w:t>0123/2024),</w:t>
      </w:r>
    </w:p>
    <w:p w:rsidR="00C04CF8" w:rsidRPr="00AE7E38" w:rsidRDefault="00C04CF8" w:rsidP="00C04CF8">
      <w:pPr>
        <w:pStyle w:val="NormalHanging12a"/>
      </w:pPr>
      <w:r w:rsidRPr="00AE7E38">
        <w:t>1.</w:t>
      </w:r>
      <w:r w:rsidRPr="00AE7E38">
        <w:tab/>
        <w:t xml:space="preserve">odobrava zaključenje poslovnih knjiga Agencije za potporu BEREC-u (Ured BEREC-a) </w:t>
      </w:r>
      <w:r w:rsidR="00AE7E38">
        <w:lastRenderedPageBreak/>
        <w:t>za financijsku godinu 2022.;</w:t>
      </w:r>
    </w:p>
    <w:p w:rsidR="00C04CF8" w:rsidRPr="00AE7E38" w:rsidRDefault="000705B2" w:rsidP="00C04CF8">
      <w:pPr>
        <w:pStyle w:val="NormalHanging12a"/>
      </w:pPr>
      <w:r>
        <w:t>2.</w:t>
      </w:r>
      <w:r>
        <w:tab/>
        <w:t>nalaže svojoj predsjednici</w:t>
      </w:r>
      <w:r w:rsidR="00C04CF8" w:rsidRPr="00AE7E38">
        <w:t xml:space="preserve"> da ovu Odluku proslijedi direktoru Agencije za potporu BEREC-u (Ured BEREC-a), Vijeću, Komisiji i Revizorskom sudu te da je da na objavu u </w:t>
      </w:r>
      <w:r w:rsidR="00C04CF8" w:rsidRPr="00AE7E38">
        <w:rPr>
          <w:i/>
        </w:rPr>
        <w:t>Službenom listu Europske unije</w:t>
      </w:r>
      <w:r w:rsidR="00C04CF8" w:rsidRPr="00AE7E38">
        <w:t xml:space="preserve"> (serija L).</w:t>
      </w:r>
    </w:p>
    <w:p w:rsidR="00C04CF8" w:rsidRPr="00AE7E38" w:rsidRDefault="00C04CF8" w:rsidP="00C04CF8"/>
    <w:p w:rsidR="00C04CF8" w:rsidRPr="00AE7E38" w:rsidRDefault="00C04CF8" w:rsidP="00C04CF8"/>
    <w:p w:rsidR="00C04CF8" w:rsidRPr="00AE7E38" w:rsidRDefault="00C04CF8" w:rsidP="00C04CF8">
      <w:pPr>
        <w:pStyle w:val="PageHeading"/>
        <w:sectPr w:rsidR="00C04CF8" w:rsidRPr="00AE7E38" w:rsidSect="004E677B">
          <w:footnotePr>
            <w:numRestart w:val="eachPage"/>
          </w:footnotePr>
          <w:endnotePr>
            <w:numFmt w:val="decimal"/>
          </w:endnotePr>
          <w:pgSz w:w="11906" w:h="16838" w:code="9"/>
          <w:pgMar w:top="1134" w:right="1418" w:bottom="1418" w:left="1418" w:header="567" w:footer="567" w:gutter="0"/>
          <w:cols w:space="720"/>
          <w:noEndnote/>
          <w:docGrid w:linePitch="326"/>
        </w:sectPr>
      </w:pPr>
    </w:p>
    <w:p w:rsidR="00C04CF8" w:rsidRPr="00AE7E38" w:rsidRDefault="00AE7E38" w:rsidP="00AE7E38">
      <w:pPr>
        <w:pStyle w:val="ATHeading3"/>
      </w:pPr>
      <w:bookmarkStart w:id="9" w:name="_Toc161926213"/>
      <w:r w:rsidRPr="00AE7E38">
        <w:lastRenderedPageBreak/>
        <w:t xml:space="preserve">3. </w:t>
      </w:r>
      <w:r>
        <w:t>Rezolucija E</w:t>
      </w:r>
      <w:r w:rsidRPr="00AE7E38">
        <w:t>uropskog parlamenta</w:t>
      </w:r>
      <w:bookmarkEnd w:id="9"/>
      <w:r w:rsidRPr="00AE7E38">
        <w:t xml:space="preserve"> </w:t>
      </w:r>
      <w:r>
        <w:t xml:space="preserve">od 11. travnja 2024. </w:t>
      </w:r>
      <w:r w:rsidR="00C04CF8" w:rsidRPr="00AE7E38">
        <w:t>s primjedbama koje su sastavni dio Odluke o razrješnici za izvršenje proračuna Agencije za potporu BEREC-u (Ured BEREC-a) za financijsku godinu 2022.</w:t>
      </w:r>
      <w:r w:rsidRPr="00AE7E38">
        <w:t xml:space="preserve"> </w:t>
      </w:r>
      <w:r w:rsidR="00C04CF8" w:rsidRPr="00AE7E38">
        <w:t>(2023/2141(DEC))</w:t>
      </w:r>
    </w:p>
    <w:p w:rsidR="00C04CF8" w:rsidRPr="00AE7E38" w:rsidRDefault="00C04CF8" w:rsidP="00C04CF8">
      <w:pPr>
        <w:pStyle w:val="EPComma"/>
      </w:pPr>
      <w:r w:rsidRPr="00AE7E38">
        <w:rPr>
          <w:i/>
        </w:rPr>
        <w:t>Europski parlament</w:t>
      </w:r>
      <w:r w:rsidRPr="00AE7E38">
        <w:t>,</w:t>
      </w:r>
    </w:p>
    <w:p w:rsidR="00C04CF8" w:rsidRPr="00AE7E38" w:rsidRDefault="00C04CF8" w:rsidP="00C04CF8">
      <w:pPr>
        <w:pStyle w:val="NormalHanging12a"/>
      </w:pPr>
      <w:r w:rsidRPr="00AE7E38">
        <w:t>–</w:t>
      </w:r>
      <w:r w:rsidRPr="00AE7E38">
        <w:tab/>
        <w:t>uzimajući u obzir svoju Odluku o razrješnici za izvršenje proračuna Agencije za potporu BEREC-u (Ured BEREC-a) za financijsku godinu 2022.,</w:t>
      </w:r>
    </w:p>
    <w:p w:rsidR="00C04CF8" w:rsidRPr="00AE7E38" w:rsidRDefault="00C04CF8" w:rsidP="00C04CF8">
      <w:pPr>
        <w:pStyle w:val="NormalHanging12a"/>
      </w:pPr>
      <w:r w:rsidRPr="00AE7E38">
        <w:t>–</w:t>
      </w:r>
      <w:r w:rsidRPr="00AE7E38">
        <w:tab/>
        <w:t>uzimajući u obzir članak 100. Poslovnika i Prilog V. Poslovniku,</w:t>
      </w:r>
    </w:p>
    <w:p w:rsidR="00C04CF8" w:rsidRPr="00AE7E38" w:rsidRDefault="00C04CF8" w:rsidP="00C04CF8">
      <w:pPr>
        <w:pStyle w:val="NormalHanging12a"/>
      </w:pPr>
      <w:r w:rsidRPr="00AE7E38">
        <w:t>–</w:t>
      </w:r>
      <w:r w:rsidRPr="00AE7E38">
        <w:tab/>
        <w:t>uzimajući u obzir izvješće Odbora za proračunski nadzor (A9</w:t>
      </w:r>
      <w:r w:rsidRPr="00AE7E38">
        <w:noBreakHyphen/>
        <w:t>0123/2024),</w:t>
      </w:r>
    </w:p>
    <w:p w:rsidR="00C04CF8" w:rsidRPr="00AE7E38" w:rsidRDefault="00C04CF8" w:rsidP="00C04CF8">
      <w:pPr>
        <w:pStyle w:val="NormalHanging12a"/>
        <w:rPr>
          <w:szCs w:val="24"/>
        </w:rPr>
      </w:pPr>
      <w:r w:rsidRPr="00AE7E38">
        <w:t>A.</w:t>
      </w:r>
      <w:r w:rsidRPr="00AE7E38">
        <w:tab/>
        <w:t>budući da je prema računu prihoda i rashoda</w:t>
      </w:r>
      <w:r w:rsidRPr="00AE7E38">
        <w:rPr>
          <w:rFonts w:eastAsiaTheme="minorHAnsi"/>
          <w:szCs w:val="24"/>
          <w:vertAlign w:val="superscript"/>
          <w:lang w:eastAsia="en-US"/>
        </w:rPr>
        <w:footnoteReference w:id="11"/>
      </w:r>
      <w:r w:rsidRPr="00AE7E38">
        <w:t xml:space="preserve"> Agencije za financijsku godinu 2022. njezin konačni proračun iznosio 7 428 456 EUR, što je povećanje od 1,19 % u odnosu na 2021. godinu; budući da se proračun Agencije uglavnom financira iz proračuna Unije;</w:t>
      </w:r>
    </w:p>
    <w:p w:rsidR="00C04CF8" w:rsidRPr="00AE7E38" w:rsidRDefault="00C04CF8" w:rsidP="00C04CF8">
      <w:pPr>
        <w:pStyle w:val="NormalHanging12a"/>
        <w:rPr>
          <w:szCs w:val="24"/>
        </w:rPr>
      </w:pPr>
      <w:r w:rsidRPr="00AE7E38">
        <w:t>B.</w:t>
      </w:r>
      <w:r w:rsidRPr="00AE7E38">
        <w:tab/>
        <w:t>budući da Revizorski sud u svojem izvješću o godišnjoj računovodstvenoj dokumentaciji Agencije za financijsku godinu 2022. („izvješće Revizorskog suda”) izjavljuje da je dobio razumno jamstvo da je godišnja računovodstvena dokumentacija Agencije pouzdana te da su temeljne transakcije zakonite i pravilne;</w:t>
      </w:r>
    </w:p>
    <w:p w:rsidR="00C04CF8" w:rsidRPr="00AE7E38" w:rsidRDefault="00C04CF8" w:rsidP="00C04CF8">
      <w:pPr>
        <w:pStyle w:val="NormalHanging12a"/>
        <w:rPr>
          <w:szCs w:val="24"/>
        </w:rPr>
      </w:pPr>
      <w:r w:rsidRPr="00AE7E38">
        <w:t>C.</w:t>
      </w:r>
      <w:r w:rsidRPr="00AE7E38">
        <w:tab/>
        <w:t>budući da u pogledu sektora javne nabave Agencije za 2022. nisu prijavljeni problemi zbog kojih bi bile potrebne korektivne mjere te da nema ni tekućih ni nedovršenih korektivnih mjera iz revizija i procjena iz prethodnih godina;</w:t>
      </w:r>
    </w:p>
    <w:p w:rsidR="00C04CF8" w:rsidRPr="00AE7E38" w:rsidRDefault="00C04CF8" w:rsidP="00C04CF8">
      <w:pPr>
        <w:pStyle w:val="NormalHanging12a"/>
        <w:rPr>
          <w:szCs w:val="24"/>
        </w:rPr>
      </w:pPr>
      <w:r w:rsidRPr="00AE7E38">
        <w:t>D.</w:t>
      </w:r>
      <w:r w:rsidRPr="00AE7E38">
        <w:tab/>
        <w:t>budući da u pogledu sustava unutarnje kontrole Agencije za 2022. nisu prijavljeni problemi zbog kojih bi bile potrebne korektivne mjere te da nema ni tekućih ni nedovršenih korektivnih mjera iz revizija i procjena iz prethodnih godina;</w:t>
      </w:r>
    </w:p>
    <w:p w:rsidR="00C04CF8" w:rsidRPr="00AE7E38" w:rsidRDefault="00C04CF8" w:rsidP="00C04CF8">
      <w:pPr>
        <w:pStyle w:val="NormalHanging12a"/>
        <w:tabs>
          <w:tab w:val="left" w:pos="1718"/>
        </w:tabs>
        <w:rPr>
          <w:b/>
          <w:i/>
          <w:szCs w:val="24"/>
        </w:rPr>
      </w:pPr>
      <w:r w:rsidRPr="00AE7E38">
        <w:rPr>
          <w:b/>
          <w:i/>
        </w:rPr>
        <w:t>Upravljanje proračunom i financijama</w:t>
      </w:r>
    </w:p>
    <w:p w:rsidR="00C04CF8" w:rsidRPr="00AE7E38" w:rsidRDefault="00C04CF8" w:rsidP="00C04CF8">
      <w:pPr>
        <w:spacing w:after="240"/>
        <w:ind w:left="567" w:hanging="567"/>
        <w:rPr>
          <w:sz w:val="22"/>
          <w:szCs w:val="22"/>
        </w:rPr>
      </w:pPr>
      <w:r w:rsidRPr="00AE7E38">
        <w:t>1.</w:t>
      </w:r>
      <w:r w:rsidRPr="00AE7E38">
        <w:tab/>
        <w:t>prima na znanje da je praćenje proračuna tijekom financijske godine 2022. rezultiralo stopom izvršenja proračuna od 99,99 % za odobrena sredstva za preuzimanje obveza u okviru konačno usvojenog proračuna za tu godinu, što je povećanje od 0,02 % u odnosu na 2021.; pozdravlja činjenicu da je stopa izvršenja proračuna unutar praga iznad 95 % koji je utvrdio Upravni odbor;</w:t>
      </w:r>
      <w:r w:rsidRPr="00AE7E38">
        <w:rPr>
          <w:sz w:val="22"/>
        </w:rPr>
        <w:t xml:space="preserve"> </w:t>
      </w:r>
      <w:r w:rsidRPr="00AE7E38">
        <w:t>prima na znanje da je stopa izvršenja odobrenih sredstava za plaćanje za tu godinu iznosila 82,78 %, što predstavlja povećanje od 13,44 % u odnosu na 2021.;</w:t>
      </w:r>
    </w:p>
    <w:p w:rsidR="00C04CF8" w:rsidRPr="00AE7E38" w:rsidRDefault="00C04CF8" w:rsidP="00C04CF8">
      <w:pPr>
        <w:pStyle w:val="Normal12Hanging"/>
        <w:rPr>
          <w:b/>
          <w:i/>
          <w:szCs w:val="24"/>
        </w:rPr>
      </w:pPr>
      <w:r w:rsidRPr="00AE7E38">
        <w:rPr>
          <w:b/>
          <w:i/>
        </w:rPr>
        <w:t>Uspješnost</w:t>
      </w:r>
    </w:p>
    <w:p w:rsidR="00C04CF8" w:rsidRPr="00AE7E38" w:rsidRDefault="00C04CF8" w:rsidP="00C04CF8">
      <w:pPr>
        <w:pStyle w:val="NormalHanging12a"/>
      </w:pPr>
      <w:r w:rsidRPr="00AE7E38">
        <w:t>2.</w:t>
      </w:r>
      <w:r w:rsidRPr="00AE7E38">
        <w:tab/>
        <w:t xml:space="preserve">napominje da se Agencija koristi ključnim pokazateljima uspješnosti kako bi procijenila postignute rezultate u pogledu svojih ciljeva, uključujući, među ostalim, potporu radnim skupinama, komunikacijske aktivnosti, centralizirano financiranje i javnu nabavu te upravljanje ljudskim resursima; napominje da je većina ciljeva postignuta, no preporučuje da se uzmu u obzir ključni pokazatelji uspješnosti koji su i dalje neispunjeni ili napreduju sporije od očekivanog (npr. poboljšanje postupka nadoknade </w:t>
      </w:r>
      <w:r w:rsidRPr="00AE7E38">
        <w:lastRenderedPageBreak/>
        <w:t>troškova s pomoću naprednog pristupnika za sastanke, potpisivanje ugovora za potporu razvoju „Strategije BEREC-a za IKT za razdoblje 2022. – 2025.”); preporučuje da Agencija redovito dorađuje ključne pokazatelje uspješnosti kako bi optimizirala svoje rezultate;</w:t>
      </w:r>
    </w:p>
    <w:p w:rsidR="00C04CF8" w:rsidRPr="00AE7E38" w:rsidRDefault="00C04CF8" w:rsidP="00C04CF8">
      <w:pPr>
        <w:pStyle w:val="Normal12Hanging"/>
      </w:pPr>
      <w:r w:rsidRPr="00AE7E38">
        <w:t>3.</w:t>
      </w:r>
      <w:r w:rsidRPr="00AE7E38">
        <w:tab/>
        <w:t xml:space="preserve">pozdravlja činjenicu da je Agencija nastavila pružati visokokvalitetnu administrativnu i stručnu potporu Odboru regulatora BEREC-a, kontaktnoj mreži BEREC-a, javnim ispitivanjima, radnim skupinama BEREC-a, uključujući </w:t>
      </w:r>
      <w:r w:rsidRPr="00AE7E38">
        <w:rPr>
          <w:i/>
          <w:iCs/>
        </w:rPr>
        <w:t xml:space="preserve">ad </w:t>
      </w:r>
      <w:proofErr w:type="spellStart"/>
      <w:r w:rsidRPr="00AE7E38">
        <w:rPr>
          <w:i/>
          <w:iCs/>
        </w:rPr>
        <w:t>hoc</w:t>
      </w:r>
      <w:proofErr w:type="spellEnd"/>
      <w:r w:rsidRPr="00AE7E38">
        <w:t xml:space="preserve"> radne skupine i savjetodavnu skupinu Ureda BEREC-a;</w:t>
      </w:r>
    </w:p>
    <w:p w:rsidR="00C04CF8" w:rsidRPr="00AE7E38" w:rsidRDefault="00C04CF8" w:rsidP="00C04CF8">
      <w:pPr>
        <w:pStyle w:val="NormalHanging12a"/>
      </w:pPr>
      <w:r w:rsidRPr="00AE7E38">
        <w:t>4.</w:t>
      </w:r>
      <w:r w:rsidRPr="00AE7E38">
        <w:tab/>
        <w:t>pozdravlja činjenicu da je ukrajinski telekomunikacijski regulator NCEC uključen u Agenciju kao član bez prava glasa;</w:t>
      </w:r>
    </w:p>
    <w:p w:rsidR="00C04CF8" w:rsidRPr="00AE7E38" w:rsidRDefault="00C04CF8" w:rsidP="00C04CF8">
      <w:pPr>
        <w:pStyle w:val="Normal12Hanging"/>
        <w:rPr>
          <w:b/>
          <w:i/>
          <w:szCs w:val="24"/>
        </w:rPr>
      </w:pPr>
      <w:r w:rsidRPr="00AE7E38">
        <w:rPr>
          <w:b/>
          <w:i/>
        </w:rPr>
        <w:t>Učinkovitost i rezultati</w:t>
      </w:r>
    </w:p>
    <w:p w:rsidR="00C04CF8" w:rsidRPr="00AE7E38" w:rsidRDefault="00C04CF8" w:rsidP="00C04CF8">
      <w:pPr>
        <w:pStyle w:val="Normal12Hanging"/>
        <w:rPr>
          <w:szCs w:val="24"/>
        </w:rPr>
      </w:pPr>
      <w:r w:rsidRPr="00AE7E38">
        <w:t>5.</w:t>
      </w:r>
      <w:r w:rsidRPr="00AE7E38">
        <w:tab/>
        <w:t>napominje da su mjere za povećanje učinkovitosti 2022. bile usmjerene na sljedeća glavna područja: centralizacija nekih funkcija, nabava, povećanje učinkovitosti postignuto povećanom upotrebom IT aplikacija Komisije ili uvođenjem novih i korištenjem vanjskih resursa kako bi se nadoknadio nedostatak ljudskih kapaciteta ili za zadatke tehničke i pomoćne prirode;</w:t>
      </w:r>
    </w:p>
    <w:p w:rsidR="00C04CF8" w:rsidRPr="00AE7E38" w:rsidRDefault="00C04CF8" w:rsidP="00C04CF8">
      <w:pPr>
        <w:pStyle w:val="Normal12Hanging"/>
        <w:rPr>
          <w:szCs w:val="24"/>
        </w:rPr>
      </w:pPr>
      <w:r w:rsidRPr="00AE7E38">
        <w:t>6.</w:t>
      </w:r>
      <w:r w:rsidRPr="00AE7E38">
        <w:tab/>
        <w:t xml:space="preserve">napominje da je Agencija 2022. u području javne nabave nastavila upotrebljavati </w:t>
      </w:r>
      <w:proofErr w:type="spellStart"/>
      <w:r w:rsidRPr="00AE7E38">
        <w:t>međuinstitucijske</w:t>
      </w:r>
      <w:proofErr w:type="spellEnd"/>
      <w:r w:rsidRPr="00AE7E38">
        <w:t xml:space="preserve"> postupke javne nabave i pridružila se sedam </w:t>
      </w:r>
      <w:proofErr w:type="spellStart"/>
      <w:r w:rsidRPr="00AE7E38">
        <w:t>međuinstitucijskih</w:t>
      </w:r>
      <w:proofErr w:type="spellEnd"/>
      <w:r w:rsidRPr="00AE7E38">
        <w:t xml:space="preserve"> postupaka javne nabave, što je dovelo do sklapanja šest okvirnih ugovora tijekom izvještajnog razdoblja;</w:t>
      </w:r>
    </w:p>
    <w:p w:rsidR="00C04CF8" w:rsidRPr="00AE7E38" w:rsidRDefault="00C04CF8" w:rsidP="00C04CF8">
      <w:pPr>
        <w:pStyle w:val="Normal12Hanging"/>
        <w:rPr>
          <w:szCs w:val="24"/>
        </w:rPr>
      </w:pPr>
      <w:r w:rsidRPr="00AE7E38">
        <w:t>7.</w:t>
      </w:r>
      <w:r w:rsidRPr="00AE7E38">
        <w:tab/>
        <w:t>pozdravlja povećanje učinkovitosti postignuto većom upotrebom ili uvođenjem dodatnih informatičkih aplikacija Komisije; posebno napominje da je Agencija 2022. u potpunosti uvela i aktivno upotrebljavala sve osnovne module sustava Sysper2, npr. upravljanje identitetom, upravljanje organizacijom, upravljanje osobnim podacima, uvjeti rada, upravljanje talentima i upravljanje dokumentima te tri modula iz neobveznog skupa modula, npr. fleksibilno radno vrijeme, rad na daljinu i individualna prava;</w:t>
      </w:r>
    </w:p>
    <w:p w:rsidR="00C04CF8" w:rsidRPr="00AE7E38" w:rsidRDefault="00C04CF8" w:rsidP="00C04CF8">
      <w:pPr>
        <w:pStyle w:val="NormalHanging12a"/>
      </w:pPr>
      <w:r w:rsidRPr="00AE7E38">
        <w:t>8.</w:t>
      </w:r>
      <w:r w:rsidRPr="00AE7E38">
        <w:tab/>
        <w:t>napominje da Agencija od svojeg uspostavljanja radi s manjkom kapaciteta ljudskih resursa za određena mjesta; prima na znanje da Agencija nadoknađuje određena ograničenja kapaciteta, ako je to izvedivo, i kao primarno rješenje prednost daje korištenju uslugama koje nude Komisija i druge agencije Unije; primjećuje da taj pristup uključuje korištenje uslugama koje pružaju Ured Komisije za upravljanje individualnim materijalnim pravima i njihovu isplatu (PMO) i tim za hitne računalne intervencije za institucije, tijela i agencije Unije (CERT-EU), za IT i sigurnosne usluge; pozdravlja činjenicu da Agencija ima vrlo uspješnu suradnju s Uredom Europske unije za intelektualno vlasništvo u području IT-a, što uključuje smještaj, razvoj informacijske tehnologije, oporavak od katastrofa, razvoj novog dizajna internetskih stranica Agencije i druge informatičke usluge;</w:t>
      </w:r>
    </w:p>
    <w:p w:rsidR="00C04CF8" w:rsidRPr="00AE7E38" w:rsidRDefault="00C04CF8" w:rsidP="00C04CF8">
      <w:pPr>
        <w:pStyle w:val="NormalHanging12a"/>
      </w:pPr>
      <w:r w:rsidRPr="00AE7E38">
        <w:t>9.</w:t>
      </w:r>
      <w:r w:rsidRPr="00AE7E38">
        <w:tab/>
        <w:t xml:space="preserve">podsjeća na važnost povećanja digitalizacije Agencije u pogledu unutarnjeg djelovanja i upravljanja, ali i kako bi se ubrzala digitalizacija postupaka; naglašava da Agencija u tom pogledu i dalje treba biti </w:t>
      </w:r>
      <w:proofErr w:type="spellStart"/>
      <w:r w:rsidRPr="00AE7E38">
        <w:t>proaktivna</w:t>
      </w:r>
      <w:proofErr w:type="spellEnd"/>
      <w:r w:rsidRPr="00AE7E38">
        <w:t xml:space="preserve"> kako bi se izbjegao digitalni jaz među agencijama; međutim, skreće pozornost na potrebu za poduzimanjem svih potrebnih sigurnosnih mjera kako bi se izbjegao rizik za sigurnost informacija koje se obrađuju na </w:t>
      </w:r>
      <w:r w:rsidRPr="00AE7E38">
        <w:lastRenderedPageBreak/>
        <w:t xml:space="preserve">internetu, inzistira na jačanju borbe protiv </w:t>
      </w:r>
      <w:proofErr w:type="spellStart"/>
      <w:r w:rsidRPr="00AE7E38">
        <w:t>kibernetičkih</w:t>
      </w:r>
      <w:proofErr w:type="spellEnd"/>
      <w:r w:rsidRPr="00AE7E38">
        <w:t xml:space="preserve"> napada ili pokušaja infiltracije koji posebno potječu iz Rusije ili Kine;</w:t>
      </w:r>
    </w:p>
    <w:p w:rsidR="00C04CF8" w:rsidRPr="00AE7E38" w:rsidRDefault="00C04CF8" w:rsidP="00C04CF8">
      <w:pPr>
        <w:pStyle w:val="Normal12Hanging"/>
        <w:rPr>
          <w:b/>
          <w:i/>
          <w:szCs w:val="24"/>
        </w:rPr>
      </w:pPr>
      <w:r w:rsidRPr="00AE7E38">
        <w:rPr>
          <w:b/>
          <w:i/>
        </w:rPr>
        <w:t>Kadrovska politika</w:t>
      </w:r>
    </w:p>
    <w:p w:rsidR="00C04CF8" w:rsidRPr="00AE7E38" w:rsidRDefault="00C04CF8" w:rsidP="00C04CF8">
      <w:pPr>
        <w:spacing w:after="240"/>
        <w:ind w:left="567" w:hanging="567"/>
        <w:rPr>
          <w:rFonts w:eastAsia="Calibri"/>
          <w:szCs w:val="24"/>
        </w:rPr>
      </w:pPr>
      <w:r w:rsidRPr="00AE7E38">
        <w:t>10.</w:t>
      </w:r>
      <w:r w:rsidRPr="00AE7E38">
        <w:tab/>
        <w:t>konstatira da se na dan 31. prosinca 2022. plan radnih mjesta sastojao od 16 privremenih djelatnika koji su odobreni u okviru proračuna Unije (isti broj odobrenih radnih mjesta kao i 2021.); također primjećuje da je 2022. za Agenciju radilo 19 ugovornih djelatnika, 8 upućenih nacionalnih stručnjaka te 10 vanjskih djelatnika i konzultanata;</w:t>
      </w:r>
    </w:p>
    <w:p w:rsidR="00C04CF8" w:rsidRPr="00AE7E38" w:rsidRDefault="00C04CF8" w:rsidP="00C04CF8">
      <w:pPr>
        <w:pStyle w:val="NormalHanging12a"/>
      </w:pPr>
      <w:r w:rsidRPr="00AE7E38">
        <w:t>11.</w:t>
      </w:r>
      <w:r w:rsidRPr="00AE7E38">
        <w:tab/>
        <w:t>pozdravlja napore Agencije da uskladi svoje djelovanje s načelima Zajedničke izjave Europskog parlamenta, Vijeća EU-a i Europske komisije od 19. srpnja 2012. o decentraliziranim agencijama, uključujući očekivanu minimalnu kritičnu veličinu;</w:t>
      </w:r>
    </w:p>
    <w:p w:rsidR="00C04CF8" w:rsidRPr="00AE7E38" w:rsidRDefault="00C04CF8" w:rsidP="00C04CF8">
      <w:pPr>
        <w:pStyle w:val="NormalHanging12a"/>
      </w:pPr>
      <w:r w:rsidRPr="00AE7E38">
        <w:t>12.</w:t>
      </w:r>
      <w:r w:rsidRPr="00AE7E38">
        <w:tab/>
        <w:t>primjećuje da je glavni izazov u politici u području osoblja bila velika fluktuacija osoblja, koja se 2022. povećala na 16,3 % u usporedbi s 4,6 % za 2021. i 5,4 % 2020.; prima na znanje da je nagli porast fluktuacije osoblja posebno utjecao na Odjel za administraciju i financije; napominje da je Agencija 2022. pokrenula postupke odabira kako bi popunila radna mjesta koja postaju slobodna i kako bi se osiguralo osoblje s novim kompetencijama potrebnima za Agenciju i njezinu administraciju kako bi popunila pet slobodnih radnih mjesta (jedan privremeni djelatnik i četiri ugovorna djelatnika) za koja nije imala odgovarajuće popise uspješnih kandidata, dok je za preostala tri radna mjesta koja su postala slobodna Agencija osigurala brzo zapošljavanje s aktivnih popisa uspješnih kandidata; međutim, traži od Agencije da analizira razloge za veliku fluktuaciju osoblja i poduzme potrebne korake kako bi se to izbjeglo u budućnosti te da o tome izvijesti tijelo nadležno za davanje razrješnice;</w:t>
      </w:r>
    </w:p>
    <w:p w:rsidR="00C04CF8" w:rsidRPr="00AE7E38" w:rsidRDefault="00C04CF8" w:rsidP="00C04CF8">
      <w:pPr>
        <w:spacing w:after="240"/>
        <w:ind w:left="567" w:hanging="567"/>
        <w:rPr>
          <w:rFonts w:eastAsia="Calibri"/>
          <w:szCs w:val="24"/>
        </w:rPr>
      </w:pPr>
      <w:r w:rsidRPr="00AE7E38">
        <w:t>13.</w:t>
      </w:r>
      <w:r w:rsidRPr="00AE7E38">
        <w:tab/>
        <w:t>pohvaljuje inicijative Agencije za poboljšanje uvjeta poslovnog i privatnog života članova osoblja, uključujući pravno savjetovanje o privatnim pitanjima, financijsku potporu za vrtić, školarine za međunarodne škole, jezične tečajeve, robu izuzetu od PDV-a za upućene nacionalne stručnjake, uvodni program za nove zaposlenike i pomoć članovima obitelji koji se nastanjuju u Latviji, neke u suradnji s latvijskim vlastima;</w:t>
      </w:r>
    </w:p>
    <w:p w:rsidR="00C04CF8" w:rsidRPr="00AE7E38" w:rsidRDefault="00C04CF8" w:rsidP="00C04CF8">
      <w:pPr>
        <w:pStyle w:val="NormalHanging12a"/>
      </w:pPr>
      <w:r w:rsidRPr="00AE7E38">
        <w:t>14.</w:t>
      </w:r>
      <w:r w:rsidRPr="00AE7E38">
        <w:tab/>
        <w:t>pozdravlja to što je 2022., kao i 2021., općenito postignuta rodna ravnoteža osoblja, s 52 % žena i 48 % muškaraca; ustraje u jačanju napora za održavanje razumne rodne ravnoteže među osobljem Agencije; potvrđuje da Agencija ima samo tri radna mjesta srednjeg rukovodstva i da je prihvatljiva rodna ravnoteža postignuta i u srednjem rukovodstvu, s jednom ženom i dva muškarca;</w:t>
      </w:r>
    </w:p>
    <w:p w:rsidR="00C04CF8" w:rsidRPr="00AE7E38" w:rsidRDefault="00C04CF8" w:rsidP="00C04CF8">
      <w:pPr>
        <w:pStyle w:val="NormalHanging12a"/>
      </w:pPr>
      <w:r w:rsidRPr="00AE7E38">
        <w:t>15.</w:t>
      </w:r>
      <w:r w:rsidRPr="00AE7E38">
        <w:tab/>
        <w:t>konstatira da Agencija ima politiku za zaštitu dostojanstva osobe i za sprečavanje psihološkog i seksualnog uznemiravanja te da sudjeluje u međuagencijskoj radnoj skupini povjerljivih savjetnika; sa zanimanjem iščekuje njihovo izvješće i preporuke; konstatira da 2022. nije bilo prijavljenih slučajeva uznemiravanja te potiče Agenciju da i u budućnosti nastavi obavljati i razvijati rad na sprečavanju takvih slučajeva;</w:t>
      </w:r>
    </w:p>
    <w:p w:rsidR="00C04CF8" w:rsidRPr="00AE7E38" w:rsidRDefault="00C04CF8" w:rsidP="00C04CF8">
      <w:pPr>
        <w:pStyle w:val="NormalHanging12a"/>
      </w:pPr>
      <w:r w:rsidRPr="00AE7E38">
        <w:t>16.</w:t>
      </w:r>
      <w:r w:rsidRPr="00AE7E38">
        <w:tab/>
        <w:t xml:space="preserve">izražava žaljenje zbog toga što Agencija nije donijela „Povelju o raznolikosti i uključenosti”, čiji je cilj promicanje jednakog postupanja i mogućnosti neovisno o bilo kojoj osnovi kao što su spol, rasa, boja kože, etničko ili socijalno podrijetlo, genetske osobine, jezik, religija ili uvjerenje, političko ili bilo kakvo drugo mišljenje, pripadnost nacionalnoj manjini, imovina, rođenje, invaliditet, dob ili spolna orijentacija; podsjeća </w:t>
      </w:r>
      <w:r w:rsidRPr="00AE7E38">
        <w:lastRenderedPageBreak/>
        <w:t>da je jedan od ciljeva Povelje postizanje cilja od najmanje 40 % podzastupljenog spola u srednjem rukovodstvu na kratkoročnoj i srednjoročnoj osnovi; prima na znanje odgovor Agencije na standardizirani upitnik o razrješnici; smatra da neparni broj radnih mjesta višeg i srednjeg rukovoditelja ne sprečava donošenje Povelje; potiče Agenciju da usvoji Povelju te da aktivno sudjeluje u inicijativama kojima se promiču raznolikost i uključenost na radnome mjestu;</w:t>
      </w:r>
    </w:p>
    <w:p w:rsidR="00C04CF8" w:rsidRPr="00AE7E38" w:rsidRDefault="00C04CF8" w:rsidP="00C04CF8">
      <w:pPr>
        <w:pStyle w:val="NormalHanging12a"/>
      </w:pPr>
      <w:r w:rsidRPr="00AE7E38">
        <w:t>17.</w:t>
      </w:r>
      <w:r w:rsidRPr="00AE7E38">
        <w:tab/>
        <w:t>pozdravlja činjenicu da je Agencija nastavila svoj program stažiranja tijekom 2022.; napominje da se Agenciji pridružilo ukupno sedam stažista, a 15 stažista sudjelovalo je u programu pripravništva Agencije;</w:t>
      </w:r>
    </w:p>
    <w:p w:rsidR="00C04CF8" w:rsidRPr="00AE7E38" w:rsidRDefault="00C04CF8" w:rsidP="00C04CF8">
      <w:pPr>
        <w:spacing w:after="240"/>
        <w:ind w:left="567" w:hanging="567"/>
        <w:rPr>
          <w:rFonts w:eastAsia="Calibri"/>
          <w:b/>
          <w:i/>
          <w:szCs w:val="24"/>
        </w:rPr>
      </w:pPr>
      <w:r w:rsidRPr="00AE7E38">
        <w:rPr>
          <w:b/>
          <w:i/>
        </w:rPr>
        <w:t>Postupanje u slučaju sukoba interesa i njihovo sprečavanje te transparentnost</w:t>
      </w:r>
    </w:p>
    <w:p w:rsidR="00C04CF8" w:rsidRPr="00AE7E38" w:rsidRDefault="00C04CF8" w:rsidP="00C04CF8">
      <w:pPr>
        <w:spacing w:after="240"/>
        <w:ind w:left="567" w:hanging="567"/>
        <w:rPr>
          <w:szCs w:val="24"/>
        </w:rPr>
      </w:pPr>
      <w:r w:rsidRPr="00AE7E38">
        <w:t>18.</w:t>
      </w:r>
      <w:r w:rsidRPr="00AE7E38">
        <w:tab/>
        <w:t>prima na znanje da Agencija na svojim internetskim stranicama objavljuje životopise i izjave o sukobu interesa članova svojeg Upravnog odbora;</w:t>
      </w:r>
    </w:p>
    <w:p w:rsidR="00C04CF8" w:rsidRPr="00AE7E38" w:rsidRDefault="00C04CF8" w:rsidP="00C04CF8">
      <w:pPr>
        <w:spacing w:after="240"/>
        <w:ind w:left="567" w:hanging="567"/>
        <w:rPr>
          <w:szCs w:val="24"/>
        </w:rPr>
      </w:pPr>
      <w:r w:rsidRPr="00AE7E38">
        <w:t>19.</w:t>
      </w:r>
      <w:r w:rsidRPr="00AE7E38">
        <w:tab/>
        <w:t xml:space="preserve">prima na znanje činjenicu da prije početka obavljanja dužnosti u Agenciji statutarno osoblje, upućeni nacionalni stručnjaci, stažisti i vanjski djelatnici moraju podnijeti izjavu o financijskim interesima, koju zatim revidira tijelo za imenovanje ili direktor prije odobrenja zadatka; nadalje, napominje da osoblje mora redovito ažurirati tu izjavu tijekom zaposlenja kako bi se riješile sve </w:t>
      </w:r>
      <w:r w:rsidRPr="00AE7E38">
        <w:rPr>
          <w:i/>
          <w:iCs/>
        </w:rPr>
        <w:t xml:space="preserve">ad </w:t>
      </w:r>
      <w:proofErr w:type="spellStart"/>
      <w:r w:rsidRPr="00AE7E38">
        <w:rPr>
          <w:i/>
          <w:iCs/>
        </w:rPr>
        <w:t>hoc</w:t>
      </w:r>
      <w:proofErr w:type="spellEnd"/>
      <w:r w:rsidRPr="00AE7E38">
        <w:t xml:space="preserve"> situacije sukoba interesa te mora </w:t>
      </w:r>
      <w:proofErr w:type="spellStart"/>
      <w:r w:rsidRPr="00AE7E38">
        <w:t>proaktivno</w:t>
      </w:r>
      <w:proofErr w:type="spellEnd"/>
      <w:r w:rsidRPr="00AE7E38">
        <w:t xml:space="preserve"> obavješćivati Agenciju o svim vanjskim aktivnostima, profesionalnim poduzećima tijekom osobnog dopusta, zadržavanju darova, zapošljavanju bračnih drugova i mogućim sukobima putem publikacija ili govora; napominje da su nakon prestanka radnog odnosa statutarno osoblje i stažisti dužni Agenciji prijaviti svoje planirane buduće profesionalne angažmane u određenom roku nakon prestanka radnog odnosa;</w:t>
      </w:r>
    </w:p>
    <w:p w:rsidR="00C04CF8" w:rsidRPr="00AE7E38" w:rsidRDefault="00C04CF8" w:rsidP="00C04CF8">
      <w:pPr>
        <w:spacing w:after="240"/>
        <w:ind w:left="567" w:hanging="567"/>
        <w:rPr>
          <w:szCs w:val="24"/>
        </w:rPr>
      </w:pPr>
      <w:r w:rsidRPr="00AE7E38">
        <w:t>20.</w:t>
      </w:r>
      <w:r w:rsidRPr="00AE7E38">
        <w:tab/>
        <w:t>prima na znanje činjenicu da je direktor Agencije usvojio obavijest o upravljanju sukobima interesa članova osoblja tijekom odabira i zapošljavanja, u kojoj se zahtijeva da se prijave svi profesionalni/osobni odnosi s kandidatima bez obzira na to predstavlja li taj odnos sukob interesa ili ne; nadalje, napominje da bi članovi osoblja također trebali navesti mogu li ili ne mogu zadržati nepristranost; napominje da nakon otkrivanja imena kandidata članovi odbora za odabir moraju podnijeti izjavu o sukobu interesa u skladu s prethodno navedenom obavijesti i Smjernicama o sprečavanju sukoba interesa i postupanju u slučaju sukoba interesa članova osoblja uključenih u postupke odabira, zapošljavanja ili reklasifikacije u Agenciji;</w:t>
      </w:r>
    </w:p>
    <w:p w:rsidR="00C04CF8" w:rsidRPr="00AE7E38" w:rsidRDefault="00C04CF8" w:rsidP="00C04CF8">
      <w:pPr>
        <w:spacing w:after="240"/>
        <w:ind w:left="567" w:hanging="567"/>
        <w:rPr>
          <w:szCs w:val="24"/>
        </w:rPr>
      </w:pPr>
      <w:r w:rsidRPr="00AE7E38">
        <w:t>21.</w:t>
      </w:r>
      <w:r w:rsidRPr="00AE7E38">
        <w:tab/>
        <w:t xml:space="preserve">napominje da je upravni odbor usvojio strategiju Agencije za borbu protiv prijevara za razdoblje 2023. – 2025. čiji je cilj poboljšati otkrivanje, sankcioniranje i sprečavanje prijevara te suzbiti sve druge nezakonite aktivnosti koje bi mogle utjecati na njezine financijske interese; pozdravlja činjenicu da je Agencija u produkciju uvela etičke module u </w:t>
      </w:r>
      <w:proofErr w:type="spellStart"/>
      <w:r w:rsidRPr="00AE7E38">
        <w:t>Sysperu</w:t>
      </w:r>
      <w:proofErr w:type="spellEnd"/>
      <w:r w:rsidRPr="00AE7E38">
        <w:t>, koji obuhvaćaju izjavu o sukobu interesa, izjavu o poklonu ili ugostiteljstvu, izjavu o objavi, zahtjev za odobrenje vanjske aktivnosti, zahtjev za vanjsku aktivnost dok je na dopustu za osobne potrebe, izjavu o zaposlenju supružnika;</w:t>
      </w:r>
    </w:p>
    <w:p w:rsidR="00C04CF8" w:rsidRPr="00AE7E38" w:rsidRDefault="00C04CF8" w:rsidP="00C04CF8">
      <w:pPr>
        <w:pStyle w:val="NormalHanging12a"/>
      </w:pPr>
      <w:r w:rsidRPr="00AE7E38">
        <w:t>22.</w:t>
      </w:r>
      <w:r w:rsidRPr="00AE7E38">
        <w:tab/>
        <w:t>podsjeća da je važno da Agencija razvije veću vidljivost u medijima, na internetu i u društvenim medijima kako bi informirala građane o svojem radu;</w:t>
      </w:r>
    </w:p>
    <w:p w:rsidR="00C04CF8" w:rsidRPr="00AE7E38" w:rsidRDefault="00C04CF8" w:rsidP="00C04CF8">
      <w:pPr>
        <w:spacing w:after="240"/>
        <w:ind w:left="567" w:hanging="567"/>
        <w:rPr>
          <w:b/>
          <w:i/>
          <w:szCs w:val="24"/>
        </w:rPr>
      </w:pPr>
      <w:r w:rsidRPr="00AE7E38">
        <w:rPr>
          <w:b/>
          <w:i/>
        </w:rPr>
        <w:t>Ostale primjedbe</w:t>
      </w:r>
    </w:p>
    <w:p w:rsidR="00C04CF8" w:rsidRPr="00AE7E38" w:rsidRDefault="00C04CF8" w:rsidP="00C04CF8">
      <w:pPr>
        <w:spacing w:after="240"/>
        <w:ind w:left="567" w:hanging="567"/>
        <w:rPr>
          <w:b/>
          <w:i/>
          <w:szCs w:val="24"/>
        </w:rPr>
      </w:pPr>
      <w:r w:rsidRPr="00AE7E38">
        <w:lastRenderedPageBreak/>
        <w:t>23.</w:t>
      </w:r>
      <w:r w:rsidRPr="00AE7E38">
        <w:tab/>
        <w:t>napominje da je Agencija od veljače 2022. počela upotrebljavati alat Komisije za upravljanje javnom nabavom (PPMT), kojim je dodatno pojednostavnila svoje postupke javne nabave i osigurala upotrebu najnovijih predložaka i najboljih praksi Komisije u svakom koraku postupka;</w:t>
      </w:r>
    </w:p>
    <w:p w:rsidR="00C04CF8" w:rsidRPr="00AE7E38" w:rsidRDefault="00C04CF8" w:rsidP="00C04CF8">
      <w:pPr>
        <w:spacing w:after="240"/>
        <w:ind w:left="567" w:hanging="567"/>
        <w:rPr>
          <w:szCs w:val="24"/>
        </w:rPr>
      </w:pPr>
      <w:r w:rsidRPr="00AE7E38">
        <w:t>24.</w:t>
      </w:r>
      <w:r w:rsidRPr="00AE7E38">
        <w:tab/>
        <w:t xml:space="preserve">potvrđuje da se Agencija, kako bi povećala </w:t>
      </w:r>
      <w:proofErr w:type="spellStart"/>
      <w:r w:rsidRPr="00AE7E38">
        <w:t>kibernetičku</w:t>
      </w:r>
      <w:proofErr w:type="spellEnd"/>
      <w:r w:rsidRPr="00AE7E38">
        <w:t xml:space="preserve"> sigurnost i zaštitu digitalnih zapisa u svojem posjedu, koristi dvama čimbenicima </w:t>
      </w:r>
      <w:proofErr w:type="spellStart"/>
      <w:r w:rsidRPr="00AE7E38">
        <w:t>autentifikacije</w:t>
      </w:r>
      <w:proofErr w:type="spellEnd"/>
      <w:r w:rsidRPr="00AE7E38">
        <w:t xml:space="preserve">, </w:t>
      </w:r>
      <w:proofErr w:type="spellStart"/>
      <w:r w:rsidRPr="00AE7E38">
        <w:t>vatrozidovima</w:t>
      </w:r>
      <w:proofErr w:type="spellEnd"/>
      <w:r w:rsidRPr="00AE7E38">
        <w:t xml:space="preserve"> internetske aplikacije, automatiziranim sigurnosnim kopijama, primijenjenim šifriranjem (ako je primjenjivo/mogućim) i redovitim testovima oporavka sustava ključnih za poslovanje; nadalje, napominje da Agencija osim toga upotrebljava zaštitu koja se temelji na softveru za uređaje krajnjih korisnika kao što su prijenosna računala i mobilni telefoni te sigurnosne usluge u području IKT-a koje pruža CERT-EU;</w:t>
      </w:r>
    </w:p>
    <w:p w:rsidR="00C04CF8" w:rsidRPr="00AE7E38" w:rsidRDefault="00C04CF8" w:rsidP="00C04CF8">
      <w:pPr>
        <w:pStyle w:val="NormalHanging12a"/>
      </w:pPr>
      <w:r w:rsidRPr="00AE7E38">
        <w:t>25.</w:t>
      </w:r>
      <w:r w:rsidRPr="00AE7E38">
        <w:tab/>
        <w:t xml:space="preserve">pozdravlja napore Agencije da s novim zakonodavstvom kojim se utvrđuju mjere za </w:t>
      </w:r>
      <w:proofErr w:type="spellStart"/>
      <w:r w:rsidRPr="00AE7E38">
        <w:t>kibernetičku</w:t>
      </w:r>
      <w:proofErr w:type="spellEnd"/>
      <w:r w:rsidRPr="00AE7E38">
        <w:t xml:space="preserve"> sigurnost u institucijama, tijelima, uredima i agencijama Unije postupa kao prioritetom; sa zabrinutošću primjećuje moguće nerazmjerno opterećenje Uredbe o </w:t>
      </w:r>
      <w:proofErr w:type="spellStart"/>
      <w:r w:rsidRPr="00AE7E38">
        <w:t>kibersigurnosti</w:t>
      </w:r>
      <w:proofErr w:type="spellEnd"/>
      <w:r w:rsidRPr="00AE7E38">
        <w:t xml:space="preserve"> za male agencije, kao što je Ured BEREC-a, koje bi moglo ugroziti usklađenost; poziva Komisiju da to uzme u obzir u programskim ciklusima sljedećih godina;</w:t>
      </w:r>
    </w:p>
    <w:p w:rsidR="00C04CF8" w:rsidRPr="00AE7E38" w:rsidRDefault="00C04CF8" w:rsidP="00C04CF8">
      <w:pPr>
        <w:spacing w:after="240"/>
        <w:ind w:left="567" w:hanging="567"/>
        <w:rPr>
          <w:rFonts w:eastAsia="Calibri"/>
          <w:szCs w:val="24"/>
        </w:rPr>
      </w:pPr>
      <w:r w:rsidRPr="00AE7E38">
        <w:t>26.</w:t>
      </w:r>
      <w:r w:rsidRPr="00AE7E38">
        <w:tab/>
        <w:t xml:space="preserve">pozdravlja činjenicu da je upravni odbor Agencije uspostavio certifikat EMAS kao cilj za sljedeće tri godine; svjestan je da je Agencija započela internu pripremu za certifikaciju, što uključuje daljnja ažuriranja izračuna ugljičnog otiska Agencije, sudjelovanje u </w:t>
      </w:r>
      <w:proofErr w:type="spellStart"/>
      <w:r w:rsidRPr="00AE7E38">
        <w:t>twinningu</w:t>
      </w:r>
      <w:proofErr w:type="spellEnd"/>
      <w:r w:rsidRPr="00AE7E38">
        <w:t xml:space="preserve"> zelene mreže </w:t>
      </w:r>
      <w:proofErr w:type="spellStart"/>
      <w:r w:rsidRPr="00AE7E38">
        <w:t>Mreže</w:t>
      </w:r>
      <w:proofErr w:type="spellEnd"/>
      <w:r w:rsidRPr="00AE7E38">
        <w:t xml:space="preserve"> agencija EU-a i drugo;</w:t>
      </w:r>
    </w:p>
    <w:p w:rsidR="00C04CF8" w:rsidRPr="00AE7E38" w:rsidRDefault="00C04CF8" w:rsidP="00C04CF8">
      <w:pPr>
        <w:pStyle w:val="NormalHanging12a"/>
      </w:pPr>
      <w:r w:rsidRPr="00AE7E38">
        <w:t>27.</w:t>
      </w:r>
      <w:r w:rsidRPr="00AE7E38">
        <w:tab/>
        <w:t xml:space="preserve">sa zadovoljstvom pozdravlja sudjelovanje ukrajinskog nacionalnog regulatornog tijela u svakodnevnom radu Agencije; pozdravlja uspostavu okvira za suradnju Agencije i njezinih članova kako bi se odgovorilo na izazove </w:t>
      </w:r>
      <w:proofErr w:type="spellStart"/>
      <w:r w:rsidRPr="00AE7E38">
        <w:t>povezivosti</w:t>
      </w:r>
      <w:proofErr w:type="spellEnd"/>
      <w:r w:rsidRPr="00AE7E38">
        <w:t xml:space="preserve"> i otvorio put usklađivanju ukrajinskih propisa o elektroničkim komunikacijama s europskim telekomunikacijskim okvirom; nadalje cijeni činjenicu da je na temelju podataka koje je Agencija prikupila od subjekata iz Unije i Ukrajine o primijenjenim maloprodajnim mjerama dogovorena zajednička izjava, kojom je uspostavljen stabilan okvir za pomoć osobama koje bježe od rata u Ukrajini da ostanu povezani sa svojim obiteljima i prijateljima kod kuće i zadrže pristup informacijama;</w:t>
      </w:r>
    </w:p>
    <w:p w:rsidR="00C04CF8" w:rsidRPr="00AE7E38" w:rsidRDefault="00C04CF8" w:rsidP="00C04CF8">
      <w:pPr>
        <w:pStyle w:val="NormalHanging12a"/>
      </w:pPr>
      <w:r w:rsidRPr="00AE7E38">
        <w:t>28.</w:t>
      </w:r>
      <w:r w:rsidRPr="00AE7E38">
        <w:tab/>
        <w:t xml:space="preserve">pohvaljuje napore koje je Agencija 2022. uložila u podizanje javne svijesti o svojem mandatu i radu u Latviji s pomoću komunikacijskih inicijativa manjeg opsega, kao što je, na primjer, ugošćivanje studenata Sveučilišta u Rigi </w:t>
      </w:r>
      <w:proofErr w:type="spellStart"/>
      <w:r w:rsidRPr="00AE7E38">
        <w:t>Stradiņš</w:t>
      </w:r>
      <w:proofErr w:type="spellEnd"/>
      <w:r w:rsidRPr="00AE7E38">
        <w:t>, poticanje partnerstva kojim se poboljšava njihovo razumijevanje agencija EU-a, posebno u Latviji, koje se prenosi uživo kako bi se proslavio Dan Europe u Latviji, u organizaciji Predstavništva Europske komisije u toj zemlji i drugih događanja; poziva Agenciju da nastavi raditi na povećanju vidljivosti Agencije, posebno u državi članici domaćinu;</w:t>
      </w:r>
    </w:p>
    <w:p w:rsidR="00C04CF8" w:rsidRPr="00AE7E38" w:rsidRDefault="00C04CF8" w:rsidP="00C04CF8">
      <w:pPr>
        <w:pStyle w:val="NormalHanging12a"/>
      </w:pPr>
      <w:r w:rsidRPr="00AE7E38">
        <w:t>29.</w:t>
      </w:r>
      <w:r w:rsidRPr="00AE7E38">
        <w:tab/>
        <w:t>pozdravlja činjenicu da su lokalni uredi Parlamenta i Komisije u Rigi i Agencija udružili svoje napore u zajedničkom radu na uspostavi zajedničkog doma Europe, koji će biti „dom” svih institucija Unije i Agencije u Latviji;</w:t>
      </w:r>
    </w:p>
    <w:p w:rsidR="00C04CF8" w:rsidRPr="00AE7E38" w:rsidRDefault="00C04CF8" w:rsidP="00C04CF8">
      <w:pPr>
        <w:pStyle w:val="NormalCenter12a"/>
      </w:pPr>
      <w:r w:rsidRPr="00AE7E38">
        <w:t>°</w:t>
      </w:r>
    </w:p>
    <w:p w:rsidR="00C04CF8" w:rsidRPr="00AE7E38" w:rsidRDefault="00C04CF8" w:rsidP="00C04CF8">
      <w:pPr>
        <w:pStyle w:val="NormalCenter12a"/>
      </w:pPr>
      <w:r w:rsidRPr="00AE7E38">
        <w:t>°</w:t>
      </w:r>
      <w:r w:rsidRPr="00AE7E38">
        <w:tab/>
        <w:t>°</w:t>
      </w:r>
    </w:p>
    <w:p w:rsidR="00C04CF8" w:rsidRPr="00AE7E38" w:rsidRDefault="00C04CF8" w:rsidP="00AE7E38">
      <w:pPr>
        <w:ind w:left="567" w:hanging="567"/>
      </w:pPr>
      <w:r w:rsidRPr="00AE7E38">
        <w:lastRenderedPageBreak/>
        <w:t>30.</w:t>
      </w:r>
      <w:r w:rsidRPr="00AE7E38">
        <w:tab/>
        <w:t xml:space="preserve">u vezi s drugim primjedbama priloženima Odluci o razrješnici i horizontalne naravi upućuje na svoju Rezoluciju od </w:t>
      </w:r>
      <w:r w:rsidR="00CB5EC1">
        <w:t>11. travnja 2024.</w:t>
      </w:r>
      <w:r w:rsidRPr="00AE7E38">
        <w:rPr>
          <w:vertAlign w:val="superscript"/>
        </w:rPr>
        <w:footnoteReference w:id="12"/>
      </w:r>
      <w:r w:rsidRPr="00AE7E38">
        <w:t xml:space="preserve"> o uspješnosti, financijskom upravljanju i nadzoru agencija.</w:t>
      </w:r>
    </w:p>
    <w:sectPr w:rsidR="00C04CF8" w:rsidRPr="00AE7E38" w:rsidSect="004E677B">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2371" w:rsidRPr="004E677B" w:rsidRDefault="007D2371">
      <w:r w:rsidRPr="004E677B">
        <w:separator/>
      </w:r>
    </w:p>
  </w:endnote>
  <w:endnote w:type="continuationSeparator" w:id="0">
    <w:p w:rsidR="007D2371" w:rsidRPr="004E677B" w:rsidRDefault="007D2371">
      <w:r w:rsidRPr="004E677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engXian Light">
    <w:altName w:val="等线 Light"/>
    <w:panose1 w:val="00000000000000000000"/>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DengXian">
    <w:altName w:val="等线"/>
    <w:panose1 w:val="02010600030101010101"/>
    <w:charset w:val="86"/>
    <w:family w:val="modern"/>
    <w:pitch w:val="fixed"/>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CF8" w:rsidRPr="004E677B" w:rsidRDefault="00C04CF8" w:rsidP="00611633">
    <w:pPr>
      <w:pStyle w:val="EPFooter"/>
    </w:pPr>
    <w:r w:rsidRPr="004E677B">
      <w:t>PE</w:t>
    </w:r>
    <w:r w:rsidRPr="004E677B">
      <w:rPr>
        <w:rStyle w:val="HideTWBExt"/>
      </w:rPr>
      <w:t>&lt;</w:t>
    </w:r>
    <w:proofErr w:type="spellStart"/>
    <w:r w:rsidRPr="004E677B">
      <w:rPr>
        <w:rStyle w:val="HideTWBExt"/>
      </w:rPr>
      <w:t>NoPE</w:t>
    </w:r>
    <w:proofErr w:type="spellEnd"/>
    <w:r w:rsidRPr="004E677B">
      <w:rPr>
        <w:rStyle w:val="HideTWBExt"/>
      </w:rPr>
      <w:t>&gt;</w:t>
    </w:r>
    <w:r w:rsidRPr="004E677B">
      <w:t>753.507</w:t>
    </w:r>
    <w:r w:rsidRPr="004E677B">
      <w:rPr>
        <w:rStyle w:val="HideTWBExt"/>
      </w:rPr>
      <w:t>&lt;/</w:t>
    </w:r>
    <w:proofErr w:type="spellStart"/>
    <w:r w:rsidRPr="004E677B">
      <w:rPr>
        <w:rStyle w:val="HideTWBExt"/>
      </w:rPr>
      <w:t>NoPE</w:t>
    </w:r>
    <w:proofErr w:type="spellEnd"/>
    <w:r w:rsidRPr="004E677B">
      <w:rPr>
        <w:rStyle w:val="HideTWBExt"/>
      </w:rPr>
      <w:t>&gt;&lt;Version&gt;</w:t>
    </w:r>
    <w:r w:rsidRPr="004E677B">
      <w:t>v02-00</w:t>
    </w:r>
    <w:r w:rsidRPr="004E677B">
      <w:rPr>
        <w:rStyle w:val="HideTWBExt"/>
      </w:rPr>
      <w:t>&lt;/</w:t>
    </w:r>
    <w:proofErr w:type="spellStart"/>
    <w:r w:rsidRPr="004E677B">
      <w:rPr>
        <w:rStyle w:val="HideTWBExt"/>
      </w:rPr>
      <w:t>Version</w:t>
    </w:r>
    <w:proofErr w:type="spellEnd"/>
    <w:r w:rsidRPr="004E677B">
      <w:rPr>
        <w:rStyle w:val="HideTWBExt"/>
      </w:rPr>
      <w:t>&gt;</w:t>
    </w:r>
    <w:r w:rsidRPr="004E677B">
      <w:tab/>
    </w:r>
    <w:r w:rsidRPr="004E677B">
      <w:fldChar w:fldCharType="begin"/>
    </w:r>
    <w:r w:rsidRPr="004E677B">
      <w:instrText xml:space="preserve"> PAGE  \* MERGEFORMAT </w:instrText>
    </w:r>
    <w:r w:rsidRPr="004E677B">
      <w:fldChar w:fldCharType="separate"/>
    </w:r>
    <w:r w:rsidR="004E677B" w:rsidRPr="004E677B">
      <w:rPr>
        <w:noProof/>
      </w:rPr>
      <w:t>2</w:t>
    </w:r>
    <w:r w:rsidRPr="004E677B">
      <w:fldChar w:fldCharType="end"/>
    </w:r>
    <w:r w:rsidRPr="004E677B">
      <w:t>/</w:t>
    </w:r>
    <w:fldSimple w:instr=" NUMPAGES  \* MERGEFORMAT ">
      <w:r w:rsidR="004E677B" w:rsidRPr="004E677B">
        <w:rPr>
          <w:noProof/>
        </w:rPr>
        <w:t>4</w:t>
      </w:r>
    </w:fldSimple>
    <w:r w:rsidRPr="004E677B">
      <w:tab/>
    </w:r>
    <w:r w:rsidRPr="004E677B">
      <w:rPr>
        <w:rStyle w:val="HideTWBExt"/>
      </w:rPr>
      <w:t>&lt;PathFdR&gt;</w:t>
    </w:r>
    <w:r w:rsidRPr="004E677B">
      <w:t>RR\1299071HR.docx</w:t>
    </w:r>
    <w:r w:rsidRPr="004E677B">
      <w:rPr>
        <w:rStyle w:val="HideTWBExt"/>
      </w:rPr>
      <w:t>&lt;/</w:t>
    </w:r>
    <w:proofErr w:type="spellStart"/>
    <w:r w:rsidRPr="004E677B">
      <w:rPr>
        <w:rStyle w:val="HideTWBExt"/>
      </w:rPr>
      <w:t>PathFdR</w:t>
    </w:r>
    <w:proofErr w:type="spellEnd"/>
    <w:r w:rsidRPr="004E677B">
      <w:rPr>
        <w:rStyle w:val="HideTWBExt"/>
      </w:rPr>
      <w:t>&gt;</w:t>
    </w:r>
  </w:p>
  <w:p w:rsidR="00C04CF8" w:rsidRPr="004E677B" w:rsidRDefault="00C04CF8" w:rsidP="00611633">
    <w:pPr>
      <w:pStyle w:val="EPFooter2"/>
    </w:pPr>
    <w:r w:rsidRPr="004E677B">
      <w:t>HR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4CF8" w:rsidRPr="004E677B" w:rsidRDefault="00C04CF8" w:rsidP="00611633">
    <w:pPr>
      <w:pStyle w:val="EPFooter"/>
    </w:pPr>
    <w:r w:rsidRPr="004E677B">
      <w:rPr>
        <w:rStyle w:val="HideTWBExt"/>
      </w:rPr>
      <w:t>&lt;PathFdR&gt;</w:t>
    </w:r>
    <w:r w:rsidRPr="004E677B">
      <w:t>RR\1299071HR.docx</w:t>
    </w:r>
    <w:r w:rsidRPr="004E677B">
      <w:rPr>
        <w:rStyle w:val="HideTWBExt"/>
      </w:rPr>
      <w:t>&lt;/</w:t>
    </w:r>
    <w:proofErr w:type="spellStart"/>
    <w:r w:rsidRPr="004E677B">
      <w:rPr>
        <w:rStyle w:val="HideTWBExt"/>
      </w:rPr>
      <w:t>PathFdR</w:t>
    </w:r>
    <w:proofErr w:type="spellEnd"/>
    <w:r w:rsidRPr="004E677B">
      <w:rPr>
        <w:rStyle w:val="HideTWBExt"/>
      </w:rPr>
      <w:t>&gt;</w:t>
    </w:r>
    <w:r w:rsidRPr="004E677B">
      <w:tab/>
    </w:r>
    <w:r w:rsidRPr="004E677B">
      <w:tab/>
      <w:t>PE</w:t>
    </w:r>
    <w:r w:rsidRPr="004E677B">
      <w:rPr>
        <w:rStyle w:val="HideTWBExt"/>
      </w:rPr>
      <w:t>&lt;</w:t>
    </w:r>
    <w:proofErr w:type="spellStart"/>
    <w:r w:rsidRPr="004E677B">
      <w:rPr>
        <w:rStyle w:val="HideTWBExt"/>
      </w:rPr>
      <w:t>NoPE</w:t>
    </w:r>
    <w:proofErr w:type="spellEnd"/>
    <w:r w:rsidRPr="004E677B">
      <w:rPr>
        <w:rStyle w:val="HideTWBExt"/>
      </w:rPr>
      <w:t>&gt;</w:t>
    </w:r>
    <w:r w:rsidRPr="004E677B">
      <w:t>753.507</w:t>
    </w:r>
    <w:r w:rsidRPr="004E677B">
      <w:rPr>
        <w:rStyle w:val="HideTWBExt"/>
      </w:rPr>
      <w:t>&lt;/</w:t>
    </w:r>
    <w:proofErr w:type="spellStart"/>
    <w:r w:rsidRPr="004E677B">
      <w:rPr>
        <w:rStyle w:val="HideTWBExt"/>
      </w:rPr>
      <w:t>NoPE</w:t>
    </w:r>
    <w:proofErr w:type="spellEnd"/>
    <w:r w:rsidRPr="004E677B">
      <w:rPr>
        <w:rStyle w:val="HideTWBExt"/>
      </w:rPr>
      <w:t>&gt;&lt;Version&gt;</w:t>
    </w:r>
    <w:r w:rsidRPr="004E677B">
      <w:t>v02-00</w:t>
    </w:r>
    <w:r w:rsidRPr="004E677B">
      <w:rPr>
        <w:rStyle w:val="HideTWBExt"/>
      </w:rPr>
      <w:t>&lt;/</w:t>
    </w:r>
    <w:proofErr w:type="spellStart"/>
    <w:r w:rsidRPr="004E677B">
      <w:rPr>
        <w:rStyle w:val="HideTWBExt"/>
      </w:rPr>
      <w:t>Version</w:t>
    </w:r>
    <w:proofErr w:type="spellEnd"/>
    <w:r w:rsidRPr="004E677B">
      <w:rPr>
        <w:rStyle w:val="HideTWBExt"/>
      </w:rPr>
      <w:t>&gt;</w:t>
    </w:r>
  </w:p>
  <w:p w:rsidR="00C04CF8" w:rsidRPr="004E677B" w:rsidRDefault="00C04CF8" w:rsidP="00611633">
    <w:pPr>
      <w:pStyle w:val="EPFooter2"/>
    </w:pPr>
    <w:r w:rsidRPr="004E677B">
      <w:t>HR</w:t>
    </w:r>
    <w:r w:rsidRPr="004E677B">
      <w:tab/>
    </w:r>
    <w:r w:rsidRPr="004E677B">
      <w:rPr>
        <w:b w:val="0"/>
        <w:i/>
        <w:color w:val="C0C0C0"/>
        <w:sz w:val="22"/>
      </w:rPr>
      <w:t>Ujedinjena u raznolikosti</w:t>
    </w:r>
    <w:r w:rsidRPr="004E677B">
      <w:tab/>
      <w:t>HR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677B"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677B"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677B"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2371" w:rsidRPr="004E677B" w:rsidRDefault="007D2371">
      <w:r w:rsidRPr="004E677B">
        <w:separator/>
      </w:r>
    </w:p>
  </w:footnote>
  <w:footnote w:type="continuationSeparator" w:id="0">
    <w:p w:rsidR="007D2371" w:rsidRPr="004E677B" w:rsidRDefault="007D2371">
      <w:r w:rsidRPr="004E677B">
        <w:continuationSeparator/>
      </w:r>
    </w:p>
  </w:footnote>
  <w:footnote w:id="1">
    <w:p w:rsidR="00C04CF8" w:rsidRPr="004E677B" w:rsidRDefault="00C04CF8" w:rsidP="004E677B">
      <w:pPr>
        <w:pStyle w:val="FootnoteText"/>
        <w:ind w:left="567" w:hanging="567"/>
        <w:rPr>
          <w:sz w:val="24"/>
          <w:lang w:val="hr-HR"/>
        </w:rPr>
      </w:pPr>
      <w:r w:rsidRPr="004E677B">
        <w:rPr>
          <w:rStyle w:val="FootnoteReference"/>
          <w:sz w:val="24"/>
          <w:lang w:val="hr-HR"/>
        </w:rPr>
        <w:footnoteRef/>
      </w:r>
      <w:r w:rsidR="004E677B" w:rsidRPr="004E677B">
        <w:rPr>
          <w:sz w:val="24"/>
          <w:lang w:val="hr-HR"/>
        </w:rPr>
        <w:t xml:space="preserve"> </w:t>
      </w:r>
      <w:r w:rsidR="004E677B" w:rsidRPr="004E677B">
        <w:rPr>
          <w:sz w:val="24"/>
          <w:lang w:val="hr-HR"/>
        </w:rPr>
        <w:tab/>
      </w:r>
      <w:r w:rsidRPr="004E677B">
        <w:rPr>
          <w:sz w:val="24"/>
          <w:lang w:val="hr-HR"/>
        </w:rPr>
        <w:t>SL C, C/2023/594, 27.10.2023.</w:t>
      </w:r>
    </w:p>
  </w:footnote>
  <w:footnote w:id="2">
    <w:p w:rsidR="00C04CF8" w:rsidRPr="004E677B" w:rsidRDefault="00C04CF8" w:rsidP="004E677B">
      <w:pPr>
        <w:pStyle w:val="FootnoteText"/>
        <w:ind w:left="567" w:hanging="567"/>
        <w:rPr>
          <w:sz w:val="24"/>
          <w:lang w:val="hr-HR"/>
        </w:rPr>
      </w:pPr>
      <w:r w:rsidRPr="004E677B">
        <w:rPr>
          <w:rStyle w:val="FootnoteReference"/>
          <w:sz w:val="24"/>
          <w:lang w:val="hr-HR"/>
        </w:rPr>
        <w:footnoteRef/>
      </w:r>
      <w:r w:rsidR="004E677B" w:rsidRPr="004E677B">
        <w:rPr>
          <w:sz w:val="24"/>
          <w:lang w:val="hr-HR"/>
        </w:rPr>
        <w:t xml:space="preserve"> </w:t>
      </w:r>
      <w:r w:rsidR="004E677B" w:rsidRPr="004E677B">
        <w:rPr>
          <w:sz w:val="24"/>
          <w:lang w:val="hr-HR"/>
        </w:rPr>
        <w:tab/>
      </w:r>
      <w:r w:rsidRPr="004E677B">
        <w:rPr>
          <w:sz w:val="24"/>
          <w:lang w:val="hr-HR"/>
        </w:rPr>
        <w:t>SL C, C/2023/112, 12.10.2023.</w:t>
      </w:r>
    </w:p>
  </w:footnote>
  <w:footnote w:id="3">
    <w:p w:rsidR="00C04CF8" w:rsidRPr="004E677B" w:rsidRDefault="00C04CF8" w:rsidP="004E677B">
      <w:pPr>
        <w:pStyle w:val="FootnoteText"/>
        <w:ind w:left="567" w:hanging="567"/>
        <w:rPr>
          <w:sz w:val="24"/>
          <w:lang w:val="hr-HR"/>
        </w:rPr>
      </w:pPr>
      <w:r w:rsidRPr="004E677B">
        <w:rPr>
          <w:rStyle w:val="FootnoteReference"/>
          <w:sz w:val="24"/>
          <w:lang w:val="hr-HR"/>
        </w:rPr>
        <w:footnoteRef/>
      </w:r>
      <w:r w:rsidR="004E677B" w:rsidRPr="004E677B">
        <w:rPr>
          <w:sz w:val="24"/>
          <w:lang w:val="hr-HR"/>
        </w:rPr>
        <w:t xml:space="preserve"> </w:t>
      </w:r>
      <w:r w:rsidR="004E677B" w:rsidRPr="004E677B">
        <w:rPr>
          <w:sz w:val="24"/>
          <w:lang w:val="hr-HR"/>
        </w:rPr>
        <w:tab/>
      </w:r>
      <w:r w:rsidRPr="004E677B">
        <w:rPr>
          <w:sz w:val="24"/>
          <w:lang w:val="hr-HR"/>
        </w:rPr>
        <w:t>SL L 193, 30.7.2018., str. 1.</w:t>
      </w:r>
    </w:p>
  </w:footnote>
  <w:footnote w:id="4">
    <w:p w:rsidR="00C04CF8" w:rsidRPr="004E677B" w:rsidRDefault="00C04CF8" w:rsidP="004E677B">
      <w:pPr>
        <w:pStyle w:val="FootnoteText"/>
        <w:ind w:left="567" w:hanging="567"/>
        <w:rPr>
          <w:sz w:val="24"/>
          <w:szCs w:val="24"/>
          <w:lang w:val="hr-HR"/>
        </w:rPr>
      </w:pPr>
      <w:r w:rsidRPr="004E677B">
        <w:rPr>
          <w:rStyle w:val="FootnoteReference"/>
          <w:sz w:val="24"/>
          <w:lang w:val="hr-HR"/>
        </w:rPr>
        <w:footnoteRef/>
      </w:r>
      <w:r w:rsidR="004E677B" w:rsidRPr="004E677B">
        <w:rPr>
          <w:sz w:val="24"/>
          <w:lang w:val="hr-HR"/>
        </w:rPr>
        <w:t xml:space="preserve"> </w:t>
      </w:r>
      <w:r w:rsidR="004E677B" w:rsidRPr="004E677B">
        <w:rPr>
          <w:sz w:val="24"/>
          <w:lang w:val="hr-HR"/>
        </w:rPr>
        <w:tab/>
      </w:r>
      <w:r w:rsidRPr="004E677B">
        <w:rPr>
          <w:sz w:val="24"/>
          <w:lang w:val="hr-HR"/>
        </w:rPr>
        <w:t>SL L 321, 17.12.2018., str. 1.</w:t>
      </w:r>
    </w:p>
  </w:footnote>
  <w:footnote w:id="5">
    <w:p w:rsidR="00C04CF8" w:rsidRPr="004E677B" w:rsidRDefault="00C04CF8" w:rsidP="004E677B">
      <w:pPr>
        <w:pStyle w:val="FootnoteText"/>
        <w:ind w:left="567" w:hanging="567"/>
        <w:rPr>
          <w:sz w:val="24"/>
          <w:lang w:val="hr-HR"/>
        </w:rPr>
      </w:pPr>
      <w:r w:rsidRPr="004E677B">
        <w:rPr>
          <w:rStyle w:val="FootnoteReference"/>
          <w:sz w:val="24"/>
          <w:lang w:val="hr-HR"/>
        </w:rPr>
        <w:footnoteRef/>
      </w:r>
      <w:r w:rsidR="004E677B" w:rsidRPr="004E677B">
        <w:rPr>
          <w:sz w:val="24"/>
          <w:lang w:val="hr-HR"/>
        </w:rPr>
        <w:t xml:space="preserve"> </w:t>
      </w:r>
      <w:r w:rsidR="004E677B" w:rsidRPr="004E677B">
        <w:rPr>
          <w:sz w:val="24"/>
          <w:lang w:val="hr-HR"/>
        </w:rPr>
        <w:tab/>
      </w:r>
      <w:r w:rsidRPr="004E677B">
        <w:rPr>
          <w:sz w:val="24"/>
          <w:lang w:val="hr-HR"/>
        </w:rPr>
        <w:t>SL L 122, 10.5.2019., str. 1.</w:t>
      </w:r>
    </w:p>
  </w:footnote>
  <w:footnote w:id="6">
    <w:p w:rsidR="00C04CF8" w:rsidRPr="004E677B" w:rsidRDefault="00C04CF8" w:rsidP="004E677B">
      <w:pPr>
        <w:pStyle w:val="FootnoteText"/>
        <w:ind w:left="567" w:hanging="567"/>
        <w:rPr>
          <w:sz w:val="24"/>
          <w:lang w:val="hr-HR"/>
        </w:rPr>
      </w:pPr>
      <w:r w:rsidRPr="004E677B">
        <w:rPr>
          <w:rStyle w:val="FootnoteReference"/>
          <w:sz w:val="24"/>
          <w:lang w:val="hr-HR"/>
        </w:rPr>
        <w:footnoteRef/>
      </w:r>
      <w:r w:rsidR="004E677B" w:rsidRPr="004E677B">
        <w:rPr>
          <w:sz w:val="24"/>
          <w:lang w:val="hr-HR"/>
        </w:rPr>
        <w:t xml:space="preserve"> </w:t>
      </w:r>
      <w:r w:rsidR="004E677B" w:rsidRPr="004E677B">
        <w:rPr>
          <w:sz w:val="24"/>
          <w:lang w:val="hr-HR"/>
        </w:rPr>
        <w:tab/>
      </w:r>
      <w:r w:rsidRPr="004E677B">
        <w:rPr>
          <w:sz w:val="24"/>
          <w:lang w:val="hr-HR"/>
        </w:rPr>
        <w:t>SL C, C/2023/594, 27.10.2023.</w:t>
      </w:r>
    </w:p>
  </w:footnote>
  <w:footnote w:id="7">
    <w:p w:rsidR="00C04CF8" w:rsidRPr="004E677B" w:rsidRDefault="00C04CF8" w:rsidP="004E677B">
      <w:pPr>
        <w:pStyle w:val="FootnoteText"/>
        <w:ind w:left="567" w:hanging="567"/>
        <w:rPr>
          <w:sz w:val="24"/>
          <w:lang w:val="hr-HR"/>
        </w:rPr>
      </w:pPr>
      <w:r w:rsidRPr="004E677B">
        <w:rPr>
          <w:rStyle w:val="FootnoteReference"/>
          <w:sz w:val="24"/>
          <w:lang w:val="hr-HR"/>
        </w:rPr>
        <w:footnoteRef/>
      </w:r>
      <w:r w:rsidR="004E677B" w:rsidRPr="004E677B">
        <w:rPr>
          <w:sz w:val="24"/>
          <w:lang w:val="hr-HR"/>
        </w:rPr>
        <w:t xml:space="preserve"> </w:t>
      </w:r>
      <w:r w:rsidR="004E677B" w:rsidRPr="004E677B">
        <w:rPr>
          <w:sz w:val="24"/>
          <w:lang w:val="hr-HR"/>
        </w:rPr>
        <w:tab/>
      </w:r>
      <w:r w:rsidRPr="004E677B">
        <w:rPr>
          <w:sz w:val="24"/>
          <w:lang w:val="hr-HR"/>
        </w:rPr>
        <w:t>SL C, C/2023/112, 12.10.2023.</w:t>
      </w:r>
    </w:p>
  </w:footnote>
  <w:footnote w:id="8">
    <w:p w:rsidR="00C04CF8" w:rsidRPr="004E677B" w:rsidRDefault="00C04CF8" w:rsidP="004E677B">
      <w:pPr>
        <w:pStyle w:val="FootnoteText"/>
        <w:ind w:left="567" w:hanging="567"/>
        <w:rPr>
          <w:sz w:val="24"/>
          <w:lang w:val="hr-HR"/>
        </w:rPr>
      </w:pPr>
      <w:r w:rsidRPr="004E677B">
        <w:rPr>
          <w:rStyle w:val="FootnoteReference"/>
          <w:sz w:val="24"/>
          <w:lang w:val="hr-HR"/>
        </w:rPr>
        <w:footnoteRef/>
      </w:r>
      <w:r w:rsidR="004E677B" w:rsidRPr="004E677B">
        <w:rPr>
          <w:sz w:val="24"/>
          <w:lang w:val="hr-HR"/>
        </w:rPr>
        <w:t xml:space="preserve"> </w:t>
      </w:r>
      <w:r w:rsidR="004E677B" w:rsidRPr="004E677B">
        <w:rPr>
          <w:sz w:val="24"/>
          <w:lang w:val="hr-HR"/>
        </w:rPr>
        <w:tab/>
      </w:r>
      <w:r w:rsidRPr="004E677B">
        <w:rPr>
          <w:sz w:val="24"/>
          <w:lang w:val="hr-HR"/>
        </w:rPr>
        <w:t>SL L 193, 30.7.2018., str. 1.</w:t>
      </w:r>
    </w:p>
  </w:footnote>
  <w:footnote w:id="9">
    <w:p w:rsidR="00C04CF8" w:rsidRPr="004E677B" w:rsidRDefault="00C04CF8" w:rsidP="004E677B">
      <w:pPr>
        <w:pStyle w:val="FootnoteText"/>
        <w:ind w:left="567" w:hanging="567"/>
        <w:rPr>
          <w:sz w:val="24"/>
          <w:szCs w:val="24"/>
          <w:lang w:val="hr-HR"/>
        </w:rPr>
      </w:pPr>
      <w:r w:rsidRPr="004E677B">
        <w:rPr>
          <w:rStyle w:val="FootnoteReference"/>
          <w:sz w:val="24"/>
          <w:lang w:val="hr-HR"/>
        </w:rPr>
        <w:footnoteRef/>
      </w:r>
      <w:r w:rsidR="004E677B" w:rsidRPr="004E677B">
        <w:rPr>
          <w:sz w:val="24"/>
          <w:lang w:val="hr-HR"/>
        </w:rPr>
        <w:t xml:space="preserve"> </w:t>
      </w:r>
      <w:r w:rsidR="004E677B" w:rsidRPr="004E677B">
        <w:rPr>
          <w:sz w:val="24"/>
          <w:lang w:val="hr-HR"/>
        </w:rPr>
        <w:tab/>
      </w:r>
      <w:r w:rsidRPr="004E677B">
        <w:rPr>
          <w:sz w:val="24"/>
          <w:lang w:val="hr-HR"/>
        </w:rPr>
        <w:t>SL L 321, 17.12.2018., str. 1.</w:t>
      </w:r>
    </w:p>
  </w:footnote>
  <w:footnote w:id="10">
    <w:p w:rsidR="00C04CF8" w:rsidRPr="004E677B" w:rsidRDefault="00C04CF8" w:rsidP="004E677B">
      <w:pPr>
        <w:pStyle w:val="FootnoteText"/>
        <w:ind w:left="567" w:hanging="567"/>
        <w:rPr>
          <w:sz w:val="24"/>
          <w:lang w:val="hr-HR"/>
        </w:rPr>
      </w:pPr>
      <w:r w:rsidRPr="004E677B">
        <w:rPr>
          <w:rStyle w:val="FootnoteReference"/>
          <w:sz w:val="24"/>
          <w:lang w:val="hr-HR"/>
        </w:rPr>
        <w:footnoteRef/>
      </w:r>
      <w:r w:rsidR="004E677B" w:rsidRPr="004E677B">
        <w:rPr>
          <w:sz w:val="24"/>
          <w:lang w:val="hr-HR"/>
        </w:rPr>
        <w:t xml:space="preserve"> </w:t>
      </w:r>
      <w:r w:rsidR="004E677B" w:rsidRPr="004E677B">
        <w:rPr>
          <w:sz w:val="24"/>
          <w:lang w:val="hr-HR"/>
        </w:rPr>
        <w:tab/>
      </w:r>
      <w:r w:rsidRPr="004E677B">
        <w:rPr>
          <w:sz w:val="24"/>
          <w:lang w:val="hr-HR"/>
        </w:rPr>
        <w:t>SL L 122, 10.5.2019., str. 1.</w:t>
      </w:r>
    </w:p>
  </w:footnote>
  <w:footnote w:id="11">
    <w:p w:rsidR="00C04CF8" w:rsidRPr="004E677B" w:rsidRDefault="00C04CF8" w:rsidP="004E677B">
      <w:pPr>
        <w:pStyle w:val="FootnoteText"/>
        <w:ind w:left="567" w:hanging="567"/>
        <w:rPr>
          <w:sz w:val="24"/>
          <w:lang w:val="hr-HR"/>
        </w:rPr>
      </w:pPr>
      <w:r w:rsidRPr="004E677B">
        <w:rPr>
          <w:rStyle w:val="FootnoteReference"/>
          <w:sz w:val="24"/>
          <w:lang w:val="hr-HR"/>
        </w:rPr>
        <w:footnoteRef/>
      </w:r>
      <w:r w:rsidR="004E677B" w:rsidRPr="004E677B">
        <w:rPr>
          <w:sz w:val="24"/>
          <w:lang w:val="hr-HR"/>
        </w:rPr>
        <w:t xml:space="preserve"> </w:t>
      </w:r>
      <w:r w:rsidR="004E677B" w:rsidRPr="004E677B">
        <w:rPr>
          <w:sz w:val="24"/>
          <w:lang w:val="hr-HR"/>
        </w:rPr>
        <w:tab/>
      </w:r>
      <w:r w:rsidRPr="004E677B">
        <w:rPr>
          <w:sz w:val="24"/>
          <w:lang w:val="hr-HR"/>
        </w:rPr>
        <w:t>SL C 119, 31.3.2023., str. 11.</w:t>
      </w:r>
    </w:p>
  </w:footnote>
  <w:footnote w:id="12">
    <w:p w:rsidR="00C04CF8" w:rsidRPr="004E677B" w:rsidRDefault="00C04CF8" w:rsidP="004E677B">
      <w:pPr>
        <w:pStyle w:val="FootnoteText"/>
        <w:ind w:left="567" w:hanging="567"/>
        <w:rPr>
          <w:sz w:val="24"/>
          <w:szCs w:val="24"/>
          <w:lang w:val="hr-HR"/>
        </w:rPr>
      </w:pPr>
      <w:r w:rsidRPr="004E677B">
        <w:rPr>
          <w:rStyle w:val="FootnoteReference"/>
          <w:sz w:val="24"/>
          <w:szCs w:val="24"/>
          <w:lang w:val="hr-HR"/>
        </w:rPr>
        <w:footnoteRef/>
      </w:r>
      <w:r w:rsidR="004E677B" w:rsidRPr="004E677B">
        <w:rPr>
          <w:sz w:val="24"/>
          <w:lang w:val="hr-HR"/>
        </w:rPr>
        <w:t xml:space="preserve"> </w:t>
      </w:r>
      <w:r w:rsidR="004E677B" w:rsidRPr="004E677B">
        <w:rPr>
          <w:sz w:val="24"/>
          <w:lang w:val="hr-HR"/>
        </w:rPr>
        <w:tab/>
      </w:r>
      <w:r w:rsidRPr="004E677B">
        <w:rPr>
          <w:sz w:val="24"/>
          <w:lang w:val="hr-HR"/>
        </w:rPr>
        <w:t>Us</w:t>
      </w:r>
      <w:r w:rsidR="000705B2">
        <w:rPr>
          <w:sz w:val="24"/>
          <w:lang w:val="hr-HR"/>
        </w:rPr>
        <w:t xml:space="preserve">vojeni tekstovi, </w:t>
      </w:r>
      <w:r w:rsidR="000705B2">
        <w:rPr>
          <w:sz w:val="24"/>
          <w:lang w:val="hr-HR"/>
        </w:rPr>
        <w:t>P9_TA(2024)0280</w:t>
      </w:r>
      <w:bookmarkStart w:id="10" w:name="_GoBack"/>
      <w:bookmarkEnd w:id="10"/>
      <w:r w:rsidRPr="004E677B">
        <w:rPr>
          <w:sz w:val="24"/>
          <w:lang w:val="hr-H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677B"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677B"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E677B"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23/2024"/>
    <w:docVar w:name="dvlangue" w:val="HR"/>
    <w:docVar w:name="dvnumam" w:val="0"/>
    <w:docVar w:name="dvpe" w:val="753.507"/>
    <w:docVar w:name="dvrapporteur" w:val="Izvjestitelj: "/>
    <w:docVar w:name="dvtitre" w:val="Odluka Europskog parlamenta od .... 2024. o razrješnici za izvršenje proračuna Agencije za potporu BEREC-u (Ured BEREC-a) za financijsku godinu 2022.(2023/2141(DEC))"/>
  </w:docVars>
  <w:rsids>
    <w:rsidRoot w:val="007D2371"/>
    <w:rsid w:val="00002272"/>
    <w:rsid w:val="00064002"/>
    <w:rsid w:val="000677B9"/>
    <w:rsid w:val="000705B2"/>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677B"/>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D2371"/>
    <w:rsid w:val="007E22AD"/>
    <w:rsid w:val="00817416"/>
    <w:rsid w:val="00842779"/>
    <w:rsid w:val="00862670"/>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E7E38"/>
    <w:rsid w:val="00AF3B82"/>
    <w:rsid w:val="00B12E95"/>
    <w:rsid w:val="00B22876"/>
    <w:rsid w:val="00B558F0"/>
    <w:rsid w:val="00BD48FE"/>
    <w:rsid w:val="00BD7BD8"/>
    <w:rsid w:val="00BE6ADC"/>
    <w:rsid w:val="00C04CF8"/>
    <w:rsid w:val="00C05BFE"/>
    <w:rsid w:val="00C23CD4"/>
    <w:rsid w:val="00C61C0C"/>
    <w:rsid w:val="00C941CB"/>
    <w:rsid w:val="00CB5EC1"/>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CN"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99ED01"/>
  <w15:chartTrackingRefBased/>
  <w15:docId w15:val="{A968A9B5-817A-46CC-B6ED-5ECC22A32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hr-H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04CF8"/>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04CF8"/>
    <w:pPr>
      <w:spacing w:before="480" w:after="240"/>
    </w:pPr>
  </w:style>
  <w:style w:type="paragraph" w:customStyle="1" w:styleId="PageHeading">
    <w:name w:val="PageHeading"/>
    <w:basedOn w:val="Normal"/>
    <w:rsid w:val="00C04CF8"/>
    <w:pPr>
      <w:keepNext/>
      <w:spacing w:after="480"/>
      <w:jc w:val="center"/>
    </w:pPr>
    <w:rPr>
      <w:rFonts w:ascii="Arial" w:hAnsi="Arial" w:cs="Arial"/>
      <w:b/>
    </w:rPr>
  </w:style>
  <w:style w:type="paragraph" w:customStyle="1" w:styleId="NormalBold">
    <w:name w:val="NormalBold"/>
    <w:basedOn w:val="Normal"/>
    <w:rsid w:val="00C04CF8"/>
    <w:rPr>
      <w:b/>
    </w:rPr>
  </w:style>
  <w:style w:type="paragraph" w:customStyle="1" w:styleId="NormalHanging12a">
    <w:name w:val="NormalHanging12a"/>
    <w:basedOn w:val="Normal"/>
    <w:link w:val="NormalHanging12aChar"/>
    <w:rsid w:val="00C04CF8"/>
    <w:pPr>
      <w:spacing w:after="240"/>
      <w:ind w:left="567" w:hanging="567"/>
    </w:pPr>
  </w:style>
  <w:style w:type="paragraph" w:customStyle="1" w:styleId="NormalCenter12a">
    <w:name w:val="NormalCenter12a"/>
    <w:basedOn w:val="Normal"/>
    <w:rsid w:val="00C04CF8"/>
    <w:pPr>
      <w:spacing w:after="240"/>
      <w:jc w:val="center"/>
    </w:pPr>
  </w:style>
  <w:style w:type="paragraph" w:styleId="Header">
    <w:name w:val="header"/>
    <w:basedOn w:val="Normal"/>
    <w:link w:val="HeaderChar"/>
    <w:rsid w:val="00C04CF8"/>
    <w:pPr>
      <w:tabs>
        <w:tab w:val="center" w:pos="4513"/>
        <w:tab w:val="right" w:pos="9026"/>
      </w:tabs>
    </w:pPr>
  </w:style>
  <w:style w:type="character" w:customStyle="1" w:styleId="HeaderChar">
    <w:name w:val="Header Char"/>
    <w:basedOn w:val="DefaultParagraphFont"/>
    <w:link w:val="Header"/>
    <w:rsid w:val="00C04CF8"/>
    <w:rPr>
      <w:sz w:val="24"/>
      <w:lang w:val="hr-HR"/>
    </w:rPr>
  </w:style>
  <w:style w:type="paragraph" w:customStyle="1" w:styleId="EPFooter">
    <w:name w:val="EPFooter"/>
    <w:basedOn w:val="Normal"/>
    <w:rsid w:val="00C04CF8"/>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C04CF8"/>
    <w:rPr>
      <w:sz w:val="24"/>
      <w:lang w:val="hr-HR"/>
    </w:rPr>
  </w:style>
  <w:style w:type="paragraph" w:customStyle="1" w:styleId="Normal12Hanging">
    <w:name w:val="Normal12Hanging"/>
    <w:basedOn w:val="Normal"/>
    <w:rsid w:val="00C04CF8"/>
    <w:pPr>
      <w:spacing w:after="240"/>
      <w:ind w:left="567" w:hanging="567"/>
    </w:pPr>
  </w:style>
  <w:style w:type="paragraph" w:styleId="Footer">
    <w:name w:val="footer"/>
    <w:basedOn w:val="Normal"/>
    <w:link w:val="FooterChar"/>
    <w:rsid w:val="00AE7E38"/>
    <w:pPr>
      <w:tabs>
        <w:tab w:val="center" w:pos="4513"/>
        <w:tab w:val="right" w:pos="9026"/>
      </w:tabs>
    </w:pPr>
  </w:style>
  <w:style w:type="character" w:customStyle="1" w:styleId="FooterChar">
    <w:name w:val="Footer Char"/>
    <w:basedOn w:val="DefaultParagraphFont"/>
    <w:link w:val="Footer"/>
    <w:rsid w:val="00AE7E38"/>
    <w:rPr>
      <w:sz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8D167D-3DDD-4D3E-8B5A-46A8C5FF4E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2989</Words>
  <Characters>18325</Characters>
  <Application>Microsoft Office Word</Application>
  <DocSecurity>0</DocSecurity>
  <Lines>152</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2024-04-11T14:23:00Z</dcterms:created>
  <dcterms:modified xsi:type="dcterms:W3CDTF">2024-04-11T14:23:00Z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A9-0123/2024</vt:lpwstr>
  </property>
  <property fmtid="{D5CDD505-2E9C-101B-9397-08002B2CF9AE}" pid="4" name="&lt;Type&gt;">
    <vt:lpwstr>RR</vt:lpwstr>
  </property>
</Properties>
</file>