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C93" w:rsidTr="0010095E">
        <w:trPr>
          <w:trHeight w:hRule="exact" w:val="1418"/>
        </w:trPr>
        <w:tc>
          <w:tcPr>
            <w:tcW w:w="6804" w:type="dxa"/>
            <w:shd w:val="clear" w:color="auto" w:fill="auto"/>
            <w:vAlign w:val="center"/>
          </w:tcPr>
          <w:p w:rsidR="00751A4A" w:rsidRPr="00747C93" w:rsidRDefault="005E71C7" w:rsidP="0010095E">
            <w:pPr>
              <w:pStyle w:val="EPName"/>
            </w:pPr>
            <w:r w:rsidRPr="00747C93">
              <w:t>Európai Parlament</w:t>
            </w:r>
          </w:p>
          <w:p w:rsidR="00751A4A" w:rsidRPr="00747C93" w:rsidRDefault="00817416" w:rsidP="00756632">
            <w:pPr>
              <w:pStyle w:val="EPTerm"/>
              <w:rPr>
                <w:rStyle w:val="HideTWBExt"/>
                <w:noProof w:val="0"/>
                <w:vanish w:val="0"/>
                <w:color w:val="auto"/>
              </w:rPr>
            </w:pPr>
            <w:r w:rsidRPr="00747C93">
              <w:t>2019-2024</w:t>
            </w:r>
          </w:p>
        </w:tc>
        <w:tc>
          <w:tcPr>
            <w:tcW w:w="2268" w:type="dxa"/>
            <w:shd w:val="clear" w:color="auto" w:fill="auto"/>
          </w:tcPr>
          <w:p w:rsidR="00751A4A" w:rsidRPr="00747C93" w:rsidRDefault="00187494" w:rsidP="0010095E">
            <w:pPr>
              <w:pStyle w:val="EPLogo"/>
            </w:pPr>
            <w:r w:rsidRPr="00747C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7C93" w:rsidRDefault="00D058B8" w:rsidP="004C5D52">
      <w:pPr>
        <w:pStyle w:val="LineTop"/>
      </w:pPr>
    </w:p>
    <w:p w:rsidR="00680577" w:rsidRPr="00747C93" w:rsidRDefault="005E71C7" w:rsidP="00680577">
      <w:pPr>
        <w:pStyle w:val="EPBodyTA1"/>
      </w:pPr>
      <w:r w:rsidRPr="00747C93">
        <w:t>ELFOGADOTT SZÖVEGEK</w:t>
      </w:r>
    </w:p>
    <w:p w:rsidR="00D058B8" w:rsidRPr="00747C93" w:rsidRDefault="00D058B8" w:rsidP="00D058B8">
      <w:pPr>
        <w:pStyle w:val="LineBottom"/>
      </w:pPr>
    </w:p>
    <w:p w:rsidR="005E71C7" w:rsidRPr="00747C93" w:rsidRDefault="005E71C7" w:rsidP="005E71C7">
      <w:pPr>
        <w:pStyle w:val="ATHeading1"/>
      </w:pPr>
      <w:bookmarkStart w:id="0" w:name="TANumber"/>
      <w:r w:rsidRPr="00747C93">
        <w:t>P9_</w:t>
      </w:r>
      <w:proofErr w:type="gramStart"/>
      <w:r w:rsidRPr="00747C93">
        <w:t>TA(</w:t>
      </w:r>
      <w:proofErr w:type="gramEnd"/>
      <w:r w:rsidRPr="00747C93">
        <w:t>2024)0</w:t>
      </w:r>
      <w:r w:rsidR="005338DD" w:rsidRPr="00747C93">
        <w:t>266</w:t>
      </w:r>
      <w:bookmarkEnd w:id="0"/>
    </w:p>
    <w:p w:rsidR="005E71C7" w:rsidRPr="00747C93" w:rsidRDefault="00975C61" w:rsidP="005E71C7">
      <w:pPr>
        <w:pStyle w:val="ATHeading2"/>
      </w:pPr>
      <w:r w:rsidRPr="00747C93">
        <w:t xml:space="preserve">2022. évi </w:t>
      </w:r>
      <w:proofErr w:type="gramStart"/>
      <w:r w:rsidRPr="00747C93">
        <w:t>mentesítés</w:t>
      </w:r>
      <w:proofErr w:type="gramEnd"/>
      <w:r w:rsidRPr="00747C93">
        <w:t>: A BEREC Működését Segítő Ügynökség (BEREC Hivatal)</w:t>
      </w:r>
    </w:p>
    <w:p w:rsidR="005E71C7" w:rsidRPr="00747C93" w:rsidRDefault="005E71C7" w:rsidP="005E71C7">
      <w:pPr>
        <w:rPr>
          <w:i/>
          <w:vanish/>
        </w:rPr>
      </w:pPr>
      <w:r w:rsidRPr="00747C93">
        <w:rPr>
          <w:i/>
        </w:rPr>
        <w:fldChar w:fldCharType="begin"/>
      </w:r>
      <w:r w:rsidRPr="00747C93">
        <w:rPr>
          <w:i/>
        </w:rPr>
        <w:instrText xml:space="preserve"> TC"(</w:instrText>
      </w:r>
      <w:bookmarkStart w:id="1" w:name="DocNumber"/>
      <w:r w:rsidRPr="00747C93">
        <w:rPr>
          <w:i/>
        </w:rPr>
        <w:instrText>A9-0123/2024</w:instrText>
      </w:r>
      <w:bookmarkEnd w:id="1"/>
      <w:r w:rsidRPr="00747C93">
        <w:rPr>
          <w:i/>
        </w:rPr>
        <w:instrText xml:space="preserve"> - Előadó: Petri </w:instrText>
      </w:r>
      <w:proofErr w:type="spellStart"/>
      <w:r w:rsidRPr="00747C93">
        <w:rPr>
          <w:i/>
        </w:rPr>
        <w:instrText>Sarvamaa</w:instrText>
      </w:r>
      <w:proofErr w:type="spellEnd"/>
      <w:r w:rsidRPr="00747C93">
        <w:rPr>
          <w:i/>
        </w:rPr>
        <w:instrText xml:space="preserve">)"\l3 \n&gt; \* MERGEFORMAT </w:instrText>
      </w:r>
      <w:r w:rsidRPr="00747C93">
        <w:rPr>
          <w:i/>
        </w:rPr>
        <w:fldChar w:fldCharType="end"/>
      </w:r>
    </w:p>
    <w:p w:rsidR="005E71C7" w:rsidRPr="00747C93" w:rsidRDefault="005E71C7" w:rsidP="005E71C7">
      <w:pPr>
        <w:rPr>
          <w:vanish/>
        </w:rPr>
      </w:pPr>
      <w:bookmarkStart w:id="2" w:name="Commission"/>
      <w:r w:rsidRPr="00747C93">
        <w:rPr>
          <w:vanish/>
        </w:rPr>
        <w:t>Költségvetési Ellenőrző Bizottság</w:t>
      </w:r>
      <w:bookmarkEnd w:id="2"/>
    </w:p>
    <w:p w:rsidR="005E71C7" w:rsidRPr="00747C93" w:rsidRDefault="005E71C7" w:rsidP="005E71C7">
      <w:pPr>
        <w:rPr>
          <w:vanish/>
        </w:rPr>
      </w:pPr>
      <w:bookmarkStart w:id="3" w:name="PE"/>
      <w:r w:rsidRPr="00747C93">
        <w:rPr>
          <w:vanish/>
        </w:rPr>
        <w:t>PE753.507</w:t>
      </w:r>
      <w:bookmarkEnd w:id="3"/>
    </w:p>
    <w:p w:rsidR="005E71C7" w:rsidRPr="00747C93" w:rsidRDefault="00975C61" w:rsidP="005E71C7">
      <w:pPr>
        <w:pStyle w:val="ATHeading3"/>
      </w:pPr>
      <w:bookmarkStart w:id="4" w:name="Sujet"/>
      <w:r w:rsidRPr="00747C93">
        <w:t>1. Az Európai Parlament 2024. április 11</w:t>
      </w:r>
      <w:r w:rsidR="005E71C7" w:rsidRPr="00747C93">
        <w:t>-i határozata a BEREC Működését Segítő Ügynökség (BEREC Hivatal) 2022. évi pénzügyi évre szóló költségvetésének végrehajtására vonatkozó mentesítésről</w:t>
      </w:r>
      <w:bookmarkEnd w:id="4"/>
      <w:r w:rsidR="005E71C7" w:rsidRPr="00747C93">
        <w:t xml:space="preserve"> </w:t>
      </w:r>
      <w:bookmarkStart w:id="5" w:name="References"/>
      <w:r w:rsidR="005E71C7" w:rsidRPr="00747C93">
        <w:t>(2023/</w:t>
      </w:r>
      <w:proofErr w:type="gramStart"/>
      <w:r w:rsidR="005E71C7" w:rsidRPr="00747C93">
        <w:t>2141(</w:t>
      </w:r>
      <w:proofErr w:type="gramEnd"/>
      <w:r w:rsidR="005E71C7" w:rsidRPr="00747C93">
        <w:t>DEC))</w:t>
      </w:r>
      <w:bookmarkEnd w:id="5"/>
    </w:p>
    <w:p w:rsidR="00664EFF" w:rsidRPr="00747C93" w:rsidRDefault="00664EFF" w:rsidP="00664EFF">
      <w:pPr>
        <w:pStyle w:val="EPComma"/>
      </w:pPr>
      <w:bookmarkStart w:id="6" w:name="TextBodyBegin"/>
      <w:bookmarkEnd w:id="6"/>
      <w:r w:rsidRPr="00747C93">
        <w:rPr>
          <w:i/>
        </w:rPr>
        <w:t>Az Európai Parlament,</w:t>
      </w:r>
    </w:p>
    <w:p w:rsidR="00664EFF" w:rsidRPr="00747C93" w:rsidRDefault="00664EFF" w:rsidP="00975C61">
      <w:pPr>
        <w:pStyle w:val="NormalHanging12a"/>
        <w:widowControl/>
      </w:pPr>
      <w:r w:rsidRPr="00747C93">
        <w:t>–</w:t>
      </w:r>
      <w:r w:rsidRPr="00747C93">
        <w:tab/>
        <w:t>tekintettel a BEREC Működését Segítő Ügynökség (BEREC Hivatal) 2022. évi pénzügyi évre vonatkozó végleges éves beszámolójára,</w:t>
      </w:r>
    </w:p>
    <w:p w:rsidR="00664EFF" w:rsidRPr="00747C93" w:rsidRDefault="00664EFF" w:rsidP="00975C61">
      <w:pPr>
        <w:pStyle w:val="NormalHanging12a"/>
        <w:widowControl/>
      </w:pPr>
      <w:r w:rsidRPr="00747C93">
        <w:t>–</w:t>
      </w:r>
      <w:r w:rsidRPr="00747C93">
        <w:tab/>
      </w:r>
      <w:r w:rsidR="00DE13B7" w:rsidRPr="00747C93">
        <w:t>tekintettel a 2022. évi pénzügyi évre vonatkozóan az uniós ügynökségekről szóló éves számvevőszéki jelentésre az ügynökségek válaszaival együtt</w:t>
      </w:r>
      <w:r w:rsidRPr="00747C93">
        <w:rPr>
          <w:rStyle w:val="FootnoteReference"/>
        </w:rPr>
        <w:footnoteReference w:id="1"/>
      </w:r>
      <w:r w:rsidRPr="00747C93">
        <w:t>,</w:t>
      </w:r>
    </w:p>
    <w:p w:rsidR="00664EFF" w:rsidRPr="00747C93" w:rsidRDefault="00664EFF" w:rsidP="00975C61">
      <w:pPr>
        <w:pStyle w:val="NormalHanging12a"/>
        <w:widowControl/>
      </w:pPr>
      <w:r w:rsidRPr="00747C93">
        <w:t>–</w:t>
      </w:r>
      <w:r w:rsidRPr="00747C93">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DE13B7" w:rsidRPr="00747C93">
        <w:t xml:space="preserve">megbízhatósági </w:t>
      </w:r>
      <w:r w:rsidRPr="00747C93">
        <w:t>nyilatkozatára</w:t>
      </w:r>
      <w:r w:rsidRPr="00747C93">
        <w:rPr>
          <w:rStyle w:val="FootnoteReference"/>
        </w:rPr>
        <w:footnoteReference w:id="2"/>
      </w:r>
      <w:r w:rsidRPr="00747C93">
        <w:t>,</w:t>
      </w:r>
    </w:p>
    <w:p w:rsidR="00664EFF" w:rsidRPr="00747C93" w:rsidRDefault="00664EFF" w:rsidP="00975C61">
      <w:pPr>
        <w:pStyle w:val="NormalHanging12a"/>
        <w:widowControl/>
      </w:pPr>
      <w:r w:rsidRPr="00747C93">
        <w:t>–</w:t>
      </w:r>
      <w:r w:rsidRPr="00747C93">
        <w:tab/>
        <w:t xml:space="preserve">tekintettel a 2022-es pénzügyi évre szóló költségvetés végrehajtása tekintetében az Ügynökség számára adandó </w:t>
      </w:r>
      <w:proofErr w:type="gramStart"/>
      <w:r w:rsidRPr="00747C93">
        <w:t>mentesítésről</w:t>
      </w:r>
      <w:proofErr w:type="gramEnd"/>
      <w:r w:rsidRPr="00747C93">
        <w:t xml:space="preserve"> szóló, 2024. </w:t>
      </w:r>
      <w:r w:rsidR="00B04D0C">
        <w:t>február 22</w:t>
      </w:r>
      <w:r w:rsidRPr="00747C93">
        <w:t>-i tanácsi ajánlásra (</w:t>
      </w:r>
      <w:r w:rsidR="00E87C9B" w:rsidRPr="00747C93">
        <w:t>06180</w:t>
      </w:r>
      <w:r w:rsidRPr="00747C93">
        <w:t>/2024 – C9-</w:t>
      </w:r>
      <w:r w:rsidR="00E87C9B" w:rsidRPr="00747C93">
        <w:t>0079</w:t>
      </w:r>
      <w:r w:rsidRPr="00747C93">
        <w:t>/2024),</w:t>
      </w:r>
    </w:p>
    <w:p w:rsidR="00664EFF" w:rsidRPr="00747C93" w:rsidRDefault="00664EFF" w:rsidP="00975C61">
      <w:pPr>
        <w:pStyle w:val="NormalHanging12a"/>
        <w:widowControl/>
      </w:pPr>
      <w:r w:rsidRPr="00747C93">
        <w:t>–</w:t>
      </w:r>
      <w:r w:rsidRPr="00747C93">
        <w:tab/>
        <w:t>tekintettel az Európai Unió működéséről szóló szerződés 319. cikkére,</w:t>
      </w:r>
    </w:p>
    <w:p w:rsidR="00664EFF" w:rsidRPr="00747C93" w:rsidRDefault="00664EFF" w:rsidP="00975C61">
      <w:pPr>
        <w:pStyle w:val="NormalHanging12a"/>
        <w:widowControl/>
      </w:pPr>
      <w:proofErr w:type="gramStart"/>
      <w:r w:rsidRPr="00747C93">
        <w:t>–</w:t>
      </w:r>
      <w:r w:rsidRPr="00747C9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747C93">
        <w:rPr>
          <w:rStyle w:val="FootnoteReference"/>
        </w:rPr>
        <w:footnoteReference w:id="3"/>
      </w:r>
      <w:r w:rsidRPr="00747C93">
        <w:t xml:space="preserve"> és különösen annak 70. cikkére,</w:t>
      </w:r>
      <w:proofErr w:type="gramEnd"/>
    </w:p>
    <w:p w:rsidR="00664EFF" w:rsidRPr="00747C93" w:rsidRDefault="00664EFF" w:rsidP="00975C61">
      <w:pPr>
        <w:pStyle w:val="NormalHanging12a"/>
        <w:widowControl/>
      </w:pPr>
      <w:r w:rsidRPr="00747C93">
        <w:lastRenderedPageBreak/>
        <w:t>–</w:t>
      </w:r>
      <w:r w:rsidRPr="00747C93">
        <w:tab/>
        <w:t>tekintettel az Európai Elektronikus Hírközlési Szabályozók Testületének (BEREC) és a BEREC Működését Segítő Ügynökségnek (BEREC Hivatal) a létrehozásáról, az (EU) 2015/2120 rendelet módosításáról, valamint az 1211/2009/EK rendelet hatályon kívül helyezéséről szóló, 2018. december 11-i (EU) 2018/1971 európai parlamenti és tanácsi rendeletre</w:t>
      </w:r>
      <w:r w:rsidRPr="00747C93">
        <w:rPr>
          <w:rStyle w:val="FootnoteReference"/>
        </w:rPr>
        <w:footnoteReference w:id="4"/>
      </w:r>
      <w:r w:rsidRPr="00747C93">
        <w:t xml:space="preserve"> és különösen annak 28. cikkére,</w:t>
      </w:r>
    </w:p>
    <w:p w:rsidR="00664EFF" w:rsidRPr="00747C93" w:rsidRDefault="00664EFF" w:rsidP="00975C61">
      <w:pPr>
        <w:pStyle w:val="NormalHanging12a"/>
        <w:widowControl/>
      </w:pPr>
      <w:r w:rsidRPr="00747C93">
        <w:t>–</w:t>
      </w:r>
      <w:r w:rsidRPr="00747C93">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747C93">
        <w:rPr>
          <w:rStyle w:val="FootnoteReference"/>
        </w:rPr>
        <w:footnoteReference w:id="5"/>
      </w:r>
      <w:r w:rsidRPr="00747C93">
        <w:t xml:space="preserve"> és különösen annak 105. cikkére,</w:t>
      </w:r>
    </w:p>
    <w:p w:rsidR="00664EFF" w:rsidRPr="00747C93" w:rsidRDefault="00664EFF" w:rsidP="00975C61">
      <w:pPr>
        <w:pStyle w:val="NormalHanging12a"/>
        <w:widowControl/>
      </w:pPr>
      <w:r w:rsidRPr="00747C93">
        <w:t>–</w:t>
      </w:r>
      <w:r w:rsidRPr="00747C93">
        <w:tab/>
        <w:t>tekintettel eljárási szabályzata 100. cikkére és V. mellékletére,</w:t>
      </w:r>
    </w:p>
    <w:p w:rsidR="00664EFF" w:rsidRPr="00747C93" w:rsidRDefault="00664EFF" w:rsidP="00975C61">
      <w:pPr>
        <w:pStyle w:val="NormalHanging12a"/>
        <w:widowControl/>
      </w:pPr>
      <w:r w:rsidRPr="00747C93">
        <w:t>–</w:t>
      </w:r>
      <w:r w:rsidRPr="00747C93">
        <w:tab/>
        <w:t>tekintettel a Költségvetési Ellenőrző Bizottság jelentésére (A9-0123/2024),</w:t>
      </w:r>
    </w:p>
    <w:p w:rsidR="00664EFF" w:rsidRPr="00747C93" w:rsidRDefault="00664EFF" w:rsidP="00975C61">
      <w:pPr>
        <w:pStyle w:val="NormalHanging12a"/>
        <w:widowControl/>
      </w:pPr>
      <w:r w:rsidRPr="00747C93">
        <w:t>1.</w:t>
      </w:r>
      <w:r w:rsidRPr="00747C93">
        <w:tab/>
      </w:r>
      <w:proofErr w:type="gramStart"/>
      <w:r w:rsidRPr="00747C93">
        <w:t>mentesítést</w:t>
      </w:r>
      <w:proofErr w:type="gramEnd"/>
      <w:r w:rsidRPr="00747C93">
        <w:t xml:space="preserve"> ad a BEREC Működését Segítő Ügynökség (BEREC Hivatal) igazgatója számára az ügynökség 2022. évi pénzügyi évre szóló költségvetésének végrehajtására vonatkozóan;</w:t>
      </w:r>
    </w:p>
    <w:p w:rsidR="00664EFF" w:rsidRPr="00747C93" w:rsidRDefault="00664EFF" w:rsidP="00975C61">
      <w:pPr>
        <w:pStyle w:val="NormalHanging12a"/>
        <w:widowControl/>
      </w:pPr>
      <w:r w:rsidRPr="00747C93">
        <w:t>2.</w:t>
      </w:r>
      <w:r w:rsidRPr="00747C93">
        <w:tab/>
        <w:t>megjegyzéseit a mellékelt állásfoglalásban foglalja össze;</w:t>
      </w:r>
    </w:p>
    <w:p w:rsidR="00664EFF" w:rsidRPr="00747C93" w:rsidRDefault="00664EFF" w:rsidP="00975C61">
      <w:pPr>
        <w:pStyle w:val="NormalHanging12a"/>
        <w:widowControl/>
      </w:pPr>
      <w:r w:rsidRPr="00747C93">
        <w:t>3.</w:t>
      </w:r>
      <w:r w:rsidRPr="00747C93">
        <w:tab/>
        <w:t>utasítja elnökét, hogy továbbítsa ezt a határozatot, valamint az annak szerves részét képező állásfoglalást a BEREC Működését Segítő Ügynökség (BEREC Hivatal) igazgatójának, a Tanácsnak, a Bizottságnak és a Számvevőszéknek</w:t>
      </w:r>
      <w:r w:rsidR="00DE13B7" w:rsidRPr="00747C93">
        <w:t>,</w:t>
      </w:r>
      <w:r w:rsidRPr="00747C93">
        <w:t xml:space="preserve"> és gondoskodjon az </w:t>
      </w:r>
      <w:r w:rsidRPr="00747C93">
        <w:rPr>
          <w:i/>
        </w:rPr>
        <w:t>Európai Unió Hivatalos Lapjában</w:t>
      </w:r>
      <w:r w:rsidRPr="00747C93">
        <w:t xml:space="preserve"> (L sorozat) való közzététel</w:t>
      </w:r>
      <w:r w:rsidR="00975C61" w:rsidRPr="00747C93">
        <w:t>ük</w:t>
      </w:r>
      <w:r w:rsidRPr="00747C93">
        <w:t>ről.</w:t>
      </w:r>
    </w:p>
    <w:p w:rsidR="00664EFF" w:rsidRPr="00747C93" w:rsidRDefault="00664EFF" w:rsidP="00664EFF"/>
    <w:p w:rsidR="00664EFF" w:rsidRPr="00747C93" w:rsidRDefault="00664EFF" w:rsidP="00664EFF">
      <w:pPr>
        <w:pStyle w:val="PageHeading"/>
        <w:sectPr w:rsidR="00664EFF" w:rsidRPr="00747C93" w:rsidSect="00F400E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64EFF" w:rsidRPr="00747C93" w:rsidRDefault="00664EFF" w:rsidP="00747C93">
      <w:pPr>
        <w:pStyle w:val="ATHeading3"/>
      </w:pPr>
      <w:bookmarkStart w:id="7" w:name="_Toc162000576"/>
      <w:r w:rsidRPr="00747C93">
        <w:lastRenderedPageBreak/>
        <w:t xml:space="preserve">2. </w:t>
      </w:r>
      <w:bookmarkEnd w:id="7"/>
      <w:r w:rsidR="00975C61" w:rsidRPr="00747C93">
        <w:t xml:space="preserve">Az Európai Parlament 2024. április 11-i határozata </w:t>
      </w:r>
      <w:r w:rsidRPr="00747C93">
        <w:t>a BEREC Működését Segítő Ügynökség (BEREC Hivatal) 2022. évi pénzügyi évre vonatkozó elszámolásának lezárásáról</w:t>
      </w:r>
      <w:r w:rsidR="00975C61" w:rsidRPr="00747C93">
        <w:t xml:space="preserve"> </w:t>
      </w:r>
      <w:r w:rsidRPr="00747C93">
        <w:t>(2023/</w:t>
      </w:r>
      <w:proofErr w:type="gramStart"/>
      <w:r w:rsidRPr="00747C93">
        <w:t>2141(</w:t>
      </w:r>
      <w:proofErr w:type="gramEnd"/>
      <w:r w:rsidRPr="00747C93">
        <w:t>DEC))</w:t>
      </w:r>
    </w:p>
    <w:p w:rsidR="00664EFF" w:rsidRPr="00747C93" w:rsidRDefault="00664EFF" w:rsidP="00664EFF">
      <w:pPr>
        <w:pStyle w:val="EPComma"/>
      </w:pPr>
      <w:r w:rsidRPr="00747C93">
        <w:rPr>
          <w:i/>
        </w:rPr>
        <w:t>Az Európai Parlament,</w:t>
      </w:r>
    </w:p>
    <w:p w:rsidR="00664EFF" w:rsidRPr="00747C93" w:rsidRDefault="00664EFF" w:rsidP="00975C61">
      <w:pPr>
        <w:pStyle w:val="NormalHanging12a"/>
        <w:widowControl/>
      </w:pPr>
      <w:r w:rsidRPr="00747C93">
        <w:t>–</w:t>
      </w:r>
      <w:r w:rsidRPr="00747C93">
        <w:tab/>
        <w:t>tekintettel a BEREC Működését Segítő Ügynökség (BEREC Hivatal) 2022. évi pénzügyi évre vonatkozó végleges éves beszámolójára,</w:t>
      </w:r>
    </w:p>
    <w:p w:rsidR="00664EFF" w:rsidRPr="00747C93" w:rsidRDefault="00664EFF" w:rsidP="00975C61">
      <w:pPr>
        <w:pStyle w:val="NormalHanging12a"/>
        <w:widowControl/>
      </w:pPr>
      <w:r w:rsidRPr="00747C93">
        <w:t>–</w:t>
      </w:r>
      <w:r w:rsidRPr="00747C93">
        <w:tab/>
      </w:r>
      <w:r w:rsidR="00DE13B7" w:rsidRPr="00747C93">
        <w:t>tekintettel a 2022. évi pénzügyi évre vonatkozóan az uniós ügynökségekről szóló éves számvevőszéki jelentésre az ügynökségek válaszaival együtt</w:t>
      </w:r>
      <w:r w:rsidRPr="00747C93">
        <w:rPr>
          <w:rStyle w:val="FootnoteReference"/>
        </w:rPr>
        <w:footnoteReference w:id="6"/>
      </w:r>
      <w:r w:rsidRPr="00747C93">
        <w:t>,</w:t>
      </w:r>
    </w:p>
    <w:p w:rsidR="00664EFF" w:rsidRPr="00747C93" w:rsidRDefault="00664EFF" w:rsidP="00975C61">
      <w:pPr>
        <w:pStyle w:val="NormalHanging12a"/>
        <w:widowControl/>
      </w:pPr>
      <w:r w:rsidRPr="00747C93">
        <w:t>–</w:t>
      </w:r>
      <w:r w:rsidRPr="00747C93">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DE13B7" w:rsidRPr="00747C93">
        <w:t xml:space="preserve">megbízhatósági </w:t>
      </w:r>
      <w:r w:rsidRPr="00747C93">
        <w:t>nyilatkozatára</w:t>
      </w:r>
      <w:r w:rsidRPr="00747C93">
        <w:rPr>
          <w:rStyle w:val="FootnoteReference"/>
        </w:rPr>
        <w:footnoteReference w:id="7"/>
      </w:r>
      <w:r w:rsidRPr="00747C93">
        <w:t>,</w:t>
      </w:r>
    </w:p>
    <w:p w:rsidR="00664EFF" w:rsidRPr="00747C93" w:rsidRDefault="00664EFF" w:rsidP="00975C61">
      <w:pPr>
        <w:pStyle w:val="NormalHanging12a"/>
        <w:widowControl/>
      </w:pPr>
      <w:r w:rsidRPr="00747C93">
        <w:t>–</w:t>
      </w:r>
      <w:r w:rsidRPr="00747C93">
        <w:tab/>
        <w:t xml:space="preserve">tekintettel a 2022-es pénzügyi évre szóló költségvetés végrehajtása tekintetében az Ügynökség számára adandó </w:t>
      </w:r>
      <w:proofErr w:type="gramStart"/>
      <w:r w:rsidRPr="00747C93">
        <w:t>mentesítésről</w:t>
      </w:r>
      <w:proofErr w:type="gramEnd"/>
      <w:r w:rsidRPr="00747C93">
        <w:t xml:space="preserve"> szóló, 2024. </w:t>
      </w:r>
      <w:r w:rsidR="00B04D0C">
        <w:t>február 22</w:t>
      </w:r>
      <w:r w:rsidRPr="00747C93">
        <w:t>-i tanácsi ajánlásra (</w:t>
      </w:r>
      <w:r w:rsidR="00E87C9B" w:rsidRPr="00747C93">
        <w:t>06180</w:t>
      </w:r>
      <w:r w:rsidRPr="00747C93">
        <w:t>/2024 – C9-</w:t>
      </w:r>
      <w:r w:rsidR="00E87C9B" w:rsidRPr="00747C93">
        <w:t>0079</w:t>
      </w:r>
      <w:r w:rsidRPr="00747C93">
        <w:t>/2024),</w:t>
      </w:r>
    </w:p>
    <w:p w:rsidR="00664EFF" w:rsidRPr="00747C93" w:rsidRDefault="00664EFF" w:rsidP="00975C61">
      <w:pPr>
        <w:pStyle w:val="NormalHanging12a"/>
        <w:widowControl/>
      </w:pPr>
      <w:r w:rsidRPr="00747C93">
        <w:t>–</w:t>
      </w:r>
      <w:r w:rsidRPr="00747C93">
        <w:tab/>
        <w:t>tekintettel az Európai Unió működéséről szóló szerződés 319. cikkére,</w:t>
      </w:r>
    </w:p>
    <w:p w:rsidR="00664EFF" w:rsidRPr="00747C93" w:rsidRDefault="00664EFF" w:rsidP="00975C61">
      <w:pPr>
        <w:pStyle w:val="NormalHanging12a"/>
        <w:widowControl/>
      </w:pPr>
      <w:proofErr w:type="gramStart"/>
      <w:r w:rsidRPr="00747C93">
        <w:t>–</w:t>
      </w:r>
      <w:r w:rsidRPr="00747C93">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747C93">
        <w:rPr>
          <w:rStyle w:val="FootnoteReference"/>
        </w:rPr>
        <w:footnoteReference w:id="8"/>
      </w:r>
      <w:r w:rsidRPr="00747C93">
        <w:t xml:space="preserve"> és különösen annak 70. cikkére,</w:t>
      </w:r>
      <w:proofErr w:type="gramEnd"/>
    </w:p>
    <w:p w:rsidR="00664EFF" w:rsidRPr="00747C93" w:rsidRDefault="00664EFF" w:rsidP="00975C61">
      <w:pPr>
        <w:pStyle w:val="NormalHanging12a"/>
        <w:widowControl/>
      </w:pPr>
      <w:r w:rsidRPr="00747C93">
        <w:t>–</w:t>
      </w:r>
      <w:r w:rsidRPr="00747C93">
        <w:tab/>
        <w:t>tekintettel az Európai Elektronikus Hírközlési Szabályozók Testületének (BEREC) és a BEREC Működését Segítő Ügynökségnek (BEREC Hivatal) a létrehozásáról, az (EU) 2015/2120 rendelet módosításáról, valamint az 1211/2009/EK rendelet hatályon kívül helyezéséről szóló, 2018. december 11-i (EU) 2018/1971 európai parlamenti és tanácsi rendeletre</w:t>
      </w:r>
      <w:r w:rsidRPr="00747C93">
        <w:rPr>
          <w:rStyle w:val="FootnoteReference"/>
        </w:rPr>
        <w:footnoteReference w:id="9"/>
      </w:r>
      <w:r w:rsidRPr="00747C93">
        <w:t xml:space="preserve"> és különösen annak 28. cikkére,</w:t>
      </w:r>
    </w:p>
    <w:p w:rsidR="00664EFF" w:rsidRPr="00747C93" w:rsidRDefault="00664EFF" w:rsidP="00975C61">
      <w:pPr>
        <w:pStyle w:val="NormalHanging12a"/>
        <w:widowControl/>
      </w:pPr>
      <w:r w:rsidRPr="00747C93">
        <w:t>–</w:t>
      </w:r>
      <w:r w:rsidRPr="00747C93">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747C93">
        <w:rPr>
          <w:rStyle w:val="FootnoteReference"/>
        </w:rPr>
        <w:footnoteReference w:id="10"/>
      </w:r>
      <w:r w:rsidRPr="00747C93">
        <w:t xml:space="preserve"> és különösen annak 105. cikkére,</w:t>
      </w:r>
    </w:p>
    <w:p w:rsidR="00664EFF" w:rsidRPr="00747C93" w:rsidRDefault="00664EFF" w:rsidP="00975C61">
      <w:pPr>
        <w:pStyle w:val="NormalHanging12a"/>
        <w:widowControl/>
      </w:pPr>
      <w:r w:rsidRPr="00747C93">
        <w:t>–</w:t>
      </w:r>
      <w:r w:rsidRPr="00747C93">
        <w:tab/>
        <w:t>tekintettel eljárási szabályzata 100. cikkére és V. mellékletére,</w:t>
      </w:r>
    </w:p>
    <w:p w:rsidR="00664EFF" w:rsidRPr="00747C93" w:rsidRDefault="00664EFF" w:rsidP="00975C61">
      <w:pPr>
        <w:pStyle w:val="NormalHanging12a"/>
        <w:widowControl/>
      </w:pPr>
      <w:r w:rsidRPr="00747C93">
        <w:t>–</w:t>
      </w:r>
      <w:r w:rsidRPr="00747C93">
        <w:tab/>
        <w:t>tekintettel a Költségvetési Ellenőrző Bizottság jelentésére (A9-0123/2024),</w:t>
      </w:r>
    </w:p>
    <w:p w:rsidR="00664EFF" w:rsidRPr="00747C93" w:rsidRDefault="00664EFF" w:rsidP="00975C61">
      <w:pPr>
        <w:pStyle w:val="NormalHanging12a"/>
        <w:widowControl/>
      </w:pPr>
      <w:r w:rsidRPr="00747C93">
        <w:lastRenderedPageBreak/>
        <w:t>1.</w:t>
      </w:r>
      <w:r w:rsidRPr="00747C93">
        <w:tab/>
        <w:t>jóváhagyja a BEREC Működését Segítő Ügynökség (BEREC Hivatal) 2022. évi pénzügyi évre vonatkozó elszámolásának lezárását;</w:t>
      </w:r>
    </w:p>
    <w:p w:rsidR="00664EFF" w:rsidRPr="00747C93" w:rsidRDefault="00664EFF" w:rsidP="00975C61">
      <w:pPr>
        <w:pStyle w:val="NormalHanging12a"/>
        <w:widowControl/>
      </w:pPr>
      <w:r w:rsidRPr="00747C93">
        <w:t>2.</w:t>
      </w:r>
      <w:r w:rsidRPr="00747C93">
        <w:tab/>
        <w:t>utasítja elnökét, hogy továbbítsa ezt a határozatot a BEREC Működését Segítő Ügynökség (BEREC Hivatal) igazgatójának, a Tanácsnak, a Bizottságnak és a Számvevőszéknek</w:t>
      </w:r>
      <w:r w:rsidR="00DE13B7" w:rsidRPr="00747C93">
        <w:t>,</w:t>
      </w:r>
      <w:r w:rsidRPr="00747C93">
        <w:t xml:space="preserve"> és gondoskodjon az </w:t>
      </w:r>
      <w:r w:rsidRPr="00747C93">
        <w:rPr>
          <w:i/>
        </w:rPr>
        <w:t>Európai Unió Hivatalos Lapjában</w:t>
      </w:r>
      <w:r w:rsidRPr="00747C93">
        <w:t xml:space="preserve"> (L sorozat) való közzétételéről.</w:t>
      </w:r>
    </w:p>
    <w:p w:rsidR="00664EFF" w:rsidRPr="00747C93" w:rsidRDefault="00664EFF" w:rsidP="00664EFF"/>
    <w:p w:rsidR="00664EFF" w:rsidRPr="00747C93" w:rsidRDefault="00664EFF" w:rsidP="00664EFF">
      <w:pPr>
        <w:pStyle w:val="PageHeading"/>
        <w:sectPr w:rsidR="00664EFF" w:rsidRPr="00747C93" w:rsidSect="00F400E3">
          <w:footnotePr>
            <w:numRestart w:val="eachPage"/>
          </w:footnotePr>
          <w:endnotePr>
            <w:numFmt w:val="decimal"/>
          </w:endnotePr>
          <w:pgSz w:w="11906" w:h="16838" w:code="9"/>
          <w:pgMar w:top="1134" w:right="1418" w:bottom="1418" w:left="1418" w:header="567" w:footer="567" w:gutter="0"/>
          <w:cols w:space="720"/>
          <w:noEndnote/>
          <w:docGrid w:linePitch="326"/>
        </w:sectPr>
      </w:pPr>
    </w:p>
    <w:p w:rsidR="00664EFF" w:rsidRPr="00747C93" w:rsidRDefault="00664EFF" w:rsidP="00747C93">
      <w:pPr>
        <w:pStyle w:val="ATHeading3"/>
      </w:pPr>
      <w:bookmarkStart w:id="8" w:name="_Toc162000577"/>
      <w:r w:rsidRPr="00747C93">
        <w:lastRenderedPageBreak/>
        <w:t xml:space="preserve">3. </w:t>
      </w:r>
      <w:bookmarkEnd w:id="8"/>
      <w:r w:rsidR="00975C61" w:rsidRPr="00747C93">
        <w:t xml:space="preserve">Az Európai Parlament 2024. április 11-i állásfoglalása </w:t>
      </w:r>
      <w:r w:rsidRPr="00747C93">
        <w:t>a BEREC Működését Segítő Ügynökség (BEREC Hivatal) 2022. évi pénzügyi évre szóló költségvetésének végrehajtására vonatkozó mentesítésről szóló határozat szerves részét képező megjegyzésekkel</w:t>
      </w:r>
      <w:r w:rsidR="00975C61" w:rsidRPr="00747C93">
        <w:t xml:space="preserve"> </w:t>
      </w:r>
      <w:r w:rsidRPr="00747C93">
        <w:t>(2023/</w:t>
      </w:r>
      <w:proofErr w:type="gramStart"/>
      <w:r w:rsidRPr="00747C93">
        <w:t>2141(</w:t>
      </w:r>
      <w:proofErr w:type="gramEnd"/>
      <w:r w:rsidRPr="00747C93">
        <w:t>DEC))</w:t>
      </w:r>
    </w:p>
    <w:p w:rsidR="00664EFF" w:rsidRPr="00747C93" w:rsidRDefault="00664EFF" w:rsidP="00664EFF">
      <w:pPr>
        <w:pStyle w:val="EPComma"/>
      </w:pPr>
      <w:r w:rsidRPr="00747C93">
        <w:rPr>
          <w:i/>
        </w:rPr>
        <w:t>Az Európai Parlament,</w:t>
      </w:r>
    </w:p>
    <w:p w:rsidR="00664EFF" w:rsidRPr="00747C93" w:rsidRDefault="00664EFF" w:rsidP="00975C61">
      <w:pPr>
        <w:pStyle w:val="NormalHanging12a"/>
        <w:widowControl/>
      </w:pPr>
      <w:r w:rsidRPr="00747C93">
        <w:t>–</w:t>
      </w:r>
      <w:r w:rsidRPr="00747C93">
        <w:tab/>
        <w:t xml:space="preserve">tekintettel a BEREC Működését Segítő Ügynökség (a továbbiakban: az ügynökség) 2022. évi pénzügyi évre szóló költségvetésének végrehajtására vonatkozó </w:t>
      </w:r>
      <w:proofErr w:type="gramStart"/>
      <w:r w:rsidRPr="00747C93">
        <w:t>mentesítésről</w:t>
      </w:r>
      <w:proofErr w:type="gramEnd"/>
      <w:r w:rsidRPr="00747C93">
        <w:t xml:space="preserve"> szóló határozatára,</w:t>
      </w:r>
    </w:p>
    <w:p w:rsidR="00664EFF" w:rsidRPr="00747C93" w:rsidRDefault="00664EFF" w:rsidP="00975C61">
      <w:pPr>
        <w:pStyle w:val="NormalHanging12a"/>
        <w:widowControl/>
      </w:pPr>
      <w:r w:rsidRPr="00747C93">
        <w:t>–</w:t>
      </w:r>
      <w:r w:rsidRPr="00747C93">
        <w:tab/>
        <w:t>tekintettel eljárási szabályzata 100. cikkére és V. mellékletére,</w:t>
      </w:r>
    </w:p>
    <w:p w:rsidR="00664EFF" w:rsidRPr="00747C93" w:rsidRDefault="00664EFF" w:rsidP="00975C61">
      <w:pPr>
        <w:pStyle w:val="NormalHanging12a"/>
        <w:widowControl/>
      </w:pPr>
      <w:r w:rsidRPr="00747C93">
        <w:t>–</w:t>
      </w:r>
      <w:r w:rsidRPr="00747C93">
        <w:tab/>
        <w:t>tekintettel a Költségvetési Ellenőrző Bizottság jelentésére (A9-0123/2024),</w:t>
      </w:r>
    </w:p>
    <w:p w:rsidR="00664EFF" w:rsidRPr="00747C93" w:rsidRDefault="00664EFF" w:rsidP="00975C61">
      <w:pPr>
        <w:pStyle w:val="NormalHanging12a"/>
        <w:widowControl/>
        <w:rPr>
          <w:szCs w:val="24"/>
        </w:rPr>
      </w:pPr>
      <w:r w:rsidRPr="00747C93">
        <w:t>A.</w:t>
      </w:r>
      <w:r w:rsidRPr="00747C93">
        <w:tab/>
      </w:r>
      <w:proofErr w:type="gramStart"/>
      <w:r w:rsidRPr="00747C93">
        <w:t>mivel</w:t>
      </w:r>
      <w:proofErr w:type="gramEnd"/>
      <w:r w:rsidRPr="00747C93">
        <w:t xml:space="preserve"> bevételi és kiadási mérlegkimutatása</w:t>
      </w:r>
      <w:r w:rsidRPr="00747C93">
        <w:rPr>
          <w:rFonts w:eastAsiaTheme="minorHAnsi"/>
          <w:szCs w:val="24"/>
          <w:vertAlign w:val="superscript"/>
          <w:lang w:eastAsia="en-US"/>
        </w:rPr>
        <w:footnoteReference w:id="11"/>
      </w:r>
      <w:r w:rsidRPr="00747C93">
        <w:t xml:space="preserve"> szerint az ügynökség 2022. évi pénzügyi évre szóló végleges elfogadott költségvetése 7 428 456 EUR volt, ami a 2021. évhez képest 1,19 %-</w:t>
      </w:r>
      <w:proofErr w:type="spellStart"/>
      <w:r w:rsidRPr="00747C93">
        <w:t>os</w:t>
      </w:r>
      <w:proofErr w:type="spellEnd"/>
      <w:r w:rsidRPr="00747C93">
        <w:t xml:space="preserve"> növekedést jelent; mivel az ügynökség költségvetése főként az uniós költségvetésből származik;</w:t>
      </w:r>
    </w:p>
    <w:p w:rsidR="00664EFF" w:rsidRPr="00747C93" w:rsidRDefault="00664EFF" w:rsidP="00975C61">
      <w:pPr>
        <w:pStyle w:val="NormalHanging12a"/>
        <w:widowControl/>
        <w:rPr>
          <w:szCs w:val="24"/>
        </w:rPr>
      </w:pPr>
      <w:r w:rsidRPr="00747C93">
        <w:t>B.</w:t>
      </w:r>
      <w:r w:rsidRPr="00747C93">
        <w:tab/>
        <w:t>mivel a Számvevőszék az ügynökség 2022. évi pénzügyi évre vonatkozó beszámolójáról készített jelentésében (a továbbiakban: a számvevőszéki jelentés) megállapította, hogy kellő mértékben megbizonyosodott az ügynökség éves beszámolójának megbízhatóságáról, valamint arról, hogy az annak alapjául szolgáló ügyletek jogszerűek és szabályszerűek;</w:t>
      </w:r>
    </w:p>
    <w:p w:rsidR="00664EFF" w:rsidRPr="00747C93" w:rsidRDefault="00664EFF" w:rsidP="00975C61">
      <w:pPr>
        <w:pStyle w:val="NormalHanging12a"/>
        <w:widowControl/>
        <w:rPr>
          <w:szCs w:val="24"/>
        </w:rPr>
      </w:pPr>
      <w:r w:rsidRPr="00747C93">
        <w:t>C.</w:t>
      </w:r>
      <w:r w:rsidRPr="00747C93">
        <w:tab/>
        <w:t xml:space="preserve">mivel az ügynökség közbeszerzési ágazatát illetően 2022-re vonatkozóan nem jelentettek </w:t>
      </w:r>
      <w:proofErr w:type="gramStart"/>
      <w:r w:rsidRPr="00747C93">
        <w:t>korrekciós</w:t>
      </w:r>
      <w:proofErr w:type="gramEnd"/>
      <w:r w:rsidRPr="00747C93">
        <w:t xml:space="preserve"> intézkedéseket igénylő problémákat, és a korábbi évek ellenőrzései és értékelései alapján sem voltak folyamatban lévő vagy még függőben lévő korrekciós intézkedések;</w:t>
      </w:r>
    </w:p>
    <w:p w:rsidR="00664EFF" w:rsidRPr="00747C93" w:rsidRDefault="00664EFF" w:rsidP="00975C61">
      <w:pPr>
        <w:pStyle w:val="NormalHanging12a"/>
        <w:widowControl/>
        <w:rPr>
          <w:szCs w:val="24"/>
        </w:rPr>
      </w:pPr>
      <w:r w:rsidRPr="00747C93">
        <w:t>D.</w:t>
      </w:r>
      <w:r w:rsidRPr="00747C93">
        <w:tab/>
        <w:t xml:space="preserve">mivel az ügynökség belső ellenőrzési rendszereit illetően 2022-re vonatkozóan nem jelentettek </w:t>
      </w:r>
      <w:proofErr w:type="gramStart"/>
      <w:r w:rsidRPr="00747C93">
        <w:t>korrekciós</w:t>
      </w:r>
      <w:proofErr w:type="gramEnd"/>
      <w:r w:rsidRPr="00747C93">
        <w:t xml:space="preserve"> intézkedéseket igénylő problémákat, és a korábbi évek ellenőrzései és értékelései alapján sem voltak folyamatban lévő vagy még függőben lévő korrekciós intézkedések;</w:t>
      </w:r>
    </w:p>
    <w:p w:rsidR="00664EFF" w:rsidRPr="00747C93" w:rsidRDefault="00664EFF" w:rsidP="00975C61">
      <w:pPr>
        <w:pStyle w:val="NormalHanging12a"/>
        <w:widowControl/>
        <w:rPr>
          <w:b/>
          <w:i/>
          <w:szCs w:val="24"/>
        </w:rPr>
      </w:pPr>
      <w:r w:rsidRPr="00747C93">
        <w:rPr>
          <w:b/>
          <w:i/>
        </w:rPr>
        <w:t>Költségvetési és pénzgazdálkodás</w:t>
      </w:r>
    </w:p>
    <w:p w:rsidR="00664EFF" w:rsidRPr="00747C93" w:rsidRDefault="00664EFF" w:rsidP="00975C61">
      <w:pPr>
        <w:widowControl/>
        <w:spacing w:after="240"/>
        <w:ind w:left="567" w:hanging="567"/>
        <w:rPr>
          <w:sz w:val="22"/>
          <w:szCs w:val="22"/>
        </w:rPr>
      </w:pPr>
      <w:proofErr w:type="gramStart"/>
      <w:r w:rsidRPr="00747C93">
        <w:t>1.</w:t>
      </w:r>
      <w:r w:rsidRPr="00747C93">
        <w:tab/>
        <w:t>elismeréssel nyugtázza, hogy a 2022. évi pénzügyi év során folytatott költségvetés-ellenőrzési erőfeszítések eredményeként a költségvetés végrehajtási aránya 99,99%-</w:t>
      </w:r>
      <w:proofErr w:type="spellStart"/>
      <w:r w:rsidRPr="00747C93">
        <w:t>os</w:t>
      </w:r>
      <w:proofErr w:type="spellEnd"/>
      <w:r w:rsidRPr="00747C93">
        <w:t xml:space="preserve"> volt a 2022. évi végleges költségvetés kötelezettségvállalási előirányzatai tekintetében, ami 2021-hez képest 0,02%-</w:t>
      </w:r>
      <w:proofErr w:type="spellStart"/>
      <w:r w:rsidRPr="00747C93">
        <w:t>os</w:t>
      </w:r>
      <w:proofErr w:type="spellEnd"/>
      <w:r w:rsidRPr="00747C93">
        <w:t xml:space="preserve"> növekedést jelent; üdvözli, hogy a költségvetés </w:t>
      </w:r>
      <w:bookmarkStart w:id="9" w:name="_GoBack"/>
      <w:bookmarkEnd w:id="9"/>
      <w:r w:rsidRPr="00747C93">
        <w:t>végrehajtási aránya az igazgatótanács által meghatározott 95% feletti küszöbértéken belül van;</w:t>
      </w:r>
      <w:r w:rsidRPr="00747C93">
        <w:rPr>
          <w:sz w:val="22"/>
        </w:rPr>
        <w:t xml:space="preserve"> </w:t>
      </w:r>
      <w:proofErr w:type="spellStart"/>
      <w:r w:rsidRPr="00747C93">
        <w:t>megjegyzi</w:t>
      </w:r>
      <w:proofErr w:type="spellEnd"/>
      <w:r w:rsidRPr="00747C93">
        <w:t>, hogy a kifizetési előirányzatok folyó évi végrehajtási aránya 82,78%-</w:t>
      </w:r>
      <w:proofErr w:type="spellStart"/>
      <w:r w:rsidRPr="00747C93">
        <w:t>os</w:t>
      </w:r>
      <w:proofErr w:type="spellEnd"/>
      <w:r w:rsidRPr="00747C93">
        <w:t xml:space="preserve"> volt, ami 2021-hez képest 13,44%-</w:t>
      </w:r>
      <w:proofErr w:type="spellStart"/>
      <w:r w:rsidRPr="00747C93">
        <w:t>os</w:t>
      </w:r>
      <w:proofErr w:type="spellEnd"/>
      <w:r w:rsidRPr="00747C93">
        <w:t xml:space="preserve"> növekedést jelent;</w:t>
      </w:r>
      <w:proofErr w:type="gramEnd"/>
    </w:p>
    <w:p w:rsidR="00664EFF" w:rsidRPr="00747C93" w:rsidRDefault="00664EFF" w:rsidP="00975C61">
      <w:pPr>
        <w:pStyle w:val="Normal12Hanging"/>
        <w:widowControl/>
        <w:rPr>
          <w:b/>
          <w:i/>
          <w:szCs w:val="24"/>
        </w:rPr>
      </w:pPr>
      <w:r w:rsidRPr="00747C93">
        <w:rPr>
          <w:b/>
          <w:i/>
        </w:rPr>
        <w:t>Teljesítmény</w:t>
      </w:r>
    </w:p>
    <w:p w:rsidR="00664EFF" w:rsidRPr="00747C93" w:rsidRDefault="00664EFF" w:rsidP="00975C61">
      <w:pPr>
        <w:pStyle w:val="NormalHanging12a"/>
        <w:widowControl/>
      </w:pPr>
      <w:proofErr w:type="gramStart"/>
      <w:r w:rsidRPr="00747C93">
        <w:lastRenderedPageBreak/>
        <w:t>2.</w:t>
      </w:r>
      <w:r w:rsidRPr="00747C93">
        <w:tab/>
        <w:t xml:space="preserve">megállapítja, hogy az ügynökség fő teljesítménymutatókat (KPI-k) használ célkitűzései megvalósításának értékelésére, többek között a munkacsoportoknak nyújtott támogatás, a kommunikációs tevékenységek, a központosított pénzügyi irányítás és közbeszerzés, valamint az emberierőforrás-gazdálkodás tekintetében; </w:t>
      </w:r>
      <w:proofErr w:type="spellStart"/>
      <w:r w:rsidRPr="00747C93">
        <w:t>megjegyzi</w:t>
      </w:r>
      <w:proofErr w:type="spellEnd"/>
      <w:r w:rsidRPr="00747C93">
        <w:t xml:space="preserve">, hogy a legtöbb célkitűzés megvalósult, ugyanakkor javasolja, hogy foglalkozzanak a még nem teljesült vagy a vártnál lassabban haladó fő teljesítménymutatókkal (pl. a költségtérítési folyamat javítása az „Advanced </w:t>
      </w:r>
      <w:proofErr w:type="spellStart"/>
      <w:r w:rsidRPr="00747C93">
        <w:t>Gateway</w:t>
      </w:r>
      <w:proofErr w:type="spellEnd"/>
      <w:r w:rsidRPr="00747C93">
        <w:t xml:space="preserve"> </w:t>
      </w:r>
      <w:proofErr w:type="spellStart"/>
      <w:r w:rsidRPr="00747C93">
        <w:t>to</w:t>
      </w:r>
      <w:proofErr w:type="spellEnd"/>
      <w:r w:rsidRPr="00747C93">
        <w:t xml:space="preserve"> </w:t>
      </w:r>
      <w:proofErr w:type="spellStart"/>
      <w:r w:rsidRPr="00747C93">
        <w:t>your</w:t>
      </w:r>
      <w:proofErr w:type="spellEnd"/>
      <w:r w:rsidRPr="00747C93">
        <w:t xml:space="preserve"> </w:t>
      </w:r>
      <w:proofErr w:type="spellStart"/>
      <w:r w:rsidRPr="00747C93">
        <w:t>Meetings</w:t>
      </w:r>
      <w:proofErr w:type="spellEnd"/>
      <w:r w:rsidRPr="00747C93">
        <w:t>” (AGM) eszköz révén, szerződés aláírása</w:t>
      </w:r>
      <w:proofErr w:type="gramEnd"/>
      <w:r w:rsidRPr="00747C93">
        <w:t xml:space="preserve"> </w:t>
      </w:r>
      <w:proofErr w:type="gramStart"/>
      <w:r w:rsidRPr="00747C93">
        <w:t>a</w:t>
      </w:r>
      <w:proofErr w:type="gramEnd"/>
      <w:r w:rsidRPr="00747C93">
        <w:t xml:space="preserve"> BEREC 2022–2025-as időszakra vonatkozó IKT-stratégiájának kidolgozását támogató szerződés aláírása); javasolja, hogy teljesítményének optimalizálása érdekében az ügynökség rendszeresen finomítsa a fő teljesítménymutatókat;</w:t>
      </w:r>
    </w:p>
    <w:p w:rsidR="00664EFF" w:rsidRPr="00747C93" w:rsidRDefault="00664EFF" w:rsidP="00975C61">
      <w:pPr>
        <w:pStyle w:val="Normal12Hanging"/>
        <w:widowControl/>
      </w:pPr>
      <w:r w:rsidRPr="00747C93">
        <w:t>3.</w:t>
      </w:r>
      <w:r w:rsidRPr="00747C93">
        <w:tab/>
        <w:t xml:space="preserve">üdvözli, hogy az ügynökség továbbra is magas színvonalú ügyviteli és szakmai támogató szolgáltatásokat nyújtott a BEREC szabályozói tanácsa, a BEREC kapcsolattartó hálózata, a nyilvános tájékoztatások, a BEREC munkacsoportjai, köztük az </w:t>
      </w:r>
      <w:proofErr w:type="gramStart"/>
      <w:r w:rsidRPr="00747C93">
        <w:t>ad hoc</w:t>
      </w:r>
      <w:proofErr w:type="gramEnd"/>
      <w:r w:rsidRPr="00747C93">
        <w:t xml:space="preserve"> munkacsoportok és a BEREC Hivatal tanácsadó csoportja számára;</w:t>
      </w:r>
    </w:p>
    <w:p w:rsidR="00664EFF" w:rsidRPr="00747C93" w:rsidRDefault="00664EFF" w:rsidP="00975C61">
      <w:pPr>
        <w:pStyle w:val="NormalHanging12a"/>
        <w:widowControl/>
      </w:pPr>
      <w:r w:rsidRPr="00747C93">
        <w:t>4.</w:t>
      </w:r>
      <w:r w:rsidRPr="00747C93">
        <w:tab/>
        <w:t>üdvözli Ukrajna távközlési szabályozó hatósága, az NCEC szavazati joggal nem rendelkező tagként való felvételét az ügynökségbe;</w:t>
      </w:r>
    </w:p>
    <w:p w:rsidR="00664EFF" w:rsidRPr="00747C93" w:rsidRDefault="00664EFF" w:rsidP="00975C61">
      <w:pPr>
        <w:pStyle w:val="Normal12Hanging"/>
        <w:widowControl/>
        <w:rPr>
          <w:b/>
          <w:i/>
          <w:szCs w:val="24"/>
        </w:rPr>
      </w:pPr>
      <w:r w:rsidRPr="00747C93">
        <w:rPr>
          <w:b/>
          <w:i/>
        </w:rPr>
        <w:t>Hatékonyság és hasznok</w:t>
      </w:r>
    </w:p>
    <w:p w:rsidR="00664EFF" w:rsidRPr="00747C93" w:rsidRDefault="00664EFF" w:rsidP="00975C61">
      <w:pPr>
        <w:pStyle w:val="Normal12Hanging"/>
        <w:widowControl/>
        <w:rPr>
          <w:szCs w:val="24"/>
        </w:rPr>
      </w:pPr>
      <w:r w:rsidRPr="00747C93">
        <w:t>5.</w:t>
      </w:r>
      <w:r w:rsidRPr="00747C93">
        <w:tab/>
        <w:t xml:space="preserve">megállapítja, hogy a hatékonyságnövelést célzó intézkedések 2022-ben a következő fő területekre irányultak: egyes </w:t>
      </w:r>
      <w:proofErr w:type="gramStart"/>
      <w:r w:rsidRPr="00747C93">
        <w:t>funkciók</w:t>
      </w:r>
      <w:proofErr w:type="gramEnd"/>
      <w:r w:rsidRPr="00747C93">
        <w:t xml:space="preserve"> központosítása, közbeszerzés, hatékonyságnövelés a Bizottság informatikai alkalmazásainak nagyobb mértékű használata vagy újak bevezetése révén, valamint külső erőforrások felhasználása a hiányzó humánerőforrás-kapacitások ellensúlyozására, illetve technikai és kisegítő jellegű feladatokra;</w:t>
      </w:r>
    </w:p>
    <w:p w:rsidR="00664EFF" w:rsidRPr="00747C93" w:rsidRDefault="00664EFF" w:rsidP="00975C61">
      <w:pPr>
        <w:pStyle w:val="Normal12Hanging"/>
        <w:widowControl/>
        <w:rPr>
          <w:szCs w:val="24"/>
        </w:rPr>
      </w:pPr>
      <w:r w:rsidRPr="00747C93">
        <w:t>6.</w:t>
      </w:r>
      <w:r w:rsidRPr="00747C93">
        <w:tab/>
        <w:t>megállapítja, hogy a közbeszerzés területén az ügynökség 2022-ben folytatta az intézményközi közbeszerzési eljárások alkalmazását, és hét intézményközi közbeszerzési eljáráshoz csatlakozott, amelyek eredményeként a jelentéstételi időszakban hat keretszerződés megkötésére került sor;</w:t>
      </w:r>
    </w:p>
    <w:p w:rsidR="00664EFF" w:rsidRPr="00747C93" w:rsidRDefault="00664EFF" w:rsidP="00975C61">
      <w:pPr>
        <w:pStyle w:val="Normal12Hanging"/>
        <w:widowControl/>
        <w:rPr>
          <w:szCs w:val="24"/>
        </w:rPr>
      </w:pPr>
      <w:r w:rsidRPr="00747C93">
        <w:t>7.</w:t>
      </w:r>
      <w:r w:rsidRPr="00747C93">
        <w:tab/>
        <w:t xml:space="preserve">üdvözli a Bizottság informatikai alkalmazásainak nagyobb mértékű használata vagy további ilyen alkalmazások bevezetése révén elért hatékonyságnövekedést; </w:t>
      </w:r>
      <w:proofErr w:type="spellStart"/>
      <w:r w:rsidRPr="00747C93">
        <w:t>megjegyzi</w:t>
      </w:r>
      <w:proofErr w:type="spellEnd"/>
      <w:r w:rsidRPr="00747C93">
        <w:t xml:space="preserve">, hogy 2022-ben az ügynökség teljes körűen bevezette és </w:t>
      </w:r>
      <w:proofErr w:type="gramStart"/>
      <w:r w:rsidRPr="00747C93">
        <w:t>aktívan</w:t>
      </w:r>
      <w:proofErr w:type="gramEnd"/>
      <w:r w:rsidRPr="00747C93">
        <w:t xml:space="preserve"> használta az összes Sysper2 alapmodult – például személyazonosság-kezelés, szervezetirányítás, személyes adatok kezelése, munkakörülmények, tehetséggondozás és dokumentumkezelés –, valamint az opcionális modulok közül hármat (pl. rugalmas munkaidő, távmunka és egyéni jogok);</w:t>
      </w:r>
    </w:p>
    <w:p w:rsidR="00664EFF" w:rsidRPr="00747C93" w:rsidRDefault="00664EFF" w:rsidP="00975C61">
      <w:pPr>
        <w:pStyle w:val="NormalHanging12a"/>
        <w:widowControl/>
      </w:pPr>
      <w:proofErr w:type="gramStart"/>
      <w:r w:rsidRPr="00747C93">
        <w:t>8.</w:t>
      </w:r>
      <w:r w:rsidRPr="00747C93">
        <w:tab/>
        <w:t xml:space="preserve">megállapítja, hogy az ügynökség létrehozása óta egyes álláshelyeken hiányzó humánerőforrás-kapacitással működik; tudomásul veszi, hogy az ügynökség bizonyos kapacitáskorlátokat kompenzál, amennyiben lehetséges, elsődleges megoldásként előnyben részesíti a Bizottság és más uniós ügynökségek által kínált szolgáltatások igénybevételét; </w:t>
      </w:r>
      <w:proofErr w:type="spellStart"/>
      <w:r w:rsidRPr="00747C93">
        <w:t>megjegyzi</w:t>
      </w:r>
      <w:proofErr w:type="spellEnd"/>
      <w:r w:rsidRPr="00747C93">
        <w:t>, hogy e megközelítés magában foglalja a Bizottság Személyi Juttatásokat Kezelő és Kifizető Hivatala (PMO), valamint informatikai és biztonság szolgáltatások terén az uniós intézmények, szervek és hivatalok hálózatbiztonsági vészhelyzeteket elhárító csoportja</w:t>
      </w:r>
      <w:proofErr w:type="gramEnd"/>
      <w:r w:rsidRPr="00747C93">
        <w:t xml:space="preserve"> (CERT-EU) által nyújtott szolgáltatások felhasználását; üdvözli, hogy az ügynökség nagyon sikeres együttműködést folytat az Európai Unió Szellemi Tulajdoni Hivatalával az informatika, többek között a </w:t>
      </w:r>
      <w:r w:rsidRPr="00747C93">
        <w:lastRenderedPageBreak/>
        <w:t>tárhelyszolgáltatás, az informatikai fejlesztés, a katasztrófa utáni helyreállítás, az ügynökség honlapjának új kialakítása és más informatikai szolgáltatások területén;</w:t>
      </w:r>
    </w:p>
    <w:p w:rsidR="00664EFF" w:rsidRPr="00747C93" w:rsidRDefault="00664EFF" w:rsidP="00975C61">
      <w:pPr>
        <w:pStyle w:val="NormalHanging12a"/>
        <w:widowControl/>
      </w:pPr>
      <w:proofErr w:type="gramStart"/>
      <w:r w:rsidRPr="00747C93">
        <w:t>9.</w:t>
      </w:r>
      <w:r w:rsidRPr="00747C93">
        <w:tab/>
        <w:t xml:space="preserve">emlékeztet arra, hogy fokozni kell az ügynökség </w:t>
      </w:r>
      <w:proofErr w:type="spellStart"/>
      <w:r w:rsidRPr="00747C93">
        <w:t>digitalizációját</w:t>
      </w:r>
      <w:proofErr w:type="spellEnd"/>
      <w:r w:rsidRPr="00747C93">
        <w:t xml:space="preserve"> a belső működés és irányítás tekintetében, de az eljárások </w:t>
      </w:r>
      <w:proofErr w:type="spellStart"/>
      <w:r w:rsidRPr="00747C93">
        <w:t>digitalizációjának</w:t>
      </w:r>
      <w:proofErr w:type="spellEnd"/>
      <w:r w:rsidRPr="00747C93">
        <w:t xml:space="preserve"> felgyorsítása érdekében is; hangsúlyozza, hogy az ügynökségnek ezzel összefüggésben továbbra is proaktívnak kell lennie, hogy elkerülhető legyen az ügynökségek közötti digitális szakadék; felhívja azonban a figyelmet arra, hogy minden szükséges biztonsági intézkedést meg kell tenni a feldolgozott információk online biztonságát fenyegető kockázatok elkerülése érdekében, és hangsúlyozza, hogy fel kell lépni a különösen Oroszországból vagy Kínából eredő</w:t>
      </w:r>
      <w:proofErr w:type="gramEnd"/>
      <w:r w:rsidRPr="00747C93">
        <w:t xml:space="preserve"> </w:t>
      </w:r>
      <w:proofErr w:type="spellStart"/>
      <w:r w:rsidRPr="00747C93">
        <w:t>kibertámadások</w:t>
      </w:r>
      <w:proofErr w:type="spellEnd"/>
      <w:r w:rsidRPr="00747C93">
        <w:t xml:space="preserve"> vagy befolyásszerzési kísérletek ellen;</w:t>
      </w:r>
    </w:p>
    <w:p w:rsidR="00664EFF" w:rsidRPr="00747C93" w:rsidRDefault="00664EFF" w:rsidP="00975C61">
      <w:pPr>
        <w:pStyle w:val="Normal12Hanging"/>
        <w:widowControl/>
        <w:rPr>
          <w:b/>
          <w:i/>
          <w:szCs w:val="24"/>
        </w:rPr>
      </w:pPr>
      <w:r w:rsidRPr="00747C93">
        <w:rPr>
          <w:b/>
          <w:i/>
        </w:rPr>
        <w:t>Személyzeti politika</w:t>
      </w:r>
    </w:p>
    <w:p w:rsidR="00664EFF" w:rsidRPr="00747C93" w:rsidRDefault="00664EFF" w:rsidP="00975C61">
      <w:pPr>
        <w:widowControl/>
        <w:spacing w:after="240"/>
        <w:ind w:left="567" w:hanging="567"/>
        <w:rPr>
          <w:rFonts w:eastAsia="Calibri"/>
          <w:szCs w:val="24"/>
        </w:rPr>
      </w:pPr>
      <w:r w:rsidRPr="00747C93">
        <w:t>10.</w:t>
      </w:r>
      <w:r w:rsidRPr="00747C93">
        <w:tab/>
        <w:t xml:space="preserve">megállapítja, hogy 2022. december 31-én a létszámterv az uniós költségvetés értelmében engedélyezett 16 ideiglenes alkalmazottat foglalt magában (ami megegyezik a 2021. évben engedélyezett álláshelyek számával); </w:t>
      </w:r>
      <w:proofErr w:type="spellStart"/>
      <w:r w:rsidRPr="00747C93">
        <w:t>megjegyzi</w:t>
      </w:r>
      <w:proofErr w:type="spellEnd"/>
      <w:r w:rsidRPr="00747C93">
        <w:t>, hogy ezen felül 19 szerződéses alkalmazott, 8 kirendelt nemzeti szakértő, valamint 10 fő kölcsönmunkaerő és tanácsadó dolgozott az ügynökségnél 2022-ben;</w:t>
      </w:r>
    </w:p>
    <w:p w:rsidR="00664EFF" w:rsidRPr="00747C93" w:rsidRDefault="00664EFF" w:rsidP="00975C61">
      <w:pPr>
        <w:pStyle w:val="NormalHanging12a"/>
        <w:widowControl/>
      </w:pPr>
      <w:r w:rsidRPr="00747C93">
        <w:t>11.</w:t>
      </w:r>
      <w:r w:rsidRPr="00747C93">
        <w:tab/>
        <w:t xml:space="preserve">üdvözli az ügynökség arra irányuló erőfeszítéseit, hogy működését összehangolja az Európai Parlament, az Európai Unió Tanácsa és az Európai Bizottság decentralizált ügynökségekről szóló, 2012. július 19-i közös nyilatkozatának – többek között a várható </w:t>
      </w:r>
      <w:proofErr w:type="gramStart"/>
      <w:r w:rsidRPr="00747C93">
        <w:t>minimális</w:t>
      </w:r>
      <w:proofErr w:type="gramEnd"/>
      <w:r w:rsidRPr="00747C93">
        <w:t xml:space="preserve"> kritikus méretre vonatkozó – elveivel;</w:t>
      </w:r>
    </w:p>
    <w:p w:rsidR="00664EFF" w:rsidRPr="00747C93" w:rsidRDefault="00664EFF" w:rsidP="00975C61">
      <w:pPr>
        <w:pStyle w:val="NormalHanging12a"/>
        <w:widowControl/>
      </w:pPr>
      <w:proofErr w:type="gramStart"/>
      <w:r w:rsidRPr="00747C93">
        <w:t>12.</w:t>
      </w:r>
      <w:r w:rsidRPr="00747C93">
        <w:tab/>
        <w:t>megállapítja, hogy a személyzeti politika terén a fő kihívást az alkalmazottak magas fluktuációja jelentette, amely a 2021. évi 4,6%-hoz és a 2020. évi 5,4%-hoz képest 2022-ben 16,3%-</w:t>
      </w:r>
      <w:proofErr w:type="spellStart"/>
      <w:r w:rsidRPr="00747C93">
        <w:t>ra</w:t>
      </w:r>
      <w:proofErr w:type="spellEnd"/>
      <w:r w:rsidRPr="00747C93">
        <w:t xml:space="preserve"> növekedett; tudomásul veszi, hogy a személyzet fluktuációjának ugrásszerű növekedése különösen az Igazgatási és Pénzügyi Osztályt érintette; megállapítja, hogy a megüresedő álláshelyek betöltése, valamint az ügynökség és annak igazgatása számára szükséges új kompetenciákkal rendelkező személyzet biztosítása érdekében 2022-ben az ügynökség kiválasztási eljárást indított öt olyan üres álláshely (egy ideiglenes</w:t>
      </w:r>
      <w:proofErr w:type="gramEnd"/>
      <w:r w:rsidRPr="00747C93">
        <w:t xml:space="preserve"> és négy szerződéses alkalmazott) betöltése céljából, amelyekre vonatkozóan nem rendelkezett megfelelő tartaléklistákkal, míg a fennmaradó három betöltetlen álláshely esetében az ügynökség biztosította a gyors munkaerő-felvételt </w:t>
      </w:r>
      <w:proofErr w:type="gramStart"/>
      <w:r w:rsidRPr="00747C93">
        <w:t>aktív</w:t>
      </w:r>
      <w:proofErr w:type="gramEnd"/>
      <w:r w:rsidRPr="00747C93">
        <w:t xml:space="preserve"> tartaléklistáiról; kéri azonban az ügynökséget, hogy elemezze a személyzet nagyarányú fluktuációjának okait, és tegye meg a szükséges lépéseket annak jövőbeli elkerülése érdekében, és tegyen jelentést ezekről a mentesítésért felelős hatóságnak;</w:t>
      </w:r>
    </w:p>
    <w:p w:rsidR="00664EFF" w:rsidRPr="00747C93" w:rsidRDefault="00664EFF" w:rsidP="00975C61">
      <w:pPr>
        <w:widowControl/>
        <w:spacing w:after="240"/>
        <w:ind w:left="567" w:hanging="567"/>
        <w:rPr>
          <w:rFonts w:eastAsia="Calibri"/>
          <w:szCs w:val="24"/>
        </w:rPr>
      </w:pPr>
      <w:r w:rsidRPr="00747C93">
        <w:t>13.</w:t>
      </w:r>
      <w:r w:rsidRPr="00747C93">
        <w:tab/>
        <w:t xml:space="preserve">elismerését fejezi ki az ügynökségnek a személyzet tagjai munka- és életkörülményeinek javítására irányuló kezdeményezéseiért – többek között jogi tanácsadás a magánügyekben, pénzügyi támogatás óvodáknak, nemzetközi iskolák tandíjaihoz, nyelvtanfolyamok, </w:t>
      </w:r>
      <w:proofErr w:type="spellStart"/>
      <w:r w:rsidRPr="00747C93">
        <w:t>héamentes</w:t>
      </w:r>
      <w:proofErr w:type="spellEnd"/>
      <w:r w:rsidRPr="00747C93">
        <w:t xml:space="preserve"> termékek a kirendelt nemzeti szakértők számára, bevezető program az újonnan érkezőknek, valamint segítségnyújtás a Lettországban letelepedő családtagoknak –, amelyek közül néhány kezdeményezés a lett hatóságokkal együttműködésben valósult meg;</w:t>
      </w:r>
    </w:p>
    <w:p w:rsidR="00664EFF" w:rsidRPr="00747C93" w:rsidRDefault="00664EFF" w:rsidP="00975C61">
      <w:pPr>
        <w:pStyle w:val="NormalHanging12a"/>
        <w:widowControl/>
      </w:pPr>
      <w:proofErr w:type="gramStart"/>
      <w:r w:rsidRPr="00747C93">
        <w:t>14.</w:t>
      </w:r>
      <w:r w:rsidRPr="00747C93">
        <w:tab/>
        <w:t xml:space="preserve">üdvözli, hogy 2022-ben – 2021-hez hasonlóan – a teljes személyzeten belül megfelelő nemek közötti egyensúlyt sikerült elérni: 52% nő és 48% férfi; kitart amellett, hogy fokozni kell az ügynökség személyzetén belül az észszerű nemek közötti egyensúly fenntartására irányuló erőfeszítéseket; tudomásul veszi, hogy az ügynökségnél csak </w:t>
      </w:r>
      <w:r w:rsidRPr="00747C93">
        <w:lastRenderedPageBreak/>
        <w:t>három középvezetői álláshely található, és hogy az egy nő és két férfi alkotta középvezetői szinten is sikerült elfogadható nemek közötti egyensúlyt elérni;</w:t>
      </w:r>
      <w:proofErr w:type="gramEnd"/>
    </w:p>
    <w:p w:rsidR="00664EFF" w:rsidRPr="00747C93" w:rsidRDefault="00664EFF" w:rsidP="00975C61">
      <w:pPr>
        <w:pStyle w:val="NormalHanging12a"/>
        <w:widowControl/>
      </w:pPr>
      <w:r w:rsidRPr="00747C93">
        <w:t>15.</w:t>
      </w:r>
      <w:r w:rsidRPr="00747C93">
        <w:tab/>
      </w:r>
      <w:proofErr w:type="spellStart"/>
      <w:r w:rsidRPr="00747C93">
        <w:t>megjegyzi</w:t>
      </w:r>
      <w:proofErr w:type="spellEnd"/>
      <w:r w:rsidRPr="00747C93">
        <w:t xml:space="preserve">, hogy az ügynökség irányelveket dolgozott ki az emberi méltóság védelmére, valamint a lelki és szexuális zaklatás megelőzésére, és az ügynökség tagja a bizalmi személyek ügynökségközi munkacsoportjának; várakozással tekint jelentésük és ajánlásaik elé; </w:t>
      </w:r>
      <w:proofErr w:type="spellStart"/>
      <w:r w:rsidRPr="00747C93">
        <w:t>megjegyzi</w:t>
      </w:r>
      <w:proofErr w:type="spellEnd"/>
      <w:r w:rsidRPr="00747C93">
        <w:t xml:space="preserve">, hogy 2022-ben nem számoltak be zaklatási esetekről, és </w:t>
      </w:r>
      <w:proofErr w:type="spellStart"/>
      <w:r w:rsidRPr="00747C93">
        <w:t>ösztönzi</w:t>
      </w:r>
      <w:proofErr w:type="spellEnd"/>
      <w:r w:rsidRPr="00747C93">
        <w:t xml:space="preserve"> az ügynökséget, hogy a folytassa és javítsa az ilyen esetek jövőbeli megelőzésével kapcsolatos munkát;</w:t>
      </w:r>
    </w:p>
    <w:p w:rsidR="00664EFF" w:rsidRPr="00747C93" w:rsidRDefault="00664EFF" w:rsidP="00975C61">
      <w:pPr>
        <w:pStyle w:val="NormalHanging12a"/>
        <w:widowControl/>
      </w:pPr>
      <w:proofErr w:type="gramStart"/>
      <w:r w:rsidRPr="00747C93">
        <w:t>16.</w:t>
      </w:r>
      <w:r w:rsidRPr="00747C93">
        <w:tab/>
        <w:t>sajnálatosnak tartja, hogy az ügynökség még nem fogadta el a sokszínűségről és befogadásról szóló chartát, amelynek célja, hogy előmozdítsa az egyenlő bánásmódot és az esélyegyenlőséget, függetlenül a nemtől, fajtól, bőrszíntől, etnikai vagy társadalmi származástól, genetikai jellemzőktől, nyelvtől, vallástól vagy meggyőződéstől, politikai vagy más véleménytől, nemzeti kisebbséghez tartozástól, vagyoni helyzettől, születéstől, fogyatékosságtól, kortól vagy szexuális irányultságtól; emlékeztet arra, hogy a charta egyik célja azon célkitűzés rövid és középtávon történő elérése, hogy a középvezetői</w:t>
      </w:r>
      <w:proofErr w:type="gramEnd"/>
      <w:r w:rsidRPr="00747C93">
        <w:t xml:space="preserve"> álláshelyek 40%-át az </w:t>
      </w:r>
      <w:proofErr w:type="spellStart"/>
      <w:r w:rsidRPr="00747C93">
        <w:t>alulreprezentált</w:t>
      </w:r>
      <w:proofErr w:type="spellEnd"/>
      <w:r w:rsidRPr="00747C93">
        <w:t xml:space="preserve"> nem töltse be; tudomásul veszi az ügynökség szabványosított mentesítési kérdőívre adott válaszát; véleménye szerint a charta elfogadásának nem akadálya, hogy az ügynökség a felső vezetői és a középvezetői kategóriában is páratlan számú álláshellyel rendelkezik; </w:t>
      </w:r>
      <w:proofErr w:type="spellStart"/>
      <w:r w:rsidRPr="00747C93">
        <w:t>ösztönzi</w:t>
      </w:r>
      <w:proofErr w:type="spellEnd"/>
      <w:r w:rsidRPr="00747C93">
        <w:t xml:space="preserve"> az ügynökséget, hogy fogadja el a chartát, és aktívan vegyen </w:t>
      </w:r>
      <w:proofErr w:type="gramStart"/>
      <w:r w:rsidRPr="00747C93">
        <w:t>részt</w:t>
      </w:r>
      <w:proofErr w:type="gramEnd"/>
      <w:r w:rsidRPr="00747C93">
        <w:t xml:space="preserve"> a munkahelyi sokszínűséget és befogadást előmozdító kezdeményezésekben;</w:t>
      </w:r>
    </w:p>
    <w:p w:rsidR="00664EFF" w:rsidRPr="00747C93" w:rsidRDefault="00664EFF" w:rsidP="00975C61">
      <w:pPr>
        <w:pStyle w:val="NormalHanging12a"/>
        <w:widowControl/>
      </w:pPr>
      <w:r w:rsidRPr="00747C93">
        <w:t>17.</w:t>
      </w:r>
      <w:r w:rsidRPr="00747C93">
        <w:tab/>
        <w:t xml:space="preserve">üdvözli, hogy az ügynökség 2022-ben is folytatta gyakornoki programját; </w:t>
      </w:r>
      <w:proofErr w:type="spellStart"/>
      <w:r w:rsidRPr="00747C93">
        <w:t>megjegyzi</w:t>
      </w:r>
      <w:proofErr w:type="spellEnd"/>
      <w:r w:rsidRPr="00747C93">
        <w:t>, hogy összesen 7 gyakornok csatlakozott az ügynökséghez, és 15 gyakornok vett részt az ügynökség gyakornoki programjában;</w:t>
      </w:r>
    </w:p>
    <w:p w:rsidR="00664EFF" w:rsidRPr="00747C93" w:rsidRDefault="00664EFF" w:rsidP="00975C61">
      <w:pPr>
        <w:widowControl/>
        <w:spacing w:after="240"/>
        <w:ind w:left="567" w:hanging="567"/>
        <w:rPr>
          <w:rFonts w:eastAsia="Calibri"/>
          <w:b/>
          <w:i/>
          <w:szCs w:val="24"/>
        </w:rPr>
      </w:pPr>
      <w:r w:rsidRPr="00747C93">
        <w:rPr>
          <w:b/>
          <w:i/>
        </w:rPr>
        <w:t>Az összeférhetetlenségek megelőzése és kezelése, valamint az átláthatóság</w:t>
      </w:r>
    </w:p>
    <w:p w:rsidR="00664EFF" w:rsidRPr="00747C93" w:rsidRDefault="00664EFF" w:rsidP="00975C61">
      <w:pPr>
        <w:widowControl/>
        <w:spacing w:after="240"/>
        <w:ind w:left="567" w:hanging="567"/>
        <w:rPr>
          <w:szCs w:val="24"/>
        </w:rPr>
      </w:pPr>
      <w:r w:rsidRPr="00747C93">
        <w:t>18.</w:t>
      </w:r>
      <w:r w:rsidRPr="00747C93">
        <w:tab/>
        <w:t>megállapítja, hogy az ügynökség igazgatótanácsi tagjainak önéletrajzát és összeférhetetlenségi nyilatkozatát közzéteszi a honlapján;</w:t>
      </w:r>
    </w:p>
    <w:p w:rsidR="00664EFF" w:rsidRPr="00747C93" w:rsidRDefault="00664EFF" w:rsidP="00975C61">
      <w:pPr>
        <w:widowControl/>
        <w:spacing w:after="240"/>
        <w:ind w:left="567" w:hanging="567"/>
        <w:rPr>
          <w:szCs w:val="24"/>
        </w:rPr>
      </w:pPr>
      <w:proofErr w:type="gramStart"/>
      <w:r w:rsidRPr="00747C93">
        <w:t>19.</w:t>
      </w:r>
      <w:r w:rsidRPr="00747C93">
        <w:tab/>
        <w:t>tudomásul veszi, hogy a személyzeti szabályzat hatálya alá tartozó alkalmazottaknak, a kirendelt nemzeti szakértőknek, a gyakornokoknak és az ideiglenes munkavállalóknak az ügynökségnél vállalt szerepük betöltésének megkezdése előtt érdekeltségi nyilatkozatot kell benyújtaniuk, amelyet a kinevezésre jogosult hatóság vagy az igazgató a kinevezés jóváhagyása előtt felülvizsgál; megállapítja továbbá, hogy az esetleges összeférhetetlenségi helyzetek kezelése érdekében a személyzetnek a foglalkoztatás ideje alatt rendszeresen frissítenie kell ezt a nyilatkozatot, és proaktívan tájékoztatnia kell</w:t>
      </w:r>
      <w:proofErr w:type="gramEnd"/>
      <w:r w:rsidRPr="00747C93">
        <w:t xml:space="preserve"> </w:t>
      </w:r>
      <w:proofErr w:type="gramStart"/>
      <w:r w:rsidRPr="00747C93">
        <w:t>az</w:t>
      </w:r>
      <w:proofErr w:type="gramEnd"/>
      <w:r w:rsidRPr="00747C93">
        <w:t xml:space="preserve"> ügynökséget a személyes okokkal indokolt szabadság idején folytatott minden külső tevékenységről, szakmai vállalkozásról, az elfogadott ajándékokról, házastársuk munkavállalásáról és a kiadványok vagy beszédek miatti lehetséges összeférhetetlenségekről; </w:t>
      </w:r>
      <w:proofErr w:type="spellStart"/>
      <w:r w:rsidRPr="00747C93">
        <w:t>megjegyzi</w:t>
      </w:r>
      <w:proofErr w:type="spellEnd"/>
      <w:r w:rsidRPr="00747C93">
        <w:t>, hogy a szolgálati jogviszony megszűnésekor a személyzeti szabályzat hatálya alá tartozó alkalmazottaknak és a gyakornokoknak a munkaviszony megszűnése után meghatározott időn belül tájékoztatniuk kell az ügynökséget tervezett jövőbeli szakmai megbízatásukról;</w:t>
      </w:r>
    </w:p>
    <w:p w:rsidR="00664EFF" w:rsidRPr="00747C93" w:rsidRDefault="00664EFF" w:rsidP="00975C61">
      <w:pPr>
        <w:widowControl/>
        <w:spacing w:after="240"/>
        <w:ind w:left="567" w:hanging="567"/>
        <w:rPr>
          <w:szCs w:val="24"/>
        </w:rPr>
      </w:pPr>
      <w:proofErr w:type="gramStart"/>
      <w:r w:rsidRPr="00747C93">
        <w:t>20.</w:t>
      </w:r>
      <w:r w:rsidRPr="00747C93">
        <w:tab/>
        <w:t xml:space="preserve">tudomásul veszi, hogy az ügynökség igazgatója feljegyzést fogadott el a személyzet tagjai összeférhetetlenségének a kiválasztási és a felvételi eljárás során történő kezelése céljából, amely megköveteli pályázókkal fennálló szakmai/személyes kapcsolatokról </w:t>
      </w:r>
      <w:r w:rsidRPr="00747C93">
        <w:lastRenderedPageBreak/>
        <w:t xml:space="preserve">való nyilatkozattételt, függetlenül attól, hogy az adott kapcsolat összeférhetetlenségnek minősül-e vagy sem; megállapítja továbbá, hogy a személyzet tagjainak azt is jelezniük kell, hogy képesek-e megőrizni </w:t>
      </w:r>
      <w:proofErr w:type="spellStart"/>
      <w:r w:rsidRPr="00747C93">
        <w:t>pártatlanságukat</w:t>
      </w:r>
      <w:proofErr w:type="spellEnd"/>
      <w:r w:rsidRPr="00747C93">
        <w:t xml:space="preserve"> vagy sem; megállapítja, hogy a pályázók nevének közzétételét követően a kiválasztási bizottság tagjainak a fent említett</w:t>
      </w:r>
      <w:proofErr w:type="gramEnd"/>
      <w:r w:rsidRPr="00747C93">
        <w:t xml:space="preserve"> </w:t>
      </w:r>
      <w:proofErr w:type="gramStart"/>
      <w:r w:rsidRPr="00747C93">
        <w:t>feljegyzéssel</w:t>
      </w:r>
      <w:proofErr w:type="gramEnd"/>
      <w:r w:rsidRPr="00747C93">
        <w:t>, valamint az ügynökség kiválasztási, felvételi vagy átsorolási eljárásaiban részt vevő alkalmazottakat érintő összeférhetetlenségek megelőzéséről és kezeléséről szóló iránymutatásokkal összhangban összeférhetetlenségi nyilatkozatot kell benyújtaniuk;</w:t>
      </w:r>
    </w:p>
    <w:p w:rsidR="00664EFF" w:rsidRPr="00747C93" w:rsidRDefault="00664EFF" w:rsidP="00975C61">
      <w:pPr>
        <w:widowControl/>
        <w:spacing w:after="240"/>
        <w:ind w:left="567" w:hanging="567"/>
        <w:rPr>
          <w:szCs w:val="24"/>
        </w:rPr>
      </w:pPr>
      <w:proofErr w:type="gramStart"/>
      <w:r w:rsidRPr="00747C93">
        <w:t>21.</w:t>
      </w:r>
      <w:r w:rsidRPr="00747C93">
        <w:tab/>
        <w:t xml:space="preserve">tudomásul veszi, hogy az igazgatótanács elfogadta az ügynökség 2023–2025 közötti időszakra vonatkozó csalás elleni stratégiáját, amely célul tűzi ki a csalások felderítésének, szankcionálásának és megelőzésének javítását, valamint a pénzügyi érdekeit esetlegesen érintő egyéb jogellenes tevékenységek elleni fellépést; üdvözli, hogy az ügynökség bevezette a </w:t>
      </w:r>
      <w:proofErr w:type="spellStart"/>
      <w:r w:rsidRPr="00747C93">
        <w:t>Sysper</w:t>
      </w:r>
      <w:proofErr w:type="spellEnd"/>
      <w:r w:rsidRPr="00747C93">
        <w:t xml:space="preserve"> etikai moduljait, amelyek az összeférhetetlenségi nyilatkozatot, az ajándékozásra vagy vendéglátásra vonatkozó nyilatkozatot, a kiadványokkal kapcsolatos nyilatkozatot, a külső tevékenység engedélyezésére irányuló kérelmet, a személyes</w:t>
      </w:r>
      <w:proofErr w:type="gramEnd"/>
      <w:r w:rsidRPr="00747C93">
        <w:t xml:space="preserve"> </w:t>
      </w:r>
      <w:proofErr w:type="gramStart"/>
      <w:r w:rsidRPr="00747C93">
        <w:t>okokkal</w:t>
      </w:r>
      <w:proofErr w:type="gramEnd"/>
      <w:r w:rsidRPr="00747C93">
        <w:t xml:space="preserve"> indokolt szabadság ideje alatt végzett külső tevékenység iránti kérelmet, a házastársi foglalkoztatási nyilatkozatot foglalják magukban;</w:t>
      </w:r>
    </w:p>
    <w:p w:rsidR="00664EFF" w:rsidRPr="00747C93" w:rsidRDefault="00664EFF" w:rsidP="00975C61">
      <w:pPr>
        <w:pStyle w:val="NormalHanging12a"/>
        <w:widowControl/>
      </w:pPr>
      <w:r w:rsidRPr="00747C93">
        <w:t>22.</w:t>
      </w:r>
      <w:r w:rsidRPr="00747C93">
        <w:tab/>
        <w:t>emlékeztet annak fontosságára, hogy az ügynökség legyen láthatóbb a médiában, az interneten és a közösségi médiában annak érdekében, hogy ismertebbé tegye munkáját a polgárok körében;</w:t>
      </w:r>
    </w:p>
    <w:p w:rsidR="00664EFF" w:rsidRPr="00747C93" w:rsidRDefault="00664EFF" w:rsidP="00975C61">
      <w:pPr>
        <w:widowControl/>
        <w:spacing w:after="240"/>
        <w:ind w:left="567" w:hanging="567"/>
        <w:rPr>
          <w:b/>
          <w:i/>
          <w:szCs w:val="24"/>
        </w:rPr>
      </w:pPr>
      <w:r w:rsidRPr="00747C93">
        <w:rPr>
          <w:b/>
          <w:i/>
        </w:rPr>
        <w:t>Egyéb megjegyzések</w:t>
      </w:r>
    </w:p>
    <w:p w:rsidR="00664EFF" w:rsidRPr="00747C93" w:rsidRDefault="00664EFF" w:rsidP="00975C61">
      <w:pPr>
        <w:widowControl/>
        <w:spacing w:after="240"/>
        <w:ind w:left="567" w:hanging="567"/>
        <w:rPr>
          <w:b/>
          <w:i/>
          <w:szCs w:val="24"/>
        </w:rPr>
      </w:pPr>
      <w:r w:rsidRPr="00747C93">
        <w:t>23.</w:t>
      </w:r>
      <w:r w:rsidRPr="00747C93">
        <w:tab/>
        <w:t>tudomásul veszi, hogy az ügynökség 2022 februárjától megkezdte a Bizottság szolgálatai közbeszerzési irányítási eszközének (PPMT) használatát, amely tovább egyszerűsítette közbeszerzési eljárásait, és biztosítja a legfrissebb bizottsági sablonok és bevált gyakorlatok használatát a folyamat minden egyes szakaszában;</w:t>
      </w:r>
    </w:p>
    <w:p w:rsidR="00664EFF" w:rsidRPr="00747C93" w:rsidRDefault="00664EFF" w:rsidP="00975C61">
      <w:pPr>
        <w:widowControl/>
        <w:spacing w:after="240"/>
        <w:ind w:left="567" w:hanging="567"/>
        <w:rPr>
          <w:szCs w:val="24"/>
        </w:rPr>
      </w:pPr>
      <w:r w:rsidRPr="00747C93">
        <w:t>24.</w:t>
      </w:r>
      <w:r w:rsidRPr="00747C93">
        <w:tab/>
        <w:t xml:space="preserve">tudomásul veszi, hogy a </w:t>
      </w:r>
      <w:proofErr w:type="spellStart"/>
      <w:r w:rsidRPr="00747C93">
        <w:t>kiberbiztonság</w:t>
      </w:r>
      <w:proofErr w:type="spellEnd"/>
      <w:r w:rsidRPr="00747C93">
        <w:t xml:space="preserve"> és a birtokában lévő digitális nyilvántartások védelmének növelése érdekében az ügynökség kéttényezős hitelesítést, webalkalmazás-szintű tűzfalakat, automatizált biztonsági mentéseket, alkalmazott titkosítást (adott esetben/lehetőség szerint) és rendszeres helyreállítási teszteket alkalmaz az üzleti szempontból kritikus rendszerek tekintetében; </w:t>
      </w:r>
      <w:proofErr w:type="spellStart"/>
      <w:r w:rsidRPr="00747C93">
        <w:t>megjegyzi</w:t>
      </w:r>
      <w:proofErr w:type="spellEnd"/>
      <w:r w:rsidRPr="00747C93">
        <w:t xml:space="preserve"> továbbá, hogy az ügynökség szoftveralapú védelmet alkalmaz a végfelhasználói eszközökön, például a laptopokon és mobiltelefonokon, valamint a CERT-EU által nyújtott IKT-biztonsági szolgáltatásokban;</w:t>
      </w:r>
    </w:p>
    <w:p w:rsidR="00664EFF" w:rsidRPr="00747C93" w:rsidRDefault="00664EFF" w:rsidP="00975C61">
      <w:pPr>
        <w:pStyle w:val="NormalHanging12a"/>
        <w:widowControl/>
      </w:pPr>
      <w:r w:rsidRPr="00747C93">
        <w:t>25.</w:t>
      </w:r>
      <w:r w:rsidRPr="00747C93">
        <w:tab/>
        <w:t xml:space="preserve">üdvözli az ügynökség erőfeszítéseit az uniós intézmények, szervek, hivatalok és ügynökségek </w:t>
      </w:r>
      <w:proofErr w:type="spellStart"/>
      <w:r w:rsidRPr="00747C93">
        <w:t>kiberbiztonságával</w:t>
      </w:r>
      <w:proofErr w:type="spellEnd"/>
      <w:r w:rsidRPr="00747C93">
        <w:t xml:space="preserve"> kapcsolatos intézkedéseket meghatározó új jogszabályok prioritásként való kezelése tekintetében; aggodalommal állapítja meg, hogy a </w:t>
      </w:r>
      <w:proofErr w:type="spellStart"/>
      <w:r w:rsidRPr="00747C93">
        <w:t>kiberbiztonsági</w:t>
      </w:r>
      <w:proofErr w:type="spellEnd"/>
      <w:r w:rsidRPr="00747C93">
        <w:t xml:space="preserve"> rendelet aránytalan terhet róhat a </w:t>
      </w:r>
      <w:proofErr w:type="gramStart"/>
      <w:r w:rsidRPr="00747C93">
        <w:t>kis méretű</w:t>
      </w:r>
      <w:proofErr w:type="gramEnd"/>
      <w:r w:rsidRPr="00747C93">
        <w:t xml:space="preserve"> ügynökségekre, például a BEREC Hivatalra, ami veszélyeztetheti a megfelelést; felhívja a Bizottságot, hogy ezt vegye figyelembe a következő évek programozási ciklusaiban;</w:t>
      </w:r>
    </w:p>
    <w:p w:rsidR="00664EFF" w:rsidRPr="00747C93" w:rsidRDefault="00664EFF" w:rsidP="00975C61">
      <w:pPr>
        <w:widowControl/>
        <w:spacing w:after="240"/>
        <w:ind w:left="567" w:hanging="567"/>
        <w:rPr>
          <w:rFonts w:eastAsia="Calibri"/>
          <w:szCs w:val="24"/>
        </w:rPr>
      </w:pPr>
      <w:r w:rsidRPr="00747C93">
        <w:t>26.</w:t>
      </w:r>
      <w:r w:rsidRPr="00747C93">
        <w:tab/>
        <w:t xml:space="preserve">üdvözli, hogy az ügynökség igazgatótanácsa a következő három évre célul tűzte ki az EMAS-tanúsítvány megszerzését; tudomása van arról, hogy az ügynökség megkezdte a tanúsítás belső előkészítését, amely magában foglalja az ügynökség szénlábnyom-számításának további </w:t>
      </w:r>
      <w:proofErr w:type="gramStart"/>
      <w:r w:rsidRPr="00747C93">
        <w:t>aktualizálását</w:t>
      </w:r>
      <w:proofErr w:type="gramEnd"/>
      <w:r w:rsidRPr="00747C93">
        <w:t xml:space="preserve">, valamint az uniós ügynökségek hálózatának </w:t>
      </w:r>
      <w:proofErr w:type="spellStart"/>
      <w:r w:rsidRPr="00747C93">
        <w:lastRenderedPageBreak/>
        <w:t>környezetbarátabbá</w:t>
      </w:r>
      <w:proofErr w:type="spellEnd"/>
      <w:r w:rsidRPr="00747C93">
        <w:t xml:space="preserve"> tételével foglalkozó hálózat ikerintézményi együttműködésében való részvételt és más intézkedéseket;</w:t>
      </w:r>
    </w:p>
    <w:p w:rsidR="00664EFF" w:rsidRPr="00747C93" w:rsidRDefault="00664EFF" w:rsidP="00975C61">
      <w:pPr>
        <w:pStyle w:val="NormalHanging12a"/>
        <w:widowControl/>
      </w:pPr>
      <w:proofErr w:type="gramStart"/>
      <w:r w:rsidRPr="00747C93">
        <w:t>27.</w:t>
      </w:r>
      <w:r w:rsidRPr="00747C93">
        <w:tab/>
        <w:t xml:space="preserve">elismeréssel üdvözli az ukrán nemzeti szabályozó hatóság részvételét az ügynökség napi működésében; üdvözli, hogy az ügynökség és annak tagjai együttműködési keretet hoztak létre a </w:t>
      </w:r>
      <w:proofErr w:type="spellStart"/>
      <w:r w:rsidRPr="00747C93">
        <w:t>konnektivitással</w:t>
      </w:r>
      <w:proofErr w:type="spellEnd"/>
      <w:r w:rsidRPr="00747C93">
        <w:t xml:space="preserve"> kapcsolatos kihívások kezelésére és az ukrán elektronikus hírközlési szabályozásnak az európai távközlési kerettel való összehangolásához vezető út előkészítésére; nagyra értékeli továbbá, hogy az ügynökség által az uniós és ukrán gazdasági szereplőktől az alkalmazott kiskereskedelmi intézkedésekről gyűjtött adatok alapján sikerült együttes nyilatkozatot elfogadni, amely stabil keretet hozott létre</w:t>
      </w:r>
      <w:proofErr w:type="gramEnd"/>
      <w:r w:rsidRPr="00747C93">
        <w:t xml:space="preserve"> annak érdekében, hogy segítséget nyújtson az ukrajnai háború elől menekülő embereknek abban, hogy kapcsolatot tartsanak otthon maradt családtagjaikkal és barátaikkal, és továbbra is </w:t>
      </w:r>
      <w:proofErr w:type="gramStart"/>
      <w:r w:rsidRPr="00747C93">
        <w:t>információkhoz</w:t>
      </w:r>
      <w:proofErr w:type="gramEnd"/>
      <w:r w:rsidRPr="00747C93">
        <w:t xml:space="preserve"> jussanak;</w:t>
      </w:r>
    </w:p>
    <w:p w:rsidR="00664EFF" w:rsidRPr="00747C93" w:rsidRDefault="00664EFF" w:rsidP="00975C61">
      <w:pPr>
        <w:pStyle w:val="NormalHanging12a"/>
        <w:widowControl/>
      </w:pPr>
      <w:proofErr w:type="gramStart"/>
      <w:r w:rsidRPr="00747C93">
        <w:t>28.</w:t>
      </w:r>
      <w:r w:rsidRPr="00747C93">
        <w:tab/>
        <w:t xml:space="preserve">elismerését fejezi ki az ügynökség azon 2022. évi erőfeszítéseiért, hogy kisléptékű kommunikációs kezdeményezések – például a Rigai </w:t>
      </w:r>
      <w:proofErr w:type="spellStart"/>
      <w:r w:rsidRPr="00747C93">
        <w:t>Stradiņš</w:t>
      </w:r>
      <w:proofErr w:type="spellEnd"/>
      <w:r w:rsidRPr="00747C93">
        <w:t xml:space="preserve"> Egyetem hallgatóinak fogadása – révén növelje megbízatásának és munkájának ismertségét Lettországban, előmozdítva egy olyan partnerséget, amely javítja az uniós ügynökségekkel kapcsolatos ismereteket, különösen Lettországban, az Európai Bizottság lettországi képviselete által szervezett, élőben közvetített, az Európa-nap megünneplésére szervezett rendezvényen és más rendezvényeken való részvétel útján; felhívja az ügynökséget, hogy folytassa az ügynökség</w:t>
      </w:r>
      <w:proofErr w:type="gramEnd"/>
      <w:r w:rsidRPr="00747C93">
        <w:t xml:space="preserve"> </w:t>
      </w:r>
      <w:proofErr w:type="gramStart"/>
      <w:r w:rsidRPr="00747C93">
        <w:t>láthatóságának</w:t>
      </w:r>
      <w:proofErr w:type="gramEnd"/>
      <w:r w:rsidRPr="00747C93">
        <w:t xml:space="preserve"> növelése érdekében folyó munkát, különösen a fogadó tagállamban;</w:t>
      </w:r>
    </w:p>
    <w:p w:rsidR="00664EFF" w:rsidRPr="00747C93" w:rsidRDefault="00664EFF" w:rsidP="00975C61">
      <w:pPr>
        <w:pStyle w:val="NormalHanging12a"/>
        <w:widowControl/>
      </w:pPr>
      <w:r w:rsidRPr="00747C93">
        <w:t>29.</w:t>
      </w:r>
      <w:r w:rsidRPr="00747C93">
        <w:tab/>
        <w:t>üdvözli, hogy az Európai Bizottság és az Európai Parlament rigai helyi irodái, valamint az ügynökség közös erőfeszítéseket tettek egy közös Európa Ház létrehozása érdekében, amely az összes uniós intézmény és az ügynökség lettországi „otthona” lesz;</w:t>
      </w:r>
    </w:p>
    <w:p w:rsidR="00664EFF" w:rsidRPr="00747C93" w:rsidRDefault="00664EFF" w:rsidP="00975C61">
      <w:pPr>
        <w:pStyle w:val="NormalCenter12a"/>
        <w:widowControl/>
        <w:ind w:left="567" w:hanging="567"/>
      </w:pPr>
      <w:r w:rsidRPr="00747C93">
        <w:t>°</w:t>
      </w:r>
    </w:p>
    <w:p w:rsidR="00664EFF" w:rsidRPr="00747C93" w:rsidRDefault="00664EFF" w:rsidP="00975C61">
      <w:pPr>
        <w:pStyle w:val="NormalCenter12a"/>
        <w:widowControl/>
        <w:ind w:left="567" w:hanging="567"/>
      </w:pPr>
      <w:r w:rsidRPr="00747C93">
        <w:t>°</w:t>
      </w:r>
      <w:r w:rsidRPr="00747C93">
        <w:tab/>
        <w:t>°</w:t>
      </w:r>
    </w:p>
    <w:p w:rsidR="00664EFF" w:rsidRPr="00F400E3" w:rsidRDefault="00664EFF" w:rsidP="00975C61">
      <w:pPr>
        <w:pStyle w:val="NormalHanging12a"/>
        <w:widowControl/>
      </w:pPr>
      <w:r w:rsidRPr="00747C93">
        <w:t>30.</w:t>
      </w:r>
      <w:r w:rsidRPr="00747C93">
        <w:tab/>
        <w:t xml:space="preserve">a mentesítő határozatot kísérő </w:t>
      </w:r>
      <w:proofErr w:type="gramStart"/>
      <w:r w:rsidRPr="00747C93">
        <w:t>horizontális</w:t>
      </w:r>
      <w:proofErr w:type="gramEnd"/>
      <w:r w:rsidRPr="00747C93">
        <w:t xml:space="preserve"> jellegű egyéb észrevételei tekintetében utal az ügynökségek teljesítményéről, pénzgazdálkodásáról és ellenőrzéséről szóló, </w:t>
      </w:r>
      <w:r w:rsidR="00DE13B7" w:rsidRPr="00747C93">
        <w:t>2024. április 11</w:t>
      </w:r>
      <w:r w:rsidRPr="00747C93">
        <w:t>-i állásfoglalására</w:t>
      </w:r>
      <w:r w:rsidRPr="00747C93">
        <w:rPr>
          <w:vertAlign w:val="superscript"/>
        </w:rPr>
        <w:footnoteReference w:id="12"/>
      </w:r>
      <w:r w:rsidRPr="00747C93">
        <w:t>.</w:t>
      </w:r>
    </w:p>
    <w:p w:rsidR="00E365E1" w:rsidRPr="00F400E3" w:rsidRDefault="00E365E1" w:rsidP="00975C61">
      <w:pPr>
        <w:widowControl/>
        <w:spacing w:after="240"/>
        <w:ind w:left="567" w:hanging="567"/>
      </w:pPr>
      <w:bookmarkStart w:id="10" w:name="TextBodyEnd"/>
      <w:bookmarkEnd w:id="10"/>
    </w:p>
    <w:sectPr w:rsidR="00E365E1" w:rsidRPr="00F400E3" w:rsidSect="00F400E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1C7" w:rsidRPr="00F400E3" w:rsidRDefault="005E71C7">
      <w:r w:rsidRPr="00F400E3">
        <w:separator/>
      </w:r>
    </w:p>
  </w:endnote>
  <w:endnote w:type="continuationSeparator" w:id="0">
    <w:p w:rsidR="005E71C7" w:rsidRPr="00F400E3" w:rsidRDefault="005E71C7">
      <w:r w:rsidRPr="00F40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EFF" w:rsidRPr="00F400E3" w:rsidRDefault="00664EFF" w:rsidP="009428ED">
    <w:pPr>
      <w:pStyle w:val="EPFooter"/>
    </w:pPr>
    <w:proofErr w:type="gramStart"/>
    <w:r w:rsidRPr="00F400E3">
      <w:t>PE</w:t>
    </w:r>
    <w:r w:rsidRPr="00F400E3">
      <w:rPr>
        <w:rStyle w:val="HideTWBExt"/>
      </w:rPr>
      <w:t>&lt;</w:t>
    </w:r>
    <w:proofErr w:type="spellStart"/>
    <w:proofErr w:type="gramEnd"/>
    <w:r w:rsidRPr="00F400E3">
      <w:rPr>
        <w:rStyle w:val="HideTWBExt"/>
      </w:rPr>
      <w:t>NoPE</w:t>
    </w:r>
    <w:proofErr w:type="spellEnd"/>
    <w:r w:rsidRPr="00F400E3">
      <w:rPr>
        <w:rStyle w:val="HideTWBExt"/>
      </w:rPr>
      <w:t>&gt;</w:t>
    </w:r>
    <w:r w:rsidRPr="00F400E3">
      <w:t>753.507</w:t>
    </w:r>
    <w:r w:rsidRPr="00F400E3">
      <w:rPr>
        <w:rStyle w:val="HideTWBExt"/>
      </w:rPr>
      <w:t>&lt;/</w:t>
    </w:r>
    <w:proofErr w:type="spellStart"/>
    <w:r w:rsidRPr="00F400E3">
      <w:rPr>
        <w:rStyle w:val="HideTWBExt"/>
      </w:rPr>
      <w:t>NoPE</w:t>
    </w:r>
    <w:proofErr w:type="spellEnd"/>
    <w:r w:rsidRPr="00F400E3">
      <w:rPr>
        <w:rStyle w:val="HideTWBExt"/>
      </w:rPr>
      <w:t>&gt;&lt;Version&gt;</w:t>
    </w:r>
    <w:r w:rsidRPr="00F400E3">
      <w:t>v02-00</w:t>
    </w:r>
    <w:r w:rsidRPr="00F400E3">
      <w:rPr>
        <w:rStyle w:val="HideTWBExt"/>
      </w:rPr>
      <w:t>&lt;/Version&gt;</w:t>
    </w:r>
    <w:r w:rsidRPr="00F400E3">
      <w:tab/>
    </w:r>
    <w:r w:rsidRPr="00F400E3">
      <w:fldChar w:fldCharType="begin"/>
    </w:r>
    <w:r w:rsidRPr="00F400E3">
      <w:instrText xml:space="preserve"> PAGE  \* MERGEFORMAT </w:instrText>
    </w:r>
    <w:r w:rsidRPr="00F400E3">
      <w:fldChar w:fldCharType="separate"/>
    </w:r>
    <w:r w:rsidR="00F400E3" w:rsidRPr="00F400E3">
      <w:rPr>
        <w:noProof/>
      </w:rPr>
      <w:t>2</w:t>
    </w:r>
    <w:r w:rsidRPr="00F400E3">
      <w:fldChar w:fldCharType="end"/>
    </w:r>
    <w:r w:rsidRPr="00F400E3">
      <w:t>/</w:t>
    </w:r>
    <w:r w:rsidR="00B04D0C">
      <w:fldChar w:fldCharType="begin"/>
    </w:r>
    <w:r w:rsidR="00B04D0C">
      <w:instrText xml:space="preserve"> NUMPAGES  \* MERGEFORMAT </w:instrText>
    </w:r>
    <w:r w:rsidR="00B04D0C">
      <w:fldChar w:fldCharType="separate"/>
    </w:r>
    <w:r w:rsidR="00F400E3" w:rsidRPr="00F400E3">
      <w:rPr>
        <w:noProof/>
      </w:rPr>
      <w:t>3</w:t>
    </w:r>
    <w:r w:rsidR="00B04D0C">
      <w:rPr>
        <w:noProof/>
      </w:rPr>
      <w:fldChar w:fldCharType="end"/>
    </w:r>
    <w:r w:rsidRPr="00F400E3">
      <w:tab/>
    </w:r>
    <w:r w:rsidRPr="00F400E3">
      <w:rPr>
        <w:rStyle w:val="HideTWBExt"/>
      </w:rPr>
      <w:t>&lt;PathFdR&gt;</w:t>
    </w:r>
    <w:r w:rsidRPr="00F400E3">
      <w:t>RR\1299071HU.docx</w:t>
    </w:r>
    <w:r w:rsidRPr="00F400E3">
      <w:rPr>
        <w:rStyle w:val="HideTWBExt"/>
      </w:rPr>
      <w:t>&lt;/</w:t>
    </w:r>
    <w:proofErr w:type="spellStart"/>
    <w:r w:rsidRPr="00F400E3">
      <w:rPr>
        <w:rStyle w:val="HideTWBExt"/>
      </w:rPr>
      <w:t>PathFdR</w:t>
    </w:r>
    <w:proofErr w:type="spellEnd"/>
    <w:r w:rsidRPr="00F400E3">
      <w:rPr>
        <w:rStyle w:val="HideTWBExt"/>
      </w:rPr>
      <w:t>&gt;</w:t>
    </w:r>
  </w:p>
  <w:p w:rsidR="00664EFF" w:rsidRPr="00F400E3" w:rsidRDefault="00664EFF" w:rsidP="009428ED">
    <w:pPr>
      <w:pStyle w:val="EPFooter2"/>
    </w:pPr>
    <w:r w:rsidRPr="00F400E3">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EFF" w:rsidRPr="00F400E3" w:rsidRDefault="00664EFF" w:rsidP="009428ED">
    <w:pPr>
      <w:pStyle w:val="EPFooter"/>
    </w:pPr>
    <w:r w:rsidRPr="00F400E3">
      <w:rPr>
        <w:rStyle w:val="HideTWBExt"/>
      </w:rPr>
      <w:t>&lt;PathFdR</w:t>
    </w:r>
    <w:proofErr w:type="gramStart"/>
    <w:r w:rsidRPr="00F400E3">
      <w:rPr>
        <w:rStyle w:val="HideTWBExt"/>
      </w:rPr>
      <w:t>&gt;</w:t>
    </w:r>
    <w:r w:rsidRPr="00F400E3">
      <w:t>RR</w:t>
    </w:r>
    <w:proofErr w:type="gramEnd"/>
    <w:r w:rsidRPr="00F400E3">
      <w:t>\1299071HU.docx</w:t>
    </w:r>
    <w:r w:rsidRPr="00F400E3">
      <w:rPr>
        <w:rStyle w:val="HideTWBExt"/>
      </w:rPr>
      <w:t>&lt;/</w:t>
    </w:r>
    <w:proofErr w:type="spellStart"/>
    <w:r w:rsidRPr="00F400E3">
      <w:rPr>
        <w:rStyle w:val="HideTWBExt"/>
      </w:rPr>
      <w:t>PathFdR</w:t>
    </w:r>
    <w:proofErr w:type="spellEnd"/>
    <w:r w:rsidRPr="00F400E3">
      <w:rPr>
        <w:rStyle w:val="HideTWBExt"/>
      </w:rPr>
      <w:t>&gt;</w:t>
    </w:r>
    <w:r w:rsidRPr="00F400E3">
      <w:tab/>
    </w:r>
    <w:r w:rsidRPr="00F400E3">
      <w:tab/>
      <w:t>PE</w:t>
    </w:r>
    <w:r w:rsidRPr="00F400E3">
      <w:rPr>
        <w:rStyle w:val="HideTWBExt"/>
      </w:rPr>
      <w:t>&lt;</w:t>
    </w:r>
    <w:proofErr w:type="spellStart"/>
    <w:r w:rsidRPr="00F400E3">
      <w:rPr>
        <w:rStyle w:val="HideTWBExt"/>
      </w:rPr>
      <w:t>NoPE</w:t>
    </w:r>
    <w:proofErr w:type="spellEnd"/>
    <w:r w:rsidRPr="00F400E3">
      <w:rPr>
        <w:rStyle w:val="HideTWBExt"/>
      </w:rPr>
      <w:t>&gt;</w:t>
    </w:r>
    <w:r w:rsidRPr="00F400E3">
      <w:t>753.507</w:t>
    </w:r>
    <w:r w:rsidRPr="00F400E3">
      <w:rPr>
        <w:rStyle w:val="HideTWBExt"/>
      </w:rPr>
      <w:t>&lt;/</w:t>
    </w:r>
    <w:proofErr w:type="spellStart"/>
    <w:r w:rsidRPr="00F400E3">
      <w:rPr>
        <w:rStyle w:val="HideTWBExt"/>
      </w:rPr>
      <w:t>NoPE</w:t>
    </w:r>
    <w:proofErr w:type="spellEnd"/>
    <w:r w:rsidRPr="00F400E3">
      <w:rPr>
        <w:rStyle w:val="HideTWBExt"/>
      </w:rPr>
      <w:t>&gt;&lt;Version&gt;</w:t>
    </w:r>
    <w:r w:rsidRPr="00F400E3">
      <w:t>v02-00</w:t>
    </w:r>
    <w:r w:rsidRPr="00F400E3">
      <w:rPr>
        <w:rStyle w:val="HideTWBExt"/>
      </w:rPr>
      <w:t>&lt;/Version&gt;</w:t>
    </w:r>
  </w:p>
  <w:p w:rsidR="00664EFF" w:rsidRPr="00F400E3" w:rsidRDefault="00664EFF" w:rsidP="009428ED">
    <w:pPr>
      <w:pStyle w:val="EPFooter2"/>
    </w:pPr>
    <w:proofErr w:type="gramStart"/>
    <w:r w:rsidRPr="00F400E3">
      <w:t>HU</w:t>
    </w:r>
    <w:proofErr w:type="gramEnd"/>
    <w:r w:rsidRPr="00F400E3">
      <w:tab/>
    </w:r>
    <w:r w:rsidRPr="00F400E3">
      <w:rPr>
        <w:b w:val="0"/>
        <w:i/>
        <w:color w:val="C0C0C0"/>
        <w:sz w:val="22"/>
      </w:rPr>
      <w:t>Egyesülve a sokféleségben</w:t>
    </w:r>
    <w:r w:rsidRPr="00F400E3">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0E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0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0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1C7" w:rsidRPr="00F400E3" w:rsidRDefault="005E71C7">
      <w:r w:rsidRPr="00F400E3">
        <w:separator/>
      </w:r>
    </w:p>
  </w:footnote>
  <w:footnote w:type="continuationSeparator" w:id="0">
    <w:p w:rsidR="005E71C7" w:rsidRPr="00F400E3" w:rsidRDefault="005E71C7">
      <w:r w:rsidRPr="00F400E3">
        <w:continuationSeparator/>
      </w:r>
    </w:p>
  </w:footnote>
  <w:footnote w:id="1">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C, C/2023/594, 2023.10.27.</w:t>
      </w:r>
    </w:p>
  </w:footnote>
  <w:footnote w:id="2">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C, C/2023/112, 2023.10.12.</w:t>
      </w:r>
    </w:p>
  </w:footnote>
  <w:footnote w:id="3">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L 193., 2018.7.30</w:t>
      </w:r>
      <w:proofErr w:type="gramStart"/>
      <w:r w:rsidRPr="00F400E3">
        <w:rPr>
          <w:sz w:val="24"/>
          <w:lang w:val="hu-HU"/>
        </w:rPr>
        <w:t>.,</w:t>
      </w:r>
      <w:proofErr w:type="gramEnd"/>
      <w:r w:rsidRPr="00F400E3">
        <w:rPr>
          <w:sz w:val="24"/>
          <w:lang w:val="hu-HU"/>
        </w:rPr>
        <w:t xml:space="preserve"> 1. o.</w:t>
      </w:r>
    </w:p>
  </w:footnote>
  <w:footnote w:id="4">
    <w:p w:rsidR="00664EFF" w:rsidRPr="00F400E3" w:rsidRDefault="00664EFF" w:rsidP="00F400E3">
      <w:pPr>
        <w:pStyle w:val="FootnoteText"/>
        <w:ind w:left="567" w:hanging="567"/>
        <w:rPr>
          <w:sz w:val="24"/>
          <w:szCs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L 321., 2018.12.17</w:t>
      </w:r>
      <w:proofErr w:type="gramStart"/>
      <w:r w:rsidRPr="00F400E3">
        <w:rPr>
          <w:sz w:val="24"/>
          <w:lang w:val="hu-HU"/>
        </w:rPr>
        <w:t>.,</w:t>
      </w:r>
      <w:proofErr w:type="gramEnd"/>
      <w:r w:rsidRPr="00F400E3">
        <w:rPr>
          <w:sz w:val="24"/>
          <w:lang w:val="hu-HU"/>
        </w:rPr>
        <w:t xml:space="preserve"> 1. o.</w:t>
      </w:r>
    </w:p>
  </w:footnote>
  <w:footnote w:id="5">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L 122., 2019.5.10</w:t>
      </w:r>
      <w:proofErr w:type="gramStart"/>
      <w:r w:rsidRPr="00F400E3">
        <w:rPr>
          <w:sz w:val="24"/>
          <w:lang w:val="hu-HU"/>
        </w:rPr>
        <w:t>.,</w:t>
      </w:r>
      <w:proofErr w:type="gramEnd"/>
      <w:r w:rsidRPr="00F400E3">
        <w:rPr>
          <w:sz w:val="24"/>
          <w:lang w:val="hu-HU"/>
        </w:rPr>
        <w:t xml:space="preserve"> 1. o.</w:t>
      </w:r>
    </w:p>
  </w:footnote>
  <w:footnote w:id="6">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C, C/2023/594, 2023.10.27.</w:t>
      </w:r>
    </w:p>
  </w:footnote>
  <w:footnote w:id="7">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C, C/2023/112, 2023.10.12.</w:t>
      </w:r>
    </w:p>
  </w:footnote>
  <w:footnote w:id="8">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L 193., 2018.7.30</w:t>
      </w:r>
      <w:proofErr w:type="gramStart"/>
      <w:r w:rsidRPr="00F400E3">
        <w:rPr>
          <w:sz w:val="24"/>
          <w:lang w:val="hu-HU"/>
        </w:rPr>
        <w:t>.,</w:t>
      </w:r>
      <w:proofErr w:type="gramEnd"/>
      <w:r w:rsidRPr="00F400E3">
        <w:rPr>
          <w:sz w:val="24"/>
          <w:lang w:val="hu-HU"/>
        </w:rPr>
        <w:t xml:space="preserve"> 1. o.</w:t>
      </w:r>
    </w:p>
  </w:footnote>
  <w:footnote w:id="9">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L 321., 2018.12.17</w:t>
      </w:r>
      <w:proofErr w:type="gramStart"/>
      <w:r w:rsidRPr="00F400E3">
        <w:rPr>
          <w:sz w:val="24"/>
          <w:lang w:val="hu-HU"/>
        </w:rPr>
        <w:t>.,</w:t>
      </w:r>
      <w:proofErr w:type="gramEnd"/>
      <w:r w:rsidRPr="00F400E3">
        <w:rPr>
          <w:sz w:val="24"/>
          <w:lang w:val="hu-HU"/>
        </w:rPr>
        <w:t xml:space="preserve"> 1. o.</w:t>
      </w:r>
    </w:p>
  </w:footnote>
  <w:footnote w:id="10">
    <w:p w:rsidR="00664EFF" w:rsidRPr="00F400E3" w:rsidRDefault="00664EFF" w:rsidP="00F400E3">
      <w:pPr>
        <w:pStyle w:val="FootnoteText"/>
        <w:ind w:left="567" w:hanging="567"/>
        <w:rPr>
          <w:sz w:val="24"/>
          <w:szCs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L 122., 2019.5.10</w:t>
      </w:r>
      <w:proofErr w:type="gramStart"/>
      <w:r w:rsidRPr="00F400E3">
        <w:rPr>
          <w:sz w:val="24"/>
          <w:lang w:val="hu-HU"/>
        </w:rPr>
        <w:t>.,</w:t>
      </w:r>
      <w:proofErr w:type="gramEnd"/>
      <w:r w:rsidRPr="00F400E3">
        <w:rPr>
          <w:sz w:val="24"/>
          <w:lang w:val="hu-HU"/>
        </w:rPr>
        <w:t xml:space="preserve"> 1. o.</w:t>
      </w:r>
    </w:p>
  </w:footnote>
  <w:footnote w:id="11">
    <w:p w:rsidR="00664EFF" w:rsidRPr="00F400E3" w:rsidRDefault="00664EFF" w:rsidP="00F400E3">
      <w:pPr>
        <w:pStyle w:val="FootnoteText"/>
        <w:ind w:left="567" w:hanging="567"/>
        <w:rPr>
          <w:sz w:val="24"/>
          <w:lang w:val="hu-HU"/>
        </w:rPr>
      </w:pPr>
      <w:r w:rsidRPr="00F400E3">
        <w:rPr>
          <w:rStyle w:val="FootnoteReference"/>
          <w:sz w:val="24"/>
          <w:lang w:val="hu-HU"/>
        </w:rPr>
        <w:footnoteRef/>
      </w:r>
      <w:r w:rsidR="00F400E3" w:rsidRPr="00F400E3">
        <w:rPr>
          <w:sz w:val="24"/>
          <w:lang w:val="hu-HU"/>
        </w:rPr>
        <w:t xml:space="preserve"> </w:t>
      </w:r>
      <w:r w:rsidR="00F400E3" w:rsidRPr="00F400E3">
        <w:rPr>
          <w:sz w:val="24"/>
          <w:lang w:val="hu-HU"/>
        </w:rPr>
        <w:tab/>
      </w:r>
      <w:r w:rsidRPr="00F400E3">
        <w:rPr>
          <w:sz w:val="24"/>
          <w:lang w:val="hu-HU"/>
        </w:rPr>
        <w:t>HL C 119., 202</w:t>
      </w:r>
      <w:r w:rsidR="00B04D0C">
        <w:rPr>
          <w:sz w:val="24"/>
          <w:lang w:val="hu-HU"/>
        </w:rPr>
        <w:t>3</w:t>
      </w:r>
      <w:r w:rsidRPr="00F400E3">
        <w:rPr>
          <w:sz w:val="24"/>
          <w:lang w:val="hu-HU"/>
        </w:rPr>
        <w:t>.3.31</w:t>
      </w:r>
      <w:proofErr w:type="gramStart"/>
      <w:r w:rsidRPr="00F400E3">
        <w:rPr>
          <w:sz w:val="24"/>
          <w:lang w:val="hu-HU"/>
        </w:rPr>
        <w:t>.,</w:t>
      </w:r>
      <w:proofErr w:type="gramEnd"/>
      <w:r w:rsidRPr="00F400E3">
        <w:rPr>
          <w:sz w:val="24"/>
          <w:lang w:val="hu-HU"/>
        </w:rPr>
        <w:t xml:space="preserve"> 11. o.</w:t>
      </w:r>
    </w:p>
  </w:footnote>
  <w:footnote w:id="12">
    <w:p w:rsidR="00664EFF" w:rsidRPr="00F400E3" w:rsidRDefault="00664EFF" w:rsidP="00F400E3">
      <w:pPr>
        <w:pStyle w:val="FootnoteText"/>
        <w:ind w:left="567" w:hanging="567"/>
        <w:rPr>
          <w:sz w:val="24"/>
          <w:szCs w:val="24"/>
          <w:lang w:val="hu-HU"/>
        </w:rPr>
      </w:pPr>
      <w:r w:rsidRPr="00F400E3">
        <w:rPr>
          <w:rStyle w:val="FootnoteReference"/>
          <w:sz w:val="24"/>
          <w:szCs w:val="24"/>
          <w:lang w:val="hu-HU"/>
        </w:rPr>
        <w:footnoteRef/>
      </w:r>
      <w:r w:rsidR="00F400E3" w:rsidRPr="00F400E3">
        <w:rPr>
          <w:sz w:val="24"/>
          <w:lang w:val="hu-HU"/>
        </w:rPr>
        <w:t xml:space="preserve"> </w:t>
      </w:r>
      <w:r w:rsidR="00F400E3" w:rsidRPr="00F400E3">
        <w:rPr>
          <w:sz w:val="24"/>
          <w:lang w:val="hu-HU"/>
        </w:rPr>
        <w:tab/>
      </w:r>
      <w:r w:rsidRPr="00F400E3">
        <w:rPr>
          <w:sz w:val="24"/>
          <w:lang w:val="hu-HU"/>
        </w:rPr>
        <w:t>Elfogadott szövegek, P9_</w:t>
      </w:r>
      <w:proofErr w:type="gramStart"/>
      <w:r w:rsidRPr="00F400E3">
        <w:rPr>
          <w:sz w:val="24"/>
          <w:lang w:val="hu-HU"/>
        </w:rPr>
        <w:t>TA(</w:t>
      </w:r>
      <w:proofErr w:type="gramEnd"/>
      <w:r w:rsidRPr="00F400E3">
        <w:rPr>
          <w:sz w:val="24"/>
          <w:lang w:val="hu-HU"/>
        </w:rPr>
        <w:t>2024)</w:t>
      </w:r>
      <w:r w:rsidR="00927BFE">
        <w:rPr>
          <w:sz w:val="24"/>
          <w:lang w:val="hu-HU"/>
        </w:rPr>
        <w:t>0280</w:t>
      </w:r>
      <w:r w:rsidRPr="00F400E3">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0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0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0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HU"/>
    <w:docVar w:name="dvnumam" w:val="0"/>
    <w:docVar w:name="dvpe" w:val="753.507"/>
    <w:docVar w:name="dvrapporteur" w:val="Előadó: "/>
    <w:docVar w:name="dvtitre" w:val="Az Európai Parlament 2024.  ...-i határozata a BEREC Működését Segítő Ügynökség (BEREC Hivatal) 2022. évi pénzügyi évre szóló költségvetésének végrehajtására vonatkozó mentesítésről(2023/2141(DEC))"/>
  </w:docVars>
  <w:rsids>
    <w:rsidRoot w:val="005E71C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8DD"/>
    <w:rsid w:val="00545827"/>
    <w:rsid w:val="00560270"/>
    <w:rsid w:val="005C2568"/>
    <w:rsid w:val="005E71C7"/>
    <w:rsid w:val="006037C0"/>
    <w:rsid w:val="006631B6"/>
    <w:rsid w:val="00664EFF"/>
    <w:rsid w:val="00680577"/>
    <w:rsid w:val="006F74FA"/>
    <w:rsid w:val="00731ADD"/>
    <w:rsid w:val="00734777"/>
    <w:rsid w:val="00747932"/>
    <w:rsid w:val="00747C93"/>
    <w:rsid w:val="00751A4A"/>
    <w:rsid w:val="00756632"/>
    <w:rsid w:val="00762C74"/>
    <w:rsid w:val="00786EC0"/>
    <w:rsid w:val="007D1690"/>
    <w:rsid w:val="007E22AD"/>
    <w:rsid w:val="00817416"/>
    <w:rsid w:val="00842779"/>
    <w:rsid w:val="00865F67"/>
    <w:rsid w:val="00881A7B"/>
    <w:rsid w:val="008840E5"/>
    <w:rsid w:val="00887B3E"/>
    <w:rsid w:val="008C2AC6"/>
    <w:rsid w:val="00927BFE"/>
    <w:rsid w:val="00930C23"/>
    <w:rsid w:val="0093193B"/>
    <w:rsid w:val="009509D8"/>
    <w:rsid w:val="00950B64"/>
    <w:rsid w:val="00975C61"/>
    <w:rsid w:val="00981893"/>
    <w:rsid w:val="00A1687D"/>
    <w:rsid w:val="00A43E52"/>
    <w:rsid w:val="00A4678D"/>
    <w:rsid w:val="00A778C7"/>
    <w:rsid w:val="00AB441E"/>
    <w:rsid w:val="00AB6293"/>
    <w:rsid w:val="00AE0928"/>
    <w:rsid w:val="00AF3B82"/>
    <w:rsid w:val="00B04D0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3B7"/>
    <w:rsid w:val="00E365E1"/>
    <w:rsid w:val="00E820A4"/>
    <w:rsid w:val="00E87C9B"/>
    <w:rsid w:val="00EB006A"/>
    <w:rsid w:val="00EB4772"/>
    <w:rsid w:val="00ED169E"/>
    <w:rsid w:val="00ED4235"/>
    <w:rsid w:val="00F04346"/>
    <w:rsid w:val="00F075DC"/>
    <w:rsid w:val="00F149E9"/>
    <w:rsid w:val="00F400E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D15E6"/>
  <w15:chartTrackingRefBased/>
  <w15:docId w15:val="{66758C42-584F-49E4-AD01-C62BF8480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4EF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64EFF"/>
    <w:pPr>
      <w:spacing w:before="480" w:after="240"/>
    </w:pPr>
  </w:style>
  <w:style w:type="paragraph" w:customStyle="1" w:styleId="PageHeading">
    <w:name w:val="PageHeading"/>
    <w:basedOn w:val="Normal"/>
    <w:rsid w:val="00664EFF"/>
    <w:pPr>
      <w:keepNext/>
      <w:spacing w:after="480"/>
      <w:jc w:val="center"/>
    </w:pPr>
    <w:rPr>
      <w:rFonts w:ascii="Arial" w:hAnsi="Arial" w:cs="Arial"/>
      <w:b/>
    </w:rPr>
  </w:style>
  <w:style w:type="paragraph" w:customStyle="1" w:styleId="NormalBold">
    <w:name w:val="NormalBold"/>
    <w:basedOn w:val="Normal"/>
    <w:rsid w:val="00664EFF"/>
    <w:rPr>
      <w:b/>
    </w:rPr>
  </w:style>
  <w:style w:type="paragraph" w:customStyle="1" w:styleId="NormalHanging12a">
    <w:name w:val="NormalHanging12a"/>
    <w:basedOn w:val="Normal"/>
    <w:link w:val="NormalHanging12aChar"/>
    <w:rsid w:val="00664EFF"/>
    <w:pPr>
      <w:spacing w:after="240"/>
      <w:ind w:left="567" w:hanging="567"/>
    </w:pPr>
  </w:style>
  <w:style w:type="paragraph" w:customStyle="1" w:styleId="NormalCenter12a">
    <w:name w:val="NormalCenter12a"/>
    <w:basedOn w:val="Normal"/>
    <w:rsid w:val="00664EFF"/>
    <w:pPr>
      <w:spacing w:after="240"/>
      <w:jc w:val="center"/>
    </w:pPr>
  </w:style>
  <w:style w:type="paragraph" w:styleId="Header">
    <w:name w:val="header"/>
    <w:basedOn w:val="Normal"/>
    <w:link w:val="HeaderChar"/>
    <w:rsid w:val="00664EFF"/>
    <w:pPr>
      <w:tabs>
        <w:tab w:val="center" w:pos="4513"/>
        <w:tab w:val="right" w:pos="9026"/>
      </w:tabs>
    </w:pPr>
  </w:style>
  <w:style w:type="character" w:customStyle="1" w:styleId="HeaderChar">
    <w:name w:val="Header Char"/>
    <w:basedOn w:val="DefaultParagraphFont"/>
    <w:link w:val="Header"/>
    <w:rsid w:val="00664EFF"/>
    <w:rPr>
      <w:sz w:val="24"/>
      <w:lang w:val="hu-HU"/>
    </w:rPr>
  </w:style>
  <w:style w:type="paragraph" w:customStyle="1" w:styleId="EPFooter">
    <w:name w:val="EPFooter"/>
    <w:basedOn w:val="Normal"/>
    <w:rsid w:val="00664EFF"/>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664EFF"/>
    <w:rPr>
      <w:sz w:val="24"/>
      <w:lang w:val="hu-HU"/>
    </w:rPr>
  </w:style>
  <w:style w:type="paragraph" w:customStyle="1" w:styleId="Normal12Hanging">
    <w:name w:val="Normal12Hanging"/>
    <w:basedOn w:val="Normal"/>
    <w:rsid w:val="00664EFF"/>
    <w:pPr>
      <w:spacing w:after="240"/>
      <w:ind w:left="567" w:hanging="567"/>
    </w:pPr>
  </w:style>
  <w:style w:type="paragraph" w:styleId="Footer">
    <w:name w:val="footer"/>
    <w:basedOn w:val="Normal"/>
    <w:link w:val="FooterChar"/>
    <w:rsid w:val="00975C61"/>
    <w:pPr>
      <w:tabs>
        <w:tab w:val="center" w:pos="4513"/>
        <w:tab w:val="right" w:pos="9026"/>
      </w:tabs>
    </w:pPr>
  </w:style>
  <w:style w:type="character" w:customStyle="1" w:styleId="FooterChar">
    <w:name w:val="Footer Char"/>
    <w:basedOn w:val="DefaultParagraphFont"/>
    <w:link w:val="Footer"/>
    <w:rsid w:val="00975C61"/>
    <w:rPr>
      <w:sz w:val="24"/>
      <w:lang w:val="hu-HU"/>
    </w:rPr>
  </w:style>
  <w:style w:type="paragraph" w:styleId="BalloonText">
    <w:name w:val="Balloon Text"/>
    <w:basedOn w:val="Normal"/>
    <w:link w:val="BalloonTextChar"/>
    <w:rsid w:val="00975C61"/>
    <w:rPr>
      <w:rFonts w:ascii="Segoe UI" w:hAnsi="Segoe UI" w:cs="Segoe UI"/>
      <w:sz w:val="18"/>
      <w:szCs w:val="18"/>
    </w:rPr>
  </w:style>
  <w:style w:type="character" w:customStyle="1" w:styleId="BalloonTextChar">
    <w:name w:val="Balloon Text Char"/>
    <w:basedOn w:val="DefaultParagraphFont"/>
    <w:link w:val="BalloonText"/>
    <w:rsid w:val="00975C6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26FDA-C20D-44CB-8F67-812BA2E7F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2829</Words>
  <Characters>21170</Characters>
  <Application>Microsoft Office Word</Application>
  <DocSecurity>0</DocSecurity>
  <Lines>176</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3</cp:revision>
  <cp:lastPrinted>2004-11-19T15:42:00Z</cp:lastPrinted>
  <dcterms:created xsi:type="dcterms:W3CDTF">2024-04-11T12:45:00Z</dcterms:created>
  <dcterms:modified xsi:type="dcterms:W3CDTF">2024-05-15T09:06:00Z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P9_TA(2024)0266_</vt:lpwstr>
  </property>
  <property fmtid="{D5CDD505-2E9C-101B-9397-08002B2CF9AE}" pid="4" name="&lt;Type&gt;">
    <vt:lpwstr>RR</vt:lpwstr>
  </property>
</Properties>
</file>