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7BC5" w:rsidTr="0010095E">
        <w:trPr>
          <w:trHeight w:hRule="exact" w:val="1418"/>
        </w:trPr>
        <w:tc>
          <w:tcPr>
            <w:tcW w:w="6804" w:type="dxa"/>
            <w:shd w:val="clear" w:color="auto" w:fill="auto"/>
            <w:vAlign w:val="center"/>
          </w:tcPr>
          <w:p w:rsidR="00751A4A" w:rsidRPr="00307BC5" w:rsidRDefault="008F2245" w:rsidP="0010095E">
            <w:pPr>
              <w:pStyle w:val="EPName"/>
            </w:pPr>
            <w:r w:rsidRPr="00307BC5">
              <w:t>Europos Parlamentas</w:t>
            </w:r>
          </w:p>
          <w:p w:rsidR="00751A4A" w:rsidRPr="00307BC5" w:rsidRDefault="00817416" w:rsidP="00756632">
            <w:pPr>
              <w:pStyle w:val="EPTerm"/>
              <w:rPr>
                <w:rStyle w:val="HideTWBExt"/>
                <w:noProof w:val="0"/>
                <w:vanish w:val="0"/>
                <w:color w:val="auto"/>
              </w:rPr>
            </w:pPr>
            <w:r w:rsidRPr="00307BC5">
              <w:t>2019-2024</w:t>
            </w:r>
          </w:p>
        </w:tc>
        <w:tc>
          <w:tcPr>
            <w:tcW w:w="2268" w:type="dxa"/>
            <w:shd w:val="clear" w:color="auto" w:fill="auto"/>
          </w:tcPr>
          <w:p w:rsidR="00751A4A" w:rsidRPr="00307BC5" w:rsidRDefault="00187494" w:rsidP="0010095E">
            <w:pPr>
              <w:pStyle w:val="EPLogo"/>
            </w:pPr>
            <w:r w:rsidRPr="00307B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7BC5" w:rsidRDefault="00D058B8" w:rsidP="004C5D52">
      <w:pPr>
        <w:pStyle w:val="LineTop"/>
      </w:pPr>
    </w:p>
    <w:p w:rsidR="00680577" w:rsidRPr="00307BC5" w:rsidRDefault="008F2245" w:rsidP="00680577">
      <w:pPr>
        <w:pStyle w:val="EPBodyTA1"/>
      </w:pPr>
      <w:r w:rsidRPr="00307BC5">
        <w:t>PRIIMTI TEKSTAI</w:t>
      </w:r>
    </w:p>
    <w:p w:rsidR="00D058B8" w:rsidRPr="00307BC5" w:rsidRDefault="00D058B8" w:rsidP="00D058B8">
      <w:pPr>
        <w:pStyle w:val="LineBottom"/>
      </w:pPr>
    </w:p>
    <w:p w:rsidR="008F2245" w:rsidRPr="00307BC5" w:rsidRDefault="008F2245" w:rsidP="008F2245">
      <w:pPr>
        <w:pStyle w:val="ATHeading1"/>
      </w:pPr>
      <w:bookmarkStart w:id="0" w:name="TANumber"/>
      <w:r w:rsidRPr="00307BC5">
        <w:t>P9_TA(2024)0</w:t>
      </w:r>
      <w:r w:rsidR="00721E3A" w:rsidRPr="00307BC5">
        <w:t>266</w:t>
      </w:r>
      <w:bookmarkEnd w:id="0"/>
    </w:p>
    <w:p w:rsidR="008F2245" w:rsidRPr="00307BC5" w:rsidRDefault="008F2245" w:rsidP="008F2245">
      <w:pPr>
        <w:pStyle w:val="ATHeading2"/>
      </w:pPr>
      <w:bookmarkStart w:id="1" w:name="title"/>
      <w:r w:rsidRPr="00307BC5">
        <w:t>2022 m. biudžeto įvykdymo patvirtinimas: BEREC paramos agentūra (BEREC biuras)</w:t>
      </w:r>
      <w:bookmarkEnd w:id="1"/>
    </w:p>
    <w:p w:rsidR="008F2245" w:rsidRPr="00307BC5" w:rsidRDefault="008F2245" w:rsidP="008F2245">
      <w:pPr>
        <w:rPr>
          <w:i/>
          <w:vanish/>
        </w:rPr>
      </w:pPr>
      <w:r w:rsidRPr="00307BC5">
        <w:rPr>
          <w:i/>
        </w:rPr>
        <w:fldChar w:fldCharType="begin"/>
      </w:r>
      <w:r w:rsidRPr="00307BC5">
        <w:rPr>
          <w:i/>
        </w:rPr>
        <w:instrText xml:space="preserve"> TC"(</w:instrText>
      </w:r>
      <w:bookmarkStart w:id="2" w:name="DocNumber"/>
      <w:r w:rsidRPr="00307BC5">
        <w:rPr>
          <w:i/>
        </w:rPr>
        <w:instrText>A9-0123/2024</w:instrText>
      </w:r>
      <w:bookmarkEnd w:id="2"/>
      <w:r w:rsidRPr="00307BC5">
        <w:rPr>
          <w:i/>
        </w:rPr>
        <w:instrText xml:space="preserve"> - Pranešėjas: Petri Sarvamaa)"\l3 \n&gt; \* MERGEFORMAT </w:instrText>
      </w:r>
      <w:r w:rsidRPr="00307BC5">
        <w:rPr>
          <w:i/>
        </w:rPr>
        <w:fldChar w:fldCharType="end"/>
      </w:r>
    </w:p>
    <w:p w:rsidR="008F2245" w:rsidRPr="00307BC5" w:rsidRDefault="008F2245" w:rsidP="008F2245">
      <w:pPr>
        <w:rPr>
          <w:vanish/>
        </w:rPr>
      </w:pPr>
      <w:bookmarkStart w:id="3" w:name="Commission"/>
      <w:r w:rsidRPr="00307BC5">
        <w:rPr>
          <w:vanish/>
        </w:rPr>
        <w:t>Biudžeto kontrolės komitetas</w:t>
      </w:r>
      <w:bookmarkEnd w:id="3"/>
    </w:p>
    <w:p w:rsidR="008F2245" w:rsidRPr="00307BC5" w:rsidRDefault="008F2245" w:rsidP="008F2245">
      <w:pPr>
        <w:rPr>
          <w:vanish/>
        </w:rPr>
      </w:pPr>
      <w:bookmarkStart w:id="4" w:name="PE"/>
      <w:r w:rsidRPr="00307BC5">
        <w:rPr>
          <w:vanish/>
        </w:rPr>
        <w:t>PE753.507</w:t>
      </w:r>
      <w:bookmarkEnd w:id="4"/>
    </w:p>
    <w:p w:rsidR="008F2245" w:rsidRPr="00307BC5" w:rsidRDefault="008F2245" w:rsidP="0051093C">
      <w:pPr>
        <w:pStyle w:val="ATHeading3"/>
      </w:pPr>
      <w:bookmarkStart w:id="5" w:name="Sujet"/>
      <w:r w:rsidRPr="00307BC5">
        <w:t xml:space="preserve">1. 2024 m. </w:t>
      </w:r>
      <w:r w:rsidR="00564F5C" w:rsidRPr="00307BC5">
        <w:t>balandžio</w:t>
      </w:r>
      <w:r w:rsidRPr="00307BC5">
        <w:t xml:space="preserve"> 11 d. Europos Parlamento sprendimas dėl BEREC paramos agentūros (BEREC biuro) 2022 finansinių metų biudžeto įvykdymo patvirtinimo</w:t>
      </w:r>
      <w:bookmarkEnd w:id="5"/>
      <w:r w:rsidRPr="00307BC5">
        <w:t xml:space="preserve"> </w:t>
      </w:r>
      <w:bookmarkStart w:id="6" w:name="References"/>
      <w:r w:rsidRPr="00307BC5">
        <w:t>(2023/2141(DEC))</w:t>
      </w:r>
      <w:bookmarkEnd w:id="6"/>
    </w:p>
    <w:p w:rsidR="00F22F3E" w:rsidRPr="00307BC5" w:rsidRDefault="00F22F3E" w:rsidP="00F22F3E">
      <w:pPr>
        <w:pStyle w:val="EPComma"/>
      </w:pPr>
      <w:bookmarkStart w:id="7" w:name="TextBodyBegin"/>
      <w:bookmarkEnd w:id="7"/>
      <w:r w:rsidRPr="00307BC5">
        <w:rPr>
          <w:i/>
        </w:rPr>
        <w:t>Europos Parlamentas</w:t>
      </w:r>
      <w:r w:rsidRPr="00307BC5">
        <w:t>,</w:t>
      </w:r>
    </w:p>
    <w:p w:rsidR="00F22F3E" w:rsidRPr="00307BC5" w:rsidRDefault="00F22F3E" w:rsidP="00F22F3E">
      <w:pPr>
        <w:pStyle w:val="NormalHanging12a"/>
      </w:pPr>
      <w:r w:rsidRPr="00307BC5">
        <w:t>–</w:t>
      </w:r>
      <w:r w:rsidRPr="00307BC5">
        <w:tab/>
        <w:t>atsižvelgdamas į BEREC paramos agentūros (BEREC biuro) 2022 finansinių metų galutines metines ataskaitas,</w:t>
      </w:r>
    </w:p>
    <w:p w:rsidR="00F22F3E" w:rsidRPr="00307BC5" w:rsidRDefault="00F22F3E" w:rsidP="00F22F3E">
      <w:pPr>
        <w:pStyle w:val="NormalHanging12a"/>
      </w:pPr>
      <w:r w:rsidRPr="00307BC5">
        <w:t>–</w:t>
      </w:r>
      <w:r w:rsidRPr="00307BC5">
        <w:tab/>
        <w:t>atsižvelgdamas į Audito Rūmų 2022 finansinių metų metinę ataskaitą dėl ES agentūrų kartu su agentūrų atsakymais</w:t>
      </w:r>
      <w:r w:rsidRPr="00307BC5">
        <w:rPr>
          <w:rStyle w:val="FootnoteReference"/>
        </w:rPr>
        <w:footnoteReference w:id="1"/>
      </w:r>
      <w:r w:rsidRPr="00307BC5">
        <w:t>,</w:t>
      </w:r>
    </w:p>
    <w:p w:rsidR="00F22F3E" w:rsidRPr="00307BC5" w:rsidRDefault="00F22F3E" w:rsidP="00F22F3E">
      <w:pPr>
        <w:pStyle w:val="NormalHanging12a"/>
      </w:pPr>
      <w:r w:rsidRPr="00307BC5">
        <w:t>–</w:t>
      </w:r>
      <w:r w:rsidRPr="00307BC5">
        <w:tab/>
        <w:t>atsižvelgdamas į Audito Rūmų pagal Sutarties dėl Eur</w:t>
      </w:r>
      <w:bookmarkStart w:id="8" w:name="_GoBack"/>
      <w:bookmarkEnd w:id="8"/>
      <w:r w:rsidRPr="00307BC5">
        <w:t>opos Sąjungos veikimo 287 straipsnį pateiktą 2022 finansinių metų sąskaitų patikimumo ir pagal jas atliktų operacijų teisėtumo ir tvarkingumo patikinimo pareiškimą</w:t>
      </w:r>
      <w:r w:rsidRPr="00307BC5">
        <w:rPr>
          <w:rStyle w:val="FootnoteReference"/>
        </w:rPr>
        <w:footnoteReference w:id="2"/>
      </w:r>
      <w:r w:rsidRPr="00307BC5">
        <w:t>,</w:t>
      </w:r>
    </w:p>
    <w:p w:rsidR="00F22F3E" w:rsidRPr="00307BC5" w:rsidRDefault="00F22F3E" w:rsidP="00F22F3E">
      <w:pPr>
        <w:pStyle w:val="NormalHanging12a"/>
      </w:pPr>
      <w:r w:rsidRPr="00307BC5">
        <w:t>–</w:t>
      </w:r>
      <w:r w:rsidRPr="00307BC5">
        <w:tab/>
        <w:t xml:space="preserve">atsižvelgdamas į </w:t>
      </w:r>
      <w:r w:rsidR="00DA1319" w:rsidRPr="00307BC5">
        <w:t xml:space="preserve">2024 m. vasario 22 d. </w:t>
      </w:r>
      <w:r w:rsidRPr="00307BC5">
        <w:t>Tarybos rekomendaciją dėl patvirtinimo, kad Agentūra įvykdė 2022 finansinių metų biudžetą (</w:t>
      </w:r>
      <w:r w:rsidR="00951832" w:rsidRPr="00307BC5">
        <w:t>06180</w:t>
      </w:r>
      <w:r w:rsidRPr="00307BC5">
        <w:t>/2024 – C9</w:t>
      </w:r>
      <w:r w:rsidRPr="00307BC5">
        <w:noBreakHyphen/>
      </w:r>
      <w:r w:rsidR="00951832" w:rsidRPr="00307BC5">
        <w:t>0079</w:t>
      </w:r>
      <w:r w:rsidRPr="00307BC5">
        <w:t>/2024),</w:t>
      </w:r>
    </w:p>
    <w:p w:rsidR="00F22F3E" w:rsidRPr="00307BC5" w:rsidRDefault="00F22F3E" w:rsidP="00F22F3E">
      <w:pPr>
        <w:pStyle w:val="NormalHanging12a"/>
      </w:pPr>
      <w:r w:rsidRPr="00307BC5">
        <w:t>–</w:t>
      </w:r>
      <w:r w:rsidRPr="00307BC5">
        <w:tab/>
        <w:t>atsižvelgdamas į Sutarties dėl Europos Sąjungos veikimo 319 straipsnį,</w:t>
      </w:r>
    </w:p>
    <w:p w:rsidR="00F22F3E" w:rsidRPr="00307BC5" w:rsidRDefault="00F22F3E" w:rsidP="00F22F3E">
      <w:pPr>
        <w:pStyle w:val="NormalHanging12a"/>
      </w:pPr>
      <w:r w:rsidRPr="00307BC5">
        <w:t>–</w:t>
      </w:r>
      <w:r w:rsidRPr="00307BC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307BC5">
        <w:rPr>
          <w:rStyle w:val="FootnoteReference"/>
        </w:rPr>
        <w:footnoteReference w:id="3"/>
      </w:r>
      <w:r w:rsidRPr="00307BC5">
        <w:t>, ypač į jo 70 straipsnį,</w:t>
      </w:r>
    </w:p>
    <w:p w:rsidR="00F22F3E" w:rsidRPr="00307BC5" w:rsidRDefault="00F22F3E" w:rsidP="00F22F3E">
      <w:pPr>
        <w:pStyle w:val="NormalHanging12a"/>
      </w:pPr>
      <w:r w:rsidRPr="00307BC5">
        <w:t>–</w:t>
      </w:r>
      <w:r w:rsidRPr="00307BC5">
        <w:tab/>
        <w:t xml:space="preserve">atsižvelgdamas į 2018 m. gruodžio 11 d. Europos Parlamento ir Tarybos reglamentą </w:t>
      </w:r>
      <w:r w:rsidRPr="00307BC5">
        <w:lastRenderedPageBreak/>
        <w:t>(ES) 2018/1971, kuriuo įsteigiama Europos elektroninių ryšių reguliuotojų institucija (BEREC) ir BEREC paramos agentūra (BEREC biuras), iš dalies keičiamas Reglamentas (ES) 2015/2120 ir panaikinamas Reglamentas (EB) Nr. 1211/2009</w:t>
      </w:r>
      <w:r w:rsidRPr="00307BC5">
        <w:rPr>
          <w:rStyle w:val="FootnoteReference"/>
        </w:rPr>
        <w:footnoteReference w:id="4"/>
      </w:r>
      <w:r w:rsidRPr="00307BC5">
        <w:t>, ypač į jo 28 straipsnį,</w:t>
      </w:r>
    </w:p>
    <w:p w:rsidR="00F22F3E" w:rsidRPr="00307BC5" w:rsidRDefault="00F22F3E" w:rsidP="00F22F3E">
      <w:pPr>
        <w:pStyle w:val="NormalHanging12a"/>
      </w:pPr>
      <w:r w:rsidRPr="00307BC5">
        <w:t>–</w:t>
      </w:r>
      <w:r w:rsidRPr="00307BC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307BC5">
        <w:rPr>
          <w:rStyle w:val="FootnoteReference"/>
        </w:rPr>
        <w:footnoteReference w:id="5"/>
      </w:r>
      <w:r w:rsidRPr="00307BC5">
        <w:t>, ypač į jo 105 straipsnį,</w:t>
      </w:r>
    </w:p>
    <w:p w:rsidR="00F22F3E" w:rsidRPr="00307BC5" w:rsidRDefault="00F22F3E" w:rsidP="00F22F3E">
      <w:pPr>
        <w:pStyle w:val="NormalHanging12a"/>
      </w:pPr>
      <w:r w:rsidRPr="00307BC5">
        <w:t>–</w:t>
      </w:r>
      <w:r w:rsidRPr="00307BC5">
        <w:tab/>
        <w:t>atsižvelgdamas į Darbo tvarkos taisyklių 100 straipsnį ir V priedą,</w:t>
      </w:r>
    </w:p>
    <w:p w:rsidR="00F22F3E" w:rsidRPr="00307BC5" w:rsidRDefault="00F22F3E" w:rsidP="00F22F3E">
      <w:pPr>
        <w:pStyle w:val="NormalHanging12a"/>
      </w:pPr>
      <w:r w:rsidRPr="00307BC5">
        <w:t>–</w:t>
      </w:r>
      <w:r w:rsidRPr="00307BC5">
        <w:tab/>
        <w:t>atsižvelgdamas į Biudžeto kontrolės komiteto pranešimą (A9</w:t>
      </w:r>
      <w:r w:rsidRPr="00307BC5">
        <w:noBreakHyphen/>
        <w:t>0123/2024),</w:t>
      </w:r>
    </w:p>
    <w:p w:rsidR="00F22F3E" w:rsidRPr="00307BC5" w:rsidRDefault="00F22F3E" w:rsidP="00F22F3E">
      <w:pPr>
        <w:pStyle w:val="NormalHanging12a"/>
      </w:pPr>
      <w:r w:rsidRPr="00307BC5">
        <w:t>1.</w:t>
      </w:r>
      <w:r w:rsidRPr="00307BC5">
        <w:tab/>
        <w:t>patvirtina BEREC paramos agentūros (BEREC biuro) direktoriui, kad Agentūros 2022 finansinių metų biudžetas įvykdytas;</w:t>
      </w:r>
    </w:p>
    <w:p w:rsidR="00F22F3E" w:rsidRPr="00307BC5" w:rsidRDefault="00F22F3E" w:rsidP="00F22F3E">
      <w:pPr>
        <w:pStyle w:val="NormalHanging12a"/>
      </w:pPr>
      <w:r w:rsidRPr="00307BC5">
        <w:t>2.</w:t>
      </w:r>
      <w:r w:rsidRPr="00307BC5">
        <w:tab/>
        <w:t>išdėsto savo pastabas toliau pateikiamoje rezoliucijoje;</w:t>
      </w:r>
    </w:p>
    <w:p w:rsidR="00F22F3E" w:rsidRPr="00307BC5" w:rsidRDefault="00F22F3E" w:rsidP="00F22F3E">
      <w:pPr>
        <w:pStyle w:val="NormalHanging12a"/>
      </w:pPr>
      <w:r w:rsidRPr="00307BC5">
        <w:t>3.</w:t>
      </w:r>
      <w:r w:rsidRPr="00307BC5">
        <w:tab/>
        <w:t xml:space="preserve">paveda Pirmininkei perduoti šį sprendimą ir rezoliuciją, kuri yra neatskiriama jo dalis, BEREC paramos agentūros (BEREC biuro) direktoriui, Tarybai, Komisijai ir Audito Rūmams ir pasirūpinti, kad jie būtų paskelbti </w:t>
      </w:r>
      <w:r w:rsidRPr="00307BC5">
        <w:rPr>
          <w:i/>
        </w:rPr>
        <w:t>Europos Sąjungos oficialiajame leidinyje</w:t>
      </w:r>
      <w:r w:rsidRPr="00307BC5">
        <w:t xml:space="preserve"> (L serijoje).</w:t>
      </w:r>
    </w:p>
    <w:p w:rsidR="00F22F3E" w:rsidRPr="00307BC5" w:rsidRDefault="00F22F3E" w:rsidP="00F22F3E"/>
    <w:p w:rsidR="00F22F3E" w:rsidRPr="00307BC5" w:rsidRDefault="00F22F3E" w:rsidP="00F22F3E">
      <w:pPr>
        <w:pStyle w:val="PageHeading"/>
        <w:sectPr w:rsidR="00F22F3E" w:rsidRPr="00307BC5" w:rsidSect="00F43F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22F3E" w:rsidRPr="00307BC5" w:rsidRDefault="00F22F3E" w:rsidP="0051093C">
      <w:pPr>
        <w:pStyle w:val="ATHeading3"/>
      </w:pPr>
      <w:bookmarkStart w:id="9" w:name="_Toc161994106"/>
      <w:r w:rsidRPr="00307BC5">
        <w:lastRenderedPageBreak/>
        <w:t xml:space="preserve">2. </w:t>
      </w:r>
      <w:r w:rsidR="006B3B18" w:rsidRPr="00307BC5">
        <w:t xml:space="preserve">2024 m. balandžio 11 d. Europos Parlamento sprendimas </w:t>
      </w:r>
      <w:bookmarkEnd w:id="9"/>
      <w:r w:rsidRPr="00307BC5">
        <w:t>dėl BEREC paramos agentūros (BEREC biuro) 2022 finansinių metų sąskaitų uždarymo</w:t>
      </w:r>
      <w:r w:rsidR="006B3B18" w:rsidRPr="00307BC5">
        <w:t xml:space="preserve"> </w:t>
      </w:r>
      <w:r w:rsidRPr="00307BC5">
        <w:t>(2023/2141(DEC))</w:t>
      </w:r>
    </w:p>
    <w:p w:rsidR="00F22F3E" w:rsidRPr="00307BC5" w:rsidRDefault="00F22F3E" w:rsidP="00F22F3E">
      <w:pPr>
        <w:pStyle w:val="EPComma"/>
      </w:pPr>
      <w:r w:rsidRPr="00307BC5">
        <w:rPr>
          <w:i/>
        </w:rPr>
        <w:t>Europos Parlamentas</w:t>
      </w:r>
      <w:r w:rsidRPr="00307BC5">
        <w:t>,</w:t>
      </w:r>
    </w:p>
    <w:p w:rsidR="00F22F3E" w:rsidRPr="00307BC5" w:rsidRDefault="00F22F3E" w:rsidP="00F22F3E">
      <w:pPr>
        <w:pStyle w:val="NormalHanging12a"/>
      </w:pPr>
      <w:r w:rsidRPr="00307BC5">
        <w:t>–</w:t>
      </w:r>
      <w:r w:rsidRPr="00307BC5">
        <w:tab/>
        <w:t>atsižvelgdamas į BEREC paramos agentūros (BEREC biuro) 2022 finansinių metų galutines metines ataskaitas,</w:t>
      </w:r>
    </w:p>
    <w:p w:rsidR="00F22F3E" w:rsidRPr="00307BC5" w:rsidRDefault="00F22F3E" w:rsidP="00F22F3E">
      <w:pPr>
        <w:pStyle w:val="NormalHanging12a"/>
      </w:pPr>
      <w:r w:rsidRPr="00307BC5">
        <w:t>–</w:t>
      </w:r>
      <w:r w:rsidRPr="00307BC5">
        <w:tab/>
        <w:t>atsižvelgdamas į Audito Rūmų 2022 finansinių metų metinę ataskaitą dėl ES agentūrų kartu su agentūrų atsakymais</w:t>
      </w:r>
      <w:r w:rsidRPr="00307BC5">
        <w:rPr>
          <w:rStyle w:val="FootnoteReference"/>
        </w:rPr>
        <w:footnoteReference w:id="6"/>
      </w:r>
      <w:r w:rsidRPr="00307BC5">
        <w:t>,</w:t>
      </w:r>
    </w:p>
    <w:p w:rsidR="00F22F3E" w:rsidRPr="00307BC5" w:rsidRDefault="00F22F3E" w:rsidP="00F22F3E">
      <w:pPr>
        <w:pStyle w:val="NormalHanging12a"/>
      </w:pPr>
      <w:r w:rsidRPr="00307BC5">
        <w:t>–</w:t>
      </w:r>
      <w:r w:rsidRPr="00307BC5">
        <w:tab/>
        <w:t>atsižvelgdamas į Audito Rūmų pagal Sutarties dėl Europos Sąjungos veikimo 287 straipsnį pateiktą 2022 finansinių metų sąskaitų patikimumo ir pagal jas atliktų operacijų teisėtumo ir tvarkingumo patikinimo pareiškimą</w:t>
      </w:r>
      <w:r w:rsidRPr="00307BC5">
        <w:rPr>
          <w:rStyle w:val="FootnoteReference"/>
        </w:rPr>
        <w:footnoteReference w:id="7"/>
      </w:r>
      <w:r w:rsidRPr="00307BC5">
        <w:t>,</w:t>
      </w:r>
    </w:p>
    <w:p w:rsidR="00F22F3E" w:rsidRPr="00307BC5" w:rsidRDefault="00F22F3E" w:rsidP="00F22F3E">
      <w:pPr>
        <w:pStyle w:val="NormalHanging12a"/>
      </w:pPr>
      <w:r w:rsidRPr="00307BC5">
        <w:t>–</w:t>
      </w:r>
      <w:r w:rsidRPr="00307BC5">
        <w:tab/>
        <w:t xml:space="preserve">atsižvelgdamas į </w:t>
      </w:r>
      <w:r w:rsidR="00DA1319" w:rsidRPr="00307BC5">
        <w:t xml:space="preserve">2024 m. vasario 22 d. </w:t>
      </w:r>
      <w:r w:rsidRPr="00307BC5">
        <w:t>Tarybos rekomendaciją dėl patvirtinimo, kad Agentūra įvykdė 2022 finansinių metų biudžetą (</w:t>
      </w:r>
      <w:r w:rsidR="00951832" w:rsidRPr="00307BC5">
        <w:t>06180</w:t>
      </w:r>
      <w:r w:rsidRPr="00307BC5">
        <w:t>/2024 – C9</w:t>
      </w:r>
      <w:r w:rsidRPr="00307BC5">
        <w:noBreakHyphen/>
      </w:r>
      <w:r w:rsidR="00951832" w:rsidRPr="00307BC5">
        <w:t>0079</w:t>
      </w:r>
      <w:r w:rsidRPr="00307BC5">
        <w:t>/2024),</w:t>
      </w:r>
    </w:p>
    <w:p w:rsidR="00F22F3E" w:rsidRPr="00307BC5" w:rsidRDefault="00F22F3E" w:rsidP="00F22F3E">
      <w:pPr>
        <w:pStyle w:val="NormalHanging12a"/>
      </w:pPr>
      <w:r w:rsidRPr="00307BC5">
        <w:t>–</w:t>
      </w:r>
      <w:r w:rsidRPr="00307BC5">
        <w:tab/>
        <w:t>atsižvelgdamas į Sutarties dėl Europos Sąjungos veikimo 319 straipsnį,</w:t>
      </w:r>
    </w:p>
    <w:p w:rsidR="00F22F3E" w:rsidRPr="00307BC5" w:rsidRDefault="00F22F3E" w:rsidP="00F22F3E">
      <w:pPr>
        <w:pStyle w:val="NormalHanging12a"/>
      </w:pPr>
      <w:r w:rsidRPr="00307BC5">
        <w:t>–</w:t>
      </w:r>
      <w:r w:rsidRPr="00307BC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307BC5">
        <w:rPr>
          <w:rStyle w:val="FootnoteReference"/>
        </w:rPr>
        <w:footnoteReference w:id="8"/>
      </w:r>
      <w:r w:rsidRPr="00307BC5">
        <w:t>, ypač į jo 70 straipsnį,</w:t>
      </w:r>
    </w:p>
    <w:p w:rsidR="00F22F3E" w:rsidRPr="00307BC5" w:rsidRDefault="00F22F3E" w:rsidP="00F22F3E">
      <w:pPr>
        <w:pStyle w:val="NormalHanging12a"/>
      </w:pPr>
      <w:r w:rsidRPr="00307BC5">
        <w:t>–</w:t>
      </w:r>
      <w:r w:rsidRPr="00307BC5">
        <w:tab/>
        <w:t>atsižvelgdamas į 2018 m. gruodžio 11 d. Europos Parlamento ir Tarybos reglamentą (ES) 2018/1971, kuriuo įsteigiama Europos elektroninių ryšių reguliuotojų institucija (BEREC) ir BEREC paramos agentūra (BEREC biuras), iš dalies keičiamas Reglamentas (ES) 2015/2120 ir panaikinamas Reglamentas (EB) Nr. 1211/2009</w:t>
      </w:r>
      <w:r w:rsidRPr="00307BC5">
        <w:rPr>
          <w:rStyle w:val="FootnoteReference"/>
        </w:rPr>
        <w:footnoteReference w:id="9"/>
      </w:r>
      <w:r w:rsidRPr="00307BC5">
        <w:t>, ypač į jo 28 straipsnį,</w:t>
      </w:r>
    </w:p>
    <w:p w:rsidR="00F22F3E" w:rsidRPr="00307BC5" w:rsidRDefault="00F22F3E" w:rsidP="00F22F3E">
      <w:pPr>
        <w:pStyle w:val="NormalHanging12a"/>
      </w:pPr>
      <w:r w:rsidRPr="00307BC5">
        <w:t>–</w:t>
      </w:r>
      <w:r w:rsidRPr="00307BC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307BC5">
        <w:rPr>
          <w:rStyle w:val="FootnoteReference"/>
        </w:rPr>
        <w:footnoteReference w:id="10"/>
      </w:r>
      <w:r w:rsidRPr="00307BC5">
        <w:t>, ypač į jo 105 straipsnį,</w:t>
      </w:r>
    </w:p>
    <w:p w:rsidR="00F22F3E" w:rsidRPr="00307BC5" w:rsidRDefault="00F22F3E" w:rsidP="00F22F3E">
      <w:pPr>
        <w:pStyle w:val="NormalHanging12a"/>
      </w:pPr>
      <w:r w:rsidRPr="00307BC5">
        <w:t>–</w:t>
      </w:r>
      <w:r w:rsidRPr="00307BC5">
        <w:tab/>
        <w:t>atsižvelgdamas į Darbo tvarkos taisyklių 100 straipsnį ir V priedą,</w:t>
      </w:r>
    </w:p>
    <w:p w:rsidR="00F22F3E" w:rsidRPr="00307BC5" w:rsidRDefault="00F22F3E" w:rsidP="00F22F3E">
      <w:pPr>
        <w:pStyle w:val="NormalHanging12a"/>
      </w:pPr>
      <w:r w:rsidRPr="00307BC5">
        <w:t>–</w:t>
      </w:r>
      <w:r w:rsidRPr="00307BC5">
        <w:tab/>
        <w:t>atsižvelgdamas į Biudžeto kontrolės komiteto pranešimą (A9</w:t>
      </w:r>
      <w:r w:rsidRPr="00307BC5">
        <w:noBreakHyphen/>
        <w:t>0123/2024),</w:t>
      </w:r>
    </w:p>
    <w:p w:rsidR="00F22F3E" w:rsidRPr="00307BC5" w:rsidRDefault="00F22F3E" w:rsidP="00F22F3E">
      <w:pPr>
        <w:pStyle w:val="NormalHanging12a"/>
      </w:pPr>
      <w:r w:rsidRPr="00307BC5">
        <w:t>1.</w:t>
      </w:r>
      <w:r w:rsidRPr="00307BC5">
        <w:tab/>
        <w:t>pritaria BEREC paramos agentūros (BEREC biuro) 2022 finansinių metų sąskaitų uždarymui;</w:t>
      </w:r>
    </w:p>
    <w:p w:rsidR="00F22F3E" w:rsidRPr="00307BC5" w:rsidRDefault="00F22F3E" w:rsidP="00F22F3E">
      <w:pPr>
        <w:pStyle w:val="NormalHanging12a"/>
      </w:pPr>
      <w:r w:rsidRPr="00307BC5">
        <w:t>2.</w:t>
      </w:r>
      <w:r w:rsidRPr="00307BC5">
        <w:tab/>
        <w:t xml:space="preserve">paveda Pirmininkei perduoti šį sprendimą BEREC paramos agentūros (BEREC biuro) </w:t>
      </w:r>
      <w:r w:rsidRPr="00307BC5">
        <w:lastRenderedPageBreak/>
        <w:t xml:space="preserve">direktoriui, Tarybai, Komisijai ir Audito Rūmams ir pasirūpinti, kad jis būtų paskelbtas </w:t>
      </w:r>
      <w:r w:rsidRPr="00307BC5">
        <w:rPr>
          <w:i/>
        </w:rPr>
        <w:t>Europos Sąjungos oficialiajame leidinyje</w:t>
      </w:r>
      <w:r w:rsidRPr="00307BC5">
        <w:t xml:space="preserve"> (L serijoje).</w:t>
      </w:r>
    </w:p>
    <w:p w:rsidR="00F22F3E" w:rsidRPr="00307BC5" w:rsidRDefault="00F22F3E" w:rsidP="00F22F3E"/>
    <w:p w:rsidR="00F22F3E" w:rsidRPr="00307BC5" w:rsidRDefault="00F22F3E" w:rsidP="00F22F3E">
      <w:pPr>
        <w:pStyle w:val="PageHeading"/>
        <w:sectPr w:rsidR="00F22F3E" w:rsidRPr="00307BC5" w:rsidSect="00F43F5D">
          <w:footnotePr>
            <w:numRestart w:val="eachPage"/>
          </w:footnotePr>
          <w:endnotePr>
            <w:numFmt w:val="decimal"/>
          </w:endnotePr>
          <w:pgSz w:w="11906" w:h="16838" w:code="9"/>
          <w:pgMar w:top="1134" w:right="1418" w:bottom="1418" w:left="1418" w:header="567" w:footer="567" w:gutter="0"/>
          <w:cols w:space="720"/>
          <w:noEndnote/>
          <w:docGrid w:linePitch="326"/>
        </w:sectPr>
      </w:pPr>
    </w:p>
    <w:p w:rsidR="00F22F3E" w:rsidRPr="00307BC5" w:rsidRDefault="00F22F3E" w:rsidP="0051093C">
      <w:pPr>
        <w:pStyle w:val="ATHeading3"/>
      </w:pPr>
      <w:bookmarkStart w:id="10" w:name="_Toc161994107"/>
      <w:r w:rsidRPr="00307BC5">
        <w:lastRenderedPageBreak/>
        <w:t xml:space="preserve">3. </w:t>
      </w:r>
      <w:r w:rsidR="006250D8" w:rsidRPr="00307BC5">
        <w:t xml:space="preserve">2024 m. balandžio 11 d. Europos Parlamento </w:t>
      </w:r>
      <w:r w:rsidR="00F9176E" w:rsidRPr="00307BC5">
        <w:t xml:space="preserve">rezoliucija </w:t>
      </w:r>
      <w:bookmarkEnd w:id="10"/>
      <w:r w:rsidRPr="00307BC5">
        <w:t>su pastabomis, sudarančiomis neatskiriamą sprendimo dėl BEREC paramos agentūros (BEREC biuro) 2022 finansinių metų biudžeto įvykdymo patvirtinimo dalį</w:t>
      </w:r>
      <w:r w:rsidR="006250D8" w:rsidRPr="00307BC5">
        <w:t xml:space="preserve"> </w:t>
      </w:r>
      <w:r w:rsidRPr="00307BC5">
        <w:t>(2023/2141(DEC))</w:t>
      </w:r>
    </w:p>
    <w:p w:rsidR="00F22F3E" w:rsidRPr="00307BC5" w:rsidRDefault="00F22F3E" w:rsidP="00F22F3E">
      <w:pPr>
        <w:pStyle w:val="EPComma"/>
      </w:pPr>
      <w:r w:rsidRPr="00307BC5">
        <w:rPr>
          <w:i/>
        </w:rPr>
        <w:t>Europos Parlamentas</w:t>
      </w:r>
      <w:r w:rsidRPr="00307BC5">
        <w:t>,</w:t>
      </w:r>
    </w:p>
    <w:p w:rsidR="00F22F3E" w:rsidRPr="00307BC5" w:rsidRDefault="00F22F3E" w:rsidP="00F22F3E">
      <w:pPr>
        <w:pStyle w:val="NormalHanging12a"/>
      </w:pPr>
      <w:r w:rsidRPr="00307BC5">
        <w:t>–</w:t>
      </w:r>
      <w:r w:rsidRPr="00307BC5">
        <w:tab/>
        <w:t>atsižvelgdamas į savo sprendimą dėl BEREC paramos agentūros (BEREC biuro) 2022 finansinių metų biudžeto įvykdymo patvirtinimo,</w:t>
      </w:r>
    </w:p>
    <w:p w:rsidR="00F22F3E" w:rsidRPr="00307BC5" w:rsidRDefault="00F22F3E" w:rsidP="00F22F3E">
      <w:pPr>
        <w:pStyle w:val="NormalHanging12a"/>
      </w:pPr>
      <w:r w:rsidRPr="00307BC5">
        <w:t>–</w:t>
      </w:r>
      <w:r w:rsidRPr="00307BC5">
        <w:tab/>
        <w:t>atsižvelgdamas į Darbo tvarkos taisyklių 100 straipsnį ir V priedą,</w:t>
      </w:r>
    </w:p>
    <w:p w:rsidR="00F22F3E" w:rsidRPr="00307BC5" w:rsidRDefault="00F22F3E" w:rsidP="00F22F3E">
      <w:pPr>
        <w:pStyle w:val="NormalHanging12a"/>
      </w:pPr>
      <w:r w:rsidRPr="00307BC5">
        <w:t>–</w:t>
      </w:r>
      <w:r w:rsidRPr="00307BC5">
        <w:tab/>
        <w:t>atsižvelgdamas į Biudžeto kontrolės komiteto pranešimą (A9</w:t>
      </w:r>
      <w:r w:rsidRPr="00307BC5">
        <w:noBreakHyphen/>
        <w:t>0123/2024),</w:t>
      </w:r>
    </w:p>
    <w:p w:rsidR="00F22F3E" w:rsidRPr="00307BC5" w:rsidRDefault="00F22F3E" w:rsidP="00F22F3E">
      <w:pPr>
        <w:pStyle w:val="NormalHanging12a"/>
        <w:rPr>
          <w:szCs w:val="24"/>
        </w:rPr>
      </w:pPr>
      <w:r w:rsidRPr="00307BC5">
        <w:t>A.</w:t>
      </w:r>
      <w:r w:rsidRPr="00307BC5">
        <w:tab/>
        <w:t>kadangi, remiantis Agentūros pajamų ir išlaidų suvestine</w:t>
      </w:r>
      <w:r w:rsidRPr="00307BC5">
        <w:rPr>
          <w:rFonts w:eastAsiaTheme="minorHAnsi"/>
          <w:szCs w:val="24"/>
          <w:vertAlign w:val="superscript"/>
          <w:lang w:eastAsia="en-US"/>
        </w:rPr>
        <w:footnoteReference w:id="11"/>
      </w:r>
      <w:r w:rsidRPr="00307BC5">
        <w:t>, galutinis priimtas jos 2022 finansinių metų biudžetas buvo 7 428 456 EUR, t. y. 1,19 proc. didesnis nei 2021 m.; kadangi Agentūros biudžetą sudaro daugiausia iš Sąjungos biudžeto gaunamos lėšos;</w:t>
      </w:r>
    </w:p>
    <w:p w:rsidR="00F22F3E" w:rsidRPr="00307BC5" w:rsidRDefault="00F22F3E" w:rsidP="00F22F3E">
      <w:pPr>
        <w:pStyle w:val="NormalHanging12a"/>
        <w:rPr>
          <w:szCs w:val="24"/>
        </w:rPr>
      </w:pPr>
      <w:r w:rsidRPr="00307BC5">
        <w:t>B.</w:t>
      </w:r>
      <w:r w:rsidRPr="00307BC5">
        <w:tab/>
        <w:t>kadangi Audito Rūmai savo ataskaitoje dėl Agentūros 2022 finansinių metų metinių finansinių ataskaitų (toliau – Audito Rūmų ataskaita) pažymėjo, kad gavo pagrįstą patikinimą, jog Agentūros metinės finansinės ataskaitos yra patikimos ir jose nurodytos operacijos yra teisėtos ir tvarkingos;</w:t>
      </w:r>
    </w:p>
    <w:p w:rsidR="00F22F3E" w:rsidRPr="00307BC5" w:rsidRDefault="00F22F3E" w:rsidP="00F22F3E">
      <w:pPr>
        <w:pStyle w:val="NormalHanging12a"/>
        <w:rPr>
          <w:szCs w:val="24"/>
        </w:rPr>
      </w:pPr>
      <w:r w:rsidRPr="00307BC5">
        <w:t>C.</w:t>
      </w:r>
      <w:r w:rsidRPr="00307BC5">
        <w:tab/>
        <w:t>kadangi, kalbant apie Agentūros viešųjų pirkimų sektorių, 2022 m. nebuvo pranešta apie jokias problemas, dėl kurių reikėtų imtis taisomųjų veiksmų, taip pat nebuvo imtasi ir nėra likusių neįgyvendintų taisomųjų veiksmų, susijusių su ankstesnių metų auditais ir vertinimais;</w:t>
      </w:r>
    </w:p>
    <w:p w:rsidR="00F22F3E" w:rsidRPr="00307BC5" w:rsidRDefault="00F22F3E" w:rsidP="00F22F3E">
      <w:pPr>
        <w:pStyle w:val="NormalHanging12a"/>
        <w:rPr>
          <w:szCs w:val="24"/>
        </w:rPr>
      </w:pPr>
      <w:r w:rsidRPr="00307BC5">
        <w:t>D.</w:t>
      </w:r>
      <w:r w:rsidRPr="00307BC5">
        <w:tab/>
        <w:t>kadangi, kalbant apie Agentūros vidaus kontrolės sistemas, 2022 m. nebuvo pranešta apie jokias problemas, dėl kurių reikėjo imtis taisomųjų veiksmų, taip pat nebuvo imtasi ar neįgyvendintų taisomųjų veiksmų, susijusių su ankstesnių metų auditais ir vertinimais;</w:t>
      </w:r>
    </w:p>
    <w:p w:rsidR="00F22F3E" w:rsidRPr="00307BC5" w:rsidRDefault="00F22F3E" w:rsidP="00F22F3E">
      <w:pPr>
        <w:pStyle w:val="NormalHanging12a"/>
        <w:tabs>
          <w:tab w:val="left" w:pos="1718"/>
        </w:tabs>
        <w:rPr>
          <w:b/>
          <w:i/>
          <w:szCs w:val="24"/>
        </w:rPr>
      </w:pPr>
      <w:r w:rsidRPr="00307BC5">
        <w:rPr>
          <w:b/>
          <w:i/>
        </w:rPr>
        <w:t>Biudžeto ir finansų valdymas</w:t>
      </w:r>
    </w:p>
    <w:p w:rsidR="00F22F3E" w:rsidRPr="00307BC5" w:rsidRDefault="00F22F3E" w:rsidP="00F22F3E">
      <w:pPr>
        <w:spacing w:after="240"/>
        <w:ind w:left="567" w:hanging="567"/>
        <w:rPr>
          <w:sz w:val="22"/>
          <w:szCs w:val="22"/>
        </w:rPr>
      </w:pPr>
      <w:r w:rsidRPr="00307BC5">
        <w:t>1.</w:t>
      </w:r>
      <w:r w:rsidRPr="00307BC5">
        <w:tab/>
        <w:t>su pasitenkinimu pažymi, kad 2022 finansiniais metais vykdant biudžeto stebėseną biudžeto įvykdymo lygis siekė tų metų galutinio priimto biudžeto 99,99 proc. įsipareigojimų asignavimų, t. y. buvo 0,02 proc. didesnis, palyginti su 2021 m.; palankiai vertina tai, kad biudžeto įvykdymo lygis viršija 95 proc. ribą, kurią nustatė valdančioji taryba;</w:t>
      </w:r>
      <w:r w:rsidRPr="00307BC5">
        <w:rPr>
          <w:sz w:val="22"/>
        </w:rPr>
        <w:t xml:space="preserve"> </w:t>
      </w:r>
      <w:r w:rsidRPr="00307BC5">
        <w:t>pažymi, kad einamaisiais metais mokėjimų asignavimų panaudojimo lygis buvo 82,78 proc., t. y. buvo 13,44 proc. didesnis palyginti su 2021 m.;</w:t>
      </w:r>
    </w:p>
    <w:p w:rsidR="00F22F3E" w:rsidRPr="00307BC5" w:rsidRDefault="00F22F3E" w:rsidP="00F22F3E">
      <w:pPr>
        <w:pStyle w:val="Normal12Hanging"/>
        <w:rPr>
          <w:b/>
          <w:i/>
          <w:szCs w:val="24"/>
        </w:rPr>
      </w:pPr>
      <w:r w:rsidRPr="00307BC5">
        <w:rPr>
          <w:b/>
          <w:i/>
        </w:rPr>
        <w:t>Veiksmingumas</w:t>
      </w:r>
    </w:p>
    <w:p w:rsidR="00F22F3E" w:rsidRPr="00307BC5" w:rsidRDefault="00F22F3E" w:rsidP="00F22F3E">
      <w:pPr>
        <w:pStyle w:val="NormalHanging12a"/>
      </w:pPr>
      <w:r w:rsidRPr="00307BC5">
        <w:t>2.</w:t>
      </w:r>
      <w:r w:rsidRPr="00307BC5">
        <w:tab/>
        <w:t xml:space="preserve">pažymi, jog Agentūra naudoja pagrindinius veiklos rezultatų rodiklius (PVRR), kad įvertintų pasiektus rezultatus, susijusius su jos tikslais, įskaitant, be kita ko, paramą darbo grupėms, komunikacijos veiklą, centralizuotą finansavimą ir viešuosius pirkimus bei žmogiškųjų išteklių valdymą; pažymi, kad dauguma tikslų buvo pasiekti, tačiau rekomenduoja spręsti klausimus, susijusius su PVRR, kurie vis dar neįgyvendinami arba pažanga siekiant juos įgyvendinant yra lėtesnė, nei tikėtasi (pvz., siekis tobulinti </w:t>
      </w:r>
      <w:r w:rsidRPr="00307BC5">
        <w:lastRenderedPageBreak/>
        <w:t>išlaidų kompensavimo procesą naudojantis pažangiųjų posėdžių vartų (angl. AGM) priemone, pasirašyti sutartį siekiant padėti parengti 2022–2025 m. BEREC IRT strategiją); rekomenduoja Agentūrai reguliariai tikslinti PVRR, kad ji galėtų optimizuoti savo veiklos rezultatus;</w:t>
      </w:r>
    </w:p>
    <w:p w:rsidR="00F22F3E" w:rsidRPr="00307BC5" w:rsidRDefault="00F22F3E" w:rsidP="00F22F3E">
      <w:pPr>
        <w:pStyle w:val="Normal12Hanging"/>
      </w:pPr>
      <w:r w:rsidRPr="00307BC5">
        <w:t>3.</w:t>
      </w:r>
      <w:r w:rsidRPr="00307BC5">
        <w:tab/>
        <w:t>palankiai vertina tai, kad Agentūra toliau teikė aukštos kokybės administracinę ir profesinę paramą BEREC Reguliuotojų valdybai, BEREC ryšių tinklui, viešiems pranešimams, BEREC darbo grupėms, įskaitant ad hoc darbo grupes ir BEREC biuro patariamąją grupę;</w:t>
      </w:r>
    </w:p>
    <w:p w:rsidR="00F22F3E" w:rsidRPr="00307BC5" w:rsidRDefault="00F22F3E" w:rsidP="00F22F3E">
      <w:pPr>
        <w:pStyle w:val="NormalHanging12a"/>
      </w:pPr>
      <w:r w:rsidRPr="00307BC5">
        <w:t>4.</w:t>
      </w:r>
      <w:r w:rsidRPr="00307BC5">
        <w:tab/>
        <w:t>palankiai vertina tai, kad į Agentūrą buvo įtraukta Ukrainos telekomunikacijų reguliavimo institucija NCEC kaip balsavimo teisės neturinti narė;</w:t>
      </w:r>
    </w:p>
    <w:p w:rsidR="00F22F3E" w:rsidRPr="00307BC5" w:rsidRDefault="00F22F3E" w:rsidP="00F22F3E">
      <w:pPr>
        <w:pStyle w:val="Normal12Hanging"/>
        <w:rPr>
          <w:b/>
          <w:i/>
          <w:szCs w:val="24"/>
        </w:rPr>
      </w:pPr>
      <w:r w:rsidRPr="00307BC5">
        <w:rPr>
          <w:b/>
          <w:i/>
        </w:rPr>
        <w:t>Veiksmingumas ir nauda</w:t>
      </w:r>
    </w:p>
    <w:p w:rsidR="00F22F3E" w:rsidRPr="00307BC5" w:rsidRDefault="00F22F3E" w:rsidP="00F22F3E">
      <w:pPr>
        <w:pStyle w:val="Normal12Hanging"/>
        <w:rPr>
          <w:szCs w:val="24"/>
        </w:rPr>
      </w:pPr>
      <w:r w:rsidRPr="00307BC5">
        <w:t>5.</w:t>
      </w:r>
      <w:r w:rsidRPr="00307BC5">
        <w:tab/>
        <w:t>pažymi, kad 2022 m. veiksmai, kuriais siekiama didesnio veiksmingumo, buvo skirti šioms pagrindinėms sritims: kai kurių funkcijų centralizavimas, viešieji pirkimai, didesnis veiksmingumas, pasiektas dažniau naudojant Komisijos IT taikomąsias programas arba diegiant naujas programas, ir naudojant išorės išteklius, siekiant kompensuoti žmogiškųjų išteklių trūkumą arba atlikti techninio ir pagalbinio pobūdžio užduotis;</w:t>
      </w:r>
    </w:p>
    <w:p w:rsidR="00F22F3E" w:rsidRPr="00307BC5" w:rsidRDefault="00F22F3E" w:rsidP="00F22F3E">
      <w:pPr>
        <w:pStyle w:val="Normal12Hanging"/>
        <w:rPr>
          <w:szCs w:val="24"/>
        </w:rPr>
      </w:pPr>
      <w:r w:rsidRPr="00307BC5">
        <w:t>6.</w:t>
      </w:r>
      <w:r w:rsidRPr="00307BC5">
        <w:tab/>
        <w:t>pažymi, kad 2022 m. viešųjų pirkimų srityje Agentūra toliau taikė tarpinstitucines viešųjų pirkimų procedūras ir sujungė septynias tarpinstitucines viešųjų pirkimų procedūras, todėl ataskaitiniu laikotarpiu buvo sudarytos šešios preliminariosios sutartys;</w:t>
      </w:r>
    </w:p>
    <w:p w:rsidR="00F22F3E" w:rsidRPr="00307BC5" w:rsidRDefault="00F22F3E" w:rsidP="00F22F3E">
      <w:pPr>
        <w:pStyle w:val="Normal12Hanging"/>
        <w:rPr>
          <w:szCs w:val="24"/>
        </w:rPr>
      </w:pPr>
      <w:r w:rsidRPr="00307BC5">
        <w:t>7.</w:t>
      </w:r>
      <w:r w:rsidRPr="00307BC5">
        <w:tab/>
        <w:t>palankiai vertina didesnį veiksmingumą, pasiektą dažniau naudojant arba diegiant papildomas Komisijos IT taikomąsias programas; visų pirma, pažymi, kad 2022 m. Agentūra visapusiškai integravo ir aktyviai naudojo visus pagrindinius „Sysper2“ modulius, pvz., tapatybės valdymą, organizacijų valdymą, asmens duomenų valdymą, darbo sąlygas, talentų valdymą ir dokumentų tvarkymą, ir tris modulius iš neprivalomo modulių rinkinio, pvz., lankstaus darbo laiko, nuotolinio darbo ir asmens teisių;</w:t>
      </w:r>
    </w:p>
    <w:p w:rsidR="00F22F3E" w:rsidRPr="00307BC5" w:rsidRDefault="00F22F3E" w:rsidP="00F22F3E">
      <w:pPr>
        <w:pStyle w:val="NormalHanging12a"/>
      </w:pPr>
      <w:r w:rsidRPr="00307BC5">
        <w:t>8.</w:t>
      </w:r>
      <w:r w:rsidRPr="00307BC5">
        <w:tab/>
        <w:t>pažymi, kad nuo įsteigimo Agentūra veikia neturėdama žmogiškųjų išteklių tam tikroms pareigybėms užimti; atkreipia dėmesį į tai, kad Agentūra kompensuoja kai kuriuos pajėgumų apribojimus, kai įmanoma, pirmenybę teikdama naudojimuisi Komisijos ir kitų Sąjungos agentūrų siūlomomis paslaugomis (tai – pagrindinis sprendimas); pažymi, kad šis požiūris apima Komisijos Individualių išmokų administravimo ir mokėjimo biuro (PMO) ir Sąjungos institucijų, įstaigų, organų ir agentūrų kompiuterinių incidentų tyrimo tarnybos (CERT-EU) teikiamas IT ir saugumo paslaugas; palankiai vertina tai, kad Agentūra labai sėkmingai bendradarbiauja su Europos Sąjungos intelektinės nuosavybės tarnyba IT srityje, įskaitant prieglobą, IT plėtrą, veiklos atkūrimą po ekstremalių įvykių, naujo Agentūros interneto svetainės dizaino kūrimą ir kitas IT paslaugas;</w:t>
      </w:r>
    </w:p>
    <w:p w:rsidR="00F22F3E" w:rsidRPr="00307BC5" w:rsidRDefault="00F22F3E" w:rsidP="00F22F3E">
      <w:pPr>
        <w:pStyle w:val="NormalHanging12a"/>
      </w:pPr>
      <w:r w:rsidRPr="00307BC5">
        <w:t>9.</w:t>
      </w:r>
      <w:r w:rsidRPr="00307BC5">
        <w:tab/>
        <w:t xml:space="preserve">primena, kad svarbu didinti Agentūros skaitmeninimą ne tik vidaus operacijų ir valdymo tikslais, bet ir siekiant paspartinti procedūrų skaitmeninimą; pabrėžia, kad Institucija turi ir toliau iniciatyviai veikti šioje srityje, kad bet kokia kaina būtų išvengta skaitmeninio atotrūkio tarp agentūrų; vis dėlto atkreipia dėmesį į tai, kad reikia imtis visų būtinų saugumo priemonių, kad būtų išvengta bet kokio pavojaus tvarkomos </w:t>
      </w:r>
      <w:r w:rsidRPr="00307BC5">
        <w:lastRenderedPageBreak/>
        <w:t>informacijos saugumui internete; primygtinai atkreipia dėmesį į būtinybę sustiprinti kovą su kibernetiniais išpuoliais ar bandymais įsiskverbti, visų pirma iš Rusijos ar Kinijos;</w:t>
      </w:r>
    </w:p>
    <w:p w:rsidR="00F22F3E" w:rsidRPr="00307BC5" w:rsidRDefault="00F22F3E" w:rsidP="00F22F3E">
      <w:pPr>
        <w:pStyle w:val="Normal12Hanging"/>
        <w:rPr>
          <w:b/>
          <w:i/>
          <w:szCs w:val="24"/>
        </w:rPr>
      </w:pPr>
      <w:r w:rsidRPr="00307BC5">
        <w:rPr>
          <w:b/>
          <w:i/>
        </w:rPr>
        <w:t>Personalo politika</w:t>
      </w:r>
    </w:p>
    <w:p w:rsidR="00F22F3E" w:rsidRPr="00307BC5" w:rsidRDefault="00F22F3E" w:rsidP="00F22F3E">
      <w:pPr>
        <w:spacing w:after="240"/>
        <w:ind w:left="567" w:hanging="567"/>
        <w:rPr>
          <w:rFonts w:eastAsia="Calibri"/>
          <w:szCs w:val="24"/>
        </w:rPr>
      </w:pPr>
      <w:r w:rsidRPr="00307BC5">
        <w:t>10.</w:t>
      </w:r>
      <w:r w:rsidRPr="00307BC5">
        <w:tab/>
        <w:t>atkreipia dėmesį į tai, kad 2022 m. gruodžio 31 d. etatų planą sudarė 16 laikinųjų darbuotojų, kurių etatai patvirtinti pagal Sąjungos biudžetą (2021 m. buvo tiek pat patvirtintų etatų); pažymi, kad 2022 m. Agentūroje taip pat dirbo 19 sutartininkų, 8 deleguotieji nacionaliniai ekspertai ir 10 laikinųjų darbuotojų bei konsultantų;</w:t>
      </w:r>
    </w:p>
    <w:p w:rsidR="00F22F3E" w:rsidRPr="00307BC5" w:rsidRDefault="00F22F3E" w:rsidP="00F22F3E">
      <w:pPr>
        <w:pStyle w:val="NormalHanging12a"/>
      </w:pPr>
      <w:r w:rsidRPr="00307BC5">
        <w:t>11.</w:t>
      </w:r>
      <w:r w:rsidRPr="00307BC5">
        <w:tab/>
        <w:t>palankiai vertina Agentūros pastangas suderinti savo veiklą su 2012 m. liepos 19 d. Europos Parlamento, ES Tarybos ir Europos Komisijos bendro pareiškimo dėl decentralizuotų agentūrų principais, įskaitant numatomą minimalų kritinį dydį;</w:t>
      </w:r>
    </w:p>
    <w:p w:rsidR="00F22F3E" w:rsidRPr="00307BC5" w:rsidRDefault="00F22F3E" w:rsidP="00F22F3E">
      <w:pPr>
        <w:pStyle w:val="NormalHanging12a"/>
      </w:pPr>
      <w:r w:rsidRPr="00307BC5">
        <w:t>12.</w:t>
      </w:r>
      <w:r w:rsidRPr="00307BC5">
        <w:tab/>
        <w:t>pažymi, kad pagrindinis iššūkis personalo srities politikoje buvo didelė darbuotojų kaita, kuri 2022 m. padidėjo iki 16,3 proc., palyginti su 4,6 proc. 2021 m. ir 5,4 proc. 2020 m.; atkreipia dėmesį į tai, kad smarkiai padidėjusi darbuotojų kaita ypač paveikė Administracijos ir finansų skyrių; pažymi, kad siekdama užpildyti laisvas darbo vietas ir užtikrinti, kad darbuotojai turėtų naujų kompetencijų, reikalingų Agentūrai ir jos administracijai 2022 m., o Agentūra pradėjo atrankos procedūras siekdama užpildyti penkias laisvas darbo vietas (vienas laikinasis darbuotojas ir keturi sutartininkai), kurioms ji neturėjo tinkamų rezervo sąrašų, o likusioms trims laisvoms pareigybėms Agentūra užtikrino greitą įdarbinimą iš savo aktyvių rezervo sąrašų; vis dėlto prašo Agentūros išanalizuoti didelės darbuotojų kaitos priežastis ir imtis būtinų veiksmų, kad ateityje jos būtų išvengta, ir pateikti ataskaitą biudžeto įvykdymą tvirtinančiai institucijai;</w:t>
      </w:r>
    </w:p>
    <w:p w:rsidR="00F22F3E" w:rsidRPr="00307BC5" w:rsidRDefault="00F22F3E" w:rsidP="00F22F3E">
      <w:pPr>
        <w:spacing w:after="240"/>
        <w:ind w:left="567" w:hanging="567"/>
        <w:rPr>
          <w:rFonts w:eastAsia="Calibri"/>
          <w:szCs w:val="24"/>
        </w:rPr>
      </w:pPr>
      <w:r w:rsidRPr="00307BC5">
        <w:t>13.</w:t>
      </w:r>
      <w:r w:rsidRPr="00307BC5">
        <w:tab/>
        <w:t>palankiai vertina Agentūros iniciatyvas, kuriomis siekiama gerinti darbuotojų profesinio ir asmeninio gyvenimo sąlygas, įskaitant teisines konsultacijas privačiais klausimais, finansinę paramą vaikų darželiams, mokesčius už mokslą tarptautinėse mokyklose, kalbų kursus, neapmokestinamas PVM prekes komandiruotiems nacionaliniams ekspertams, įvadinę programą naujiems darbuotojams ir pagalbą Latvijoje apsigyvenusiems šeimos nariams, kai kurios šių iniciatyvų vykdomos bendradarbiaujant su Latvijos valdžios institucijomis;</w:t>
      </w:r>
    </w:p>
    <w:p w:rsidR="00F22F3E" w:rsidRPr="00307BC5" w:rsidRDefault="00F22F3E" w:rsidP="00F22F3E">
      <w:pPr>
        <w:pStyle w:val="NormalHanging12a"/>
      </w:pPr>
      <w:r w:rsidRPr="00307BC5">
        <w:t>14.</w:t>
      </w:r>
      <w:r w:rsidRPr="00307BC5">
        <w:tab/>
        <w:t>palankai vertina tai, kad 2022 m. ir 2021 m. buvo pasiekta lyčių pusiausvyra tarp darbuotojų apskritai: 52 proc. iš jų yra moterys ir 48 proc. vyrai; primygtinai ragina labiau stengtis išlaikyti pagrįstą Agentūros darbuotojų lyčių pusiausvyrą; pripažįsta, kad Agentūroje yra tik trys viduriniosios grandies vadovų pareigos ir kad taip pat buvo pasiekta priimtina lyčių pusiausvyra viduriniosios grandies vadovybėje – ten dirba viena moteris ir du vyrai;</w:t>
      </w:r>
    </w:p>
    <w:p w:rsidR="00F22F3E" w:rsidRPr="00307BC5" w:rsidRDefault="00F22F3E" w:rsidP="00F22F3E">
      <w:pPr>
        <w:pStyle w:val="NormalHanging12a"/>
      </w:pPr>
      <w:r w:rsidRPr="00307BC5">
        <w:t>15.</w:t>
      </w:r>
      <w:r w:rsidRPr="00307BC5">
        <w:tab/>
        <w:t>pažymi, kad Agentūra vykdo asmens orumo apsaugos ir psichologinio bei seksualinio priekabiavimo prevencijos politiką, ir priklauso konfidencialių patarėjų tarpžinybinei darbo grupei; nekantriai laukia jų ataskaitos ir rekomendacijų; pažymi, kad 2022 m. nebuvo pranešta apie jokius priekabiavimo atvejus, ir ragina Agentūrą toliau tęsti aktyvų darbą, kad priekabiavimo atvejų nepasitaikytų ir ateityje;</w:t>
      </w:r>
    </w:p>
    <w:p w:rsidR="00F22F3E" w:rsidRPr="00307BC5" w:rsidRDefault="00F22F3E" w:rsidP="00F22F3E">
      <w:pPr>
        <w:pStyle w:val="NormalHanging12a"/>
      </w:pPr>
      <w:r w:rsidRPr="00307BC5">
        <w:t>16.</w:t>
      </w:r>
      <w:r w:rsidRPr="00307BC5">
        <w:tab/>
        <w:t xml:space="preserve">apgailestauja, kad Agentūra neturi priėmusi Įvairovės ir įtraukties chartijos, kuria siekiama skatinti vienodą požiūrį ir vienodas galimybes, nepriklausomai nuo jokių </w:t>
      </w:r>
      <w:r w:rsidRPr="00307BC5">
        <w:lastRenderedPageBreak/>
        <w:t>veiksnių – lyties, rasės, odos spalvos, etninės ar socialinės kilmės, genetinių bruožų, kalbos, religijos ar tikėjimo, politinių ar kitokių pažiūrų, priklausymo tautinei mažumai, turtinės padėties, gimimo, negalios, amžiaus ar seksualinės orientacijos; primena, kad vienas iš Chartijos tikslų – pasiekti tikslą, kad bent 40 proc. viduriniosios grandies vadovų pareigų trumpuoju ir vidutinės trukmės laikotarpiu užimtų tos lyties asmenys, kurių yra per mažai; atkreipia dėmesį į Agentūros atsakymą, pateiktą reaguojant į standartinį biudžeto įvykdymo patvirtinimo klausimyną; mano, kad nelyginis vyresniojo vadovo ir viduriniosios grandies vadovų pareigybių skaičius neužkerta kelio Chartijos priėmimui; ragina Agentūrą priimti Chartiją ir aktyviai dalyvauti iniciatyvose, kuriomis skatinama įvairovė ir įtrauktis darbo vietoje;</w:t>
      </w:r>
    </w:p>
    <w:p w:rsidR="00F22F3E" w:rsidRPr="00307BC5" w:rsidRDefault="00F22F3E" w:rsidP="00F22F3E">
      <w:pPr>
        <w:pStyle w:val="NormalHanging12a"/>
      </w:pPr>
      <w:r w:rsidRPr="00307BC5">
        <w:t>17.</w:t>
      </w:r>
      <w:r w:rsidRPr="00307BC5">
        <w:tab/>
        <w:t>palankiai vertina tai, kad 2022 m. Agentūra tęsė savo stažuočių programą; pažymi, kad iš viso prie Agentūros prisijungė 7 stažuotojai ir 15 stažuotojų dalyvavo Agentūros stažuočių programoje;</w:t>
      </w:r>
    </w:p>
    <w:p w:rsidR="00F22F3E" w:rsidRPr="00307BC5" w:rsidRDefault="00F22F3E" w:rsidP="00F22F3E">
      <w:pPr>
        <w:spacing w:after="240"/>
        <w:ind w:left="567" w:hanging="567"/>
        <w:rPr>
          <w:rFonts w:eastAsia="Calibri"/>
          <w:b/>
          <w:i/>
          <w:szCs w:val="24"/>
        </w:rPr>
      </w:pPr>
      <w:r w:rsidRPr="00307BC5">
        <w:rPr>
          <w:b/>
          <w:i/>
        </w:rPr>
        <w:t>Interesų konfliktų prevencija ir valdymas, taip pat skaidrumas</w:t>
      </w:r>
    </w:p>
    <w:p w:rsidR="00F22F3E" w:rsidRPr="00307BC5" w:rsidRDefault="00F22F3E" w:rsidP="00F22F3E">
      <w:pPr>
        <w:spacing w:after="240"/>
        <w:ind w:left="567" w:hanging="567"/>
        <w:rPr>
          <w:szCs w:val="24"/>
        </w:rPr>
      </w:pPr>
      <w:r w:rsidRPr="00307BC5">
        <w:t>18.</w:t>
      </w:r>
      <w:r w:rsidRPr="00307BC5">
        <w:tab/>
        <w:t>pažymi, kad Agentūra savo interneto svetainėje skelbia savo valdančiosios tarybos narių gyvenimo aprašymus ir interesų konfliktų deklaracijas;</w:t>
      </w:r>
    </w:p>
    <w:p w:rsidR="00F22F3E" w:rsidRPr="00307BC5" w:rsidRDefault="00F22F3E" w:rsidP="00F22F3E">
      <w:pPr>
        <w:spacing w:after="240"/>
        <w:ind w:left="567" w:hanging="567"/>
        <w:rPr>
          <w:szCs w:val="24"/>
        </w:rPr>
      </w:pPr>
      <w:r w:rsidRPr="00307BC5">
        <w:t>19.</w:t>
      </w:r>
      <w:r w:rsidRPr="00307BC5">
        <w:tab/>
        <w:t>atkreipia dėmesį į tai, kad prieš pradėdami eiti pareigas Agentūroje statutiniai darbuotojai, deleguotieji nacionaliniai ekspertai, stažuotojai ir laikinieji darbuotojai turi pateikti interesų deklaraciją, kurią prieš patvirtindama paskyrimą peržiūri paskyrimų tarnyba arba direktorius; be to, pažymi, jog darbuotojai dirbdami turi reguliariai atnaujinti šią deklaraciją, kad išspręstų bet kokius ad hoc interesų konfliktų atvejus, ir savo iniciatyva informuoti Agentūrą apie bet kokią išorės veiklą, profesinę veiklą asmeninių atostogų metu, pasiliktas dovanas, sutuoktinių darbą ir galimus konfliktus skelbiant publikacijas ar kalbas; pažymi, kad, nutraukus tarnybą, statutiniai darbuotojai ir stažuotojai per nustatytą laikotarpį po tarnybos pabaigos turi pranešti Agentūrai apie planuojamą būsimą profesinę veiklą;</w:t>
      </w:r>
    </w:p>
    <w:p w:rsidR="00F22F3E" w:rsidRPr="00307BC5" w:rsidRDefault="00F22F3E" w:rsidP="00F22F3E">
      <w:pPr>
        <w:spacing w:after="240"/>
        <w:ind w:left="567" w:hanging="567"/>
        <w:rPr>
          <w:szCs w:val="24"/>
        </w:rPr>
      </w:pPr>
      <w:r w:rsidRPr="00307BC5">
        <w:t>20.</w:t>
      </w:r>
      <w:r w:rsidRPr="00307BC5">
        <w:tab/>
        <w:t>atkreipia dėmesį į tai, kad Agentūros direktorius priėmė raštą dėl darbuotojų interesų konfliktų valdymo atrankos ir įdarbinimo metu, kuriame reikalaujama deklaruoti bet kokius profesinius ir (arba) asmeninius santykius su kandidatais, neatsižvelgiant į tai, ar šie santykiai yra interesų konfliktas, ar ne; be to, pažymi, kad darbuotojai taip pat turėtų nurodyti, ar jie gali išlikti nešališki; pažymi, kad, atskleidus kandidatų vardus ir pavardes, atrankos komiteto nariai turi pateikti interesų konfliktų deklaraciją, atitinkančią minėtą raštą ir Interesų konfliktų prevencijos ir valdymo gaires, susijusias su Agentūros atrankos, įdarbinimo ar perklasifikavimo procedūrose dalyvaujančiais darbuotojais;</w:t>
      </w:r>
    </w:p>
    <w:p w:rsidR="00F22F3E" w:rsidRPr="00307BC5" w:rsidRDefault="00F22F3E" w:rsidP="00F22F3E">
      <w:pPr>
        <w:spacing w:after="240"/>
        <w:ind w:left="567" w:hanging="567"/>
        <w:rPr>
          <w:szCs w:val="24"/>
        </w:rPr>
      </w:pPr>
      <w:r w:rsidRPr="00307BC5">
        <w:t>21.</w:t>
      </w:r>
      <w:r w:rsidRPr="00307BC5">
        <w:tab/>
        <w:t>pažymi, kad valdančioji taryba priėmė 2023–2025 m. Agentūros kovos su sukčiavimu strategiją, kuria siekiama pagerinti sukčiavimo nustatymą, sankcijų taikymą ir prevenciją, taip pat kovoti su bet kokia kita neteisėta veikla, kuri gali pakenkti jos finansiniams interesams; palankiai vertina tai, kad Agentūra įdiegė „Sysper“ etikos modulius, kurie apima interesų konflikto deklaraciją, dovanų ar svetingumo deklaraciją, publikacijų deklaraciją, prašymą leisti vykdyti išorės veiklą, prašymą leisti vykdyti su darbu nesusijusią veiklą atostogų dėl asmeninių priežasčių, sutuoktinio darbo deklaraciją;</w:t>
      </w:r>
    </w:p>
    <w:p w:rsidR="00F22F3E" w:rsidRPr="00307BC5" w:rsidRDefault="00F22F3E" w:rsidP="00F22F3E">
      <w:pPr>
        <w:pStyle w:val="NormalHanging12a"/>
      </w:pPr>
      <w:r w:rsidRPr="00307BC5">
        <w:t>22.</w:t>
      </w:r>
      <w:r w:rsidRPr="00307BC5">
        <w:tab/>
        <w:t xml:space="preserve">primena, kad Agentūrai svarbu didinti matomumą žiniasklaidoje, internete ir socialinėje </w:t>
      </w:r>
      <w:r w:rsidRPr="00307BC5">
        <w:lastRenderedPageBreak/>
        <w:t>žiniasklaidoje, siekiant su savo darbu supažindinti visuomenę;</w:t>
      </w:r>
    </w:p>
    <w:p w:rsidR="00F22F3E" w:rsidRPr="00307BC5" w:rsidRDefault="00F22F3E" w:rsidP="00F22F3E">
      <w:pPr>
        <w:spacing w:after="240"/>
        <w:ind w:left="567" w:hanging="567"/>
        <w:rPr>
          <w:b/>
          <w:i/>
          <w:szCs w:val="24"/>
        </w:rPr>
      </w:pPr>
      <w:r w:rsidRPr="00307BC5">
        <w:rPr>
          <w:b/>
          <w:i/>
        </w:rPr>
        <w:t>Kitos pastabos</w:t>
      </w:r>
    </w:p>
    <w:p w:rsidR="00F22F3E" w:rsidRPr="00307BC5" w:rsidRDefault="00F22F3E" w:rsidP="00F22F3E">
      <w:pPr>
        <w:spacing w:after="240"/>
        <w:ind w:left="567" w:hanging="567"/>
        <w:rPr>
          <w:b/>
          <w:i/>
          <w:szCs w:val="24"/>
        </w:rPr>
      </w:pPr>
      <w:r w:rsidRPr="00307BC5">
        <w:t>23.</w:t>
      </w:r>
      <w:r w:rsidRPr="00307BC5">
        <w:tab/>
        <w:t>pažymi, kad nuo 2022 m. vasario mėn. Agentūra pradėjo naudoti Komisijos paslaugų viešųjų pirkimų valdymo priemonę, kuria dar labiau supaprastinami jos viešųjų pirkimų procesai ir užtikrinama, kad kiekviename proceso etape būtų naudojami naujausi Komisijos šablonai ir geriausia praktika;</w:t>
      </w:r>
    </w:p>
    <w:p w:rsidR="00F22F3E" w:rsidRPr="00307BC5" w:rsidRDefault="00F22F3E" w:rsidP="00F22F3E">
      <w:pPr>
        <w:spacing w:after="240"/>
        <w:ind w:left="567" w:hanging="567"/>
        <w:rPr>
          <w:szCs w:val="24"/>
        </w:rPr>
      </w:pPr>
      <w:r w:rsidRPr="00307BC5">
        <w:t>24.</w:t>
      </w:r>
      <w:r w:rsidRPr="00307BC5">
        <w:tab/>
        <w:t>pripažįsta, kad, siekdama padidinti kibernetinį saugumą ir savo turimų skaitmeninių įrašų apsaugą, Agentūra naudoja dviejų veiksnių tapatumo nustatymo priemones, internetines taikomųjų programų užkardas, automatizuotas atsargines kopijas, taikomąjį šifravimą (kai taikoma ar galima tai padaryti) ir reguliarius verslui svarbių sistemų atkūrimo bandymus; be to, pažymi, kad Agentūra taiko programine įranga grindžiamą apsaugą galutiniams naudotojams skirtiems įrenginiams, pvz., nešiojamiesiems kompiuteriams ir mobiliesiems telefonams, taip pat IRT saugumo paslaugoms, kurias teikia CERT-EU;</w:t>
      </w:r>
    </w:p>
    <w:p w:rsidR="00F22F3E" w:rsidRPr="00307BC5" w:rsidRDefault="00F22F3E" w:rsidP="00F22F3E">
      <w:pPr>
        <w:pStyle w:val="NormalHanging12a"/>
      </w:pPr>
      <w:r w:rsidRPr="00307BC5">
        <w:t>25.</w:t>
      </w:r>
      <w:r w:rsidRPr="00307BC5">
        <w:tab/>
        <w:t>palankiai vertina Agentūros pastangas teikti pirmenybę naujiems teisės aktams, kuriais nustatomos kibernetinio saugumo priemonės Sąjungos institucijose, įstaigose, organuose ir agentūrose; susirūpinęs atkreipia dėmesį į galimą neproporcingą kibernetinio saugumo reglamento naštą mažoms agentūroms, pvz., BEREC biurui, dėl kurios gali kilti pavojus reikalavimų laikymuisi; ragina Komisiją į tai atsižvelgti per kitų metų programavimo ciklus;</w:t>
      </w:r>
    </w:p>
    <w:p w:rsidR="00F22F3E" w:rsidRPr="00307BC5" w:rsidRDefault="00F22F3E" w:rsidP="00F22F3E">
      <w:pPr>
        <w:spacing w:after="240"/>
        <w:ind w:left="567" w:hanging="567"/>
        <w:rPr>
          <w:rFonts w:eastAsia="Calibri"/>
          <w:szCs w:val="24"/>
        </w:rPr>
      </w:pPr>
      <w:r w:rsidRPr="00307BC5">
        <w:t>26.</w:t>
      </w:r>
      <w:r w:rsidRPr="00307BC5">
        <w:tab/>
        <w:t>palankiai vertina tai, kad Agentūros valdančioji taryba nustatė EMAS sertifikavimo tikslą ateinantiems trejiems metams; žino, kad Agentūra pradėjo vidaus pasirengimą sertifikavimui, kuris apima tolesnę naujausią informaciją apie Agentūros anglies dioksido išmetimo rodiklio apskaičiavimą, dalyvavimą ES agentūrų tinklo žalinimo tinklo poriniuose projektuose ir kt.;</w:t>
      </w:r>
    </w:p>
    <w:p w:rsidR="00F22F3E" w:rsidRPr="00307BC5" w:rsidRDefault="00F22F3E" w:rsidP="00F22F3E">
      <w:pPr>
        <w:pStyle w:val="NormalHanging12a"/>
      </w:pPr>
      <w:r w:rsidRPr="00307BC5">
        <w:t>27.</w:t>
      </w:r>
      <w:r w:rsidRPr="00307BC5">
        <w:tab/>
        <w:t>palankiai vertina Ukrainos nacionalinės reguliavimo institucijos dalyvavimą Agentūros kasdienėje veikloje; palankiai vertina tai, kad Agentūra ir jos nariai sukūrė bendradarbiavimo sistemą, kad būtų sprendžiamos junglumo problemos ir sudaromos sąlygos Ukrainos elektroninių ryšių reglamentus suderinti su Europos telekomunikacijų sistema; be to, palankiai vertina tai, kad, remiantis Agentūros iš Sąjungos ir Ukrainos veiklos vykdytojų surinktais duomenimis apie taikomas mažmeninės prekybos priemones, buvo susitarta dėl bendro pareiškimo, kuriuo nustatyta stabili sistema, skirta padėti nuo karo Ukrainoje bėgantiems žmonėms išlaikyti ryšį su savo šeimomis ir draugais grįžus namo ir išlaikyti prieigą prie informacijos;</w:t>
      </w:r>
    </w:p>
    <w:p w:rsidR="00F22F3E" w:rsidRPr="00307BC5" w:rsidRDefault="00F22F3E" w:rsidP="00F22F3E">
      <w:pPr>
        <w:pStyle w:val="NormalHanging12a"/>
      </w:pPr>
      <w:r w:rsidRPr="00307BC5">
        <w:t>28.</w:t>
      </w:r>
      <w:r w:rsidRPr="00307BC5">
        <w:tab/>
        <w:t>palankiai vertina Agentūros pastangas 2022 m. didinti visuomenės informuotumą apie savo įgaliojimus ir darbą Latvijoje įgyvendinant nedidelio masto komunikacijos iniciatyvas, pvz., priimant Agentūroje apsilankiusius Rygos Stradiņš universiteto studentus, skatinant partnerystę, kuria gerinamas jų suvokimas apie ES agentūras, visų pirma, esančias Latvijoje, dalyvaujant tiesiogiai transliuojamame renginyje, skirtame Europos dienai paminėti Latvijoje, kurį organizavo Europos Komisijos atstovybė toje šalyje, ir kituose renginiuose; ragina Agentūrą toliau dirbti siekiant didinti Agentūros matomumą, ypač priimančiojoje valstybėje narėje;</w:t>
      </w:r>
    </w:p>
    <w:p w:rsidR="00F22F3E" w:rsidRPr="00307BC5" w:rsidRDefault="00F22F3E" w:rsidP="00F22F3E">
      <w:pPr>
        <w:pStyle w:val="NormalHanging12a"/>
      </w:pPr>
      <w:r w:rsidRPr="00307BC5">
        <w:t>29.</w:t>
      </w:r>
      <w:r w:rsidRPr="00307BC5">
        <w:tab/>
        <w:t xml:space="preserve">palankiai vertina tai, kad Parlamento ir Komisijos vietos biurai Rygoje ir Agentūra </w:t>
      </w:r>
      <w:r w:rsidRPr="00307BC5">
        <w:lastRenderedPageBreak/>
        <w:t>suvienijo pastangas siekdami kartu sukurti bendrus Europos namus, kurie bus visų Sąjungos institucijų ir Agentūros Latvijoje namai;</w:t>
      </w:r>
    </w:p>
    <w:p w:rsidR="00F22F3E" w:rsidRPr="00307BC5" w:rsidRDefault="00F22F3E" w:rsidP="00F22F3E">
      <w:pPr>
        <w:pStyle w:val="NormalCenter12a"/>
      </w:pPr>
      <w:r w:rsidRPr="00307BC5">
        <w:t>°</w:t>
      </w:r>
    </w:p>
    <w:p w:rsidR="00F22F3E" w:rsidRPr="00307BC5" w:rsidRDefault="00F22F3E" w:rsidP="00F22F3E">
      <w:pPr>
        <w:pStyle w:val="NormalCenter12a"/>
      </w:pPr>
      <w:r w:rsidRPr="00307BC5">
        <w:t>°</w:t>
      </w:r>
      <w:r w:rsidRPr="00307BC5">
        <w:tab/>
        <w:t>°</w:t>
      </w:r>
    </w:p>
    <w:p w:rsidR="00E365E1" w:rsidRPr="00307BC5" w:rsidRDefault="00F22F3E" w:rsidP="0051093C">
      <w:pPr>
        <w:ind w:left="567" w:hanging="567"/>
      </w:pPr>
      <w:r w:rsidRPr="00307BC5">
        <w:t>30.</w:t>
      </w:r>
      <w:r w:rsidRPr="00307BC5">
        <w:tab/>
        <w:t xml:space="preserve">pažymi, kad kitos su sprendimu dėl biudžeto įvykdymo patvirtinimo susijusios pastabos, kurios yra horizontaliojo pobūdžio, pateikiamos jo </w:t>
      </w:r>
      <w:r w:rsidR="008F2245" w:rsidRPr="00307BC5">
        <w:t xml:space="preserve">2024 m. </w:t>
      </w:r>
      <w:r w:rsidR="00E725EA" w:rsidRPr="00307BC5">
        <w:t>balandžio 11</w:t>
      </w:r>
      <w:r w:rsidRPr="00307BC5">
        <w:t> d. rezoliucijoje</w:t>
      </w:r>
      <w:r w:rsidRPr="00307BC5">
        <w:rPr>
          <w:vertAlign w:val="superscript"/>
        </w:rPr>
        <w:footnoteReference w:id="12"/>
      </w:r>
      <w:r w:rsidRPr="00307BC5">
        <w:t xml:space="preserve"> dėl agentūrų veiklos, finansų valdymo ir kontrolės.</w:t>
      </w:r>
      <w:bookmarkStart w:id="11" w:name="TextBodyEnd"/>
      <w:bookmarkEnd w:id="11"/>
    </w:p>
    <w:sectPr w:rsidR="00E365E1" w:rsidRPr="00307BC5" w:rsidSect="00F43F5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245" w:rsidRPr="00F43F5D" w:rsidRDefault="008F2245">
      <w:r w:rsidRPr="00F43F5D">
        <w:separator/>
      </w:r>
    </w:p>
  </w:endnote>
  <w:endnote w:type="continuationSeparator" w:id="0">
    <w:p w:rsidR="008F2245" w:rsidRPr="00F43F5D" w:rsidRDefault="008F2245">
      <w:r w:rsidRPr="00F43F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F3E" w:rsidRPr="00F43F5D" w:rsidRDefault="00F22F3E" w:rsidP="008561C9">
    <w:pPr>
      <w:pStyle w:val="EPFooter"/>
    </w:pPr>
    <w:r w:rsidRPr="00F43F5D">
      <w:t>PE</w:t>
    </w:r>
    <w:r w:rsidRPr="00F43F5D">
      <w:rPr>
        <w:rStyle w:val="HideTWBExt"/>
      </w:rPr>
      <w:t>&lt;NoPE&gt;</w:t>
    </w:r>
    <w:r w:rsidRPr="00F43F5D">
      <w:t>753.507</w:t>
    </w:r>
    <w:r w:rsidRPr="00F43F5D">
      <w:rPr>
        <w:rStyle w:val="HideTWBExt"/>
      </w:rPr>
      <w:t>&lt;/NoPE&gt;&lt;Version&gt;</w:t>
    </w:r>
    <w:r w:rsidRPr="00F43F5D">
      <w:t>v02-00</w:t>
    </w:r>
    <w:r w:rsidRPr="00F43F5D">
      <w:rPr>
        <w:rStyle w:val="HideTWBExt"/>
      </w:rPr>
      <w:t>&lt;/Version&gt;</w:t>
    </w:r>
    <w:r w:rsidRPr="00F43F5D">
      <w:tab/>
    </w:r>
    <w:r w:rsidRPr="00F43F5D">
      <w:fldChar w:fldCharType="begin"/>
    </w:r>
    <w:r w:rsidRPr="00F43F5D">
      <w:instrText xml:space="preserve"> PAGE  \* MERGEFORMAT </w:instrText>
    </w:r>
    <w:r w:rsidRPr="00F43F5D">
      <w:fldChar w:fldCharType="separate"/>
    </w:r>
    <w:r w:rsidR="00F43F5D" w:rsidRPr="00F43F5D">
      <w:rPr>
        <w:noProof/>
      </w:rPr>
      <w:t>4</w:t>
    </w:r>
    <w:r w:rsidRPr="00F43F5D">
      <w:fldChar w:fldCharType="end"/>
    </w:r>
    <w:r w:rsidRPr="00F43F5D">
      <w:t>/</w:t>
    </w:r>
    <w:fldSimple w:instr=" NUMPAGES  \* MERGEFORMAT ">
      <w:r w:rsidR="00F43F5D" w:rsidRPr="00F43F5D">
        <w:rPr>
          <w:noProof/>
        </w:rPr>
        <w:t>6</w:t>
      </w:r>
    </w:fldSimple>
    <w:r w:rsidRPr="00F43F5D">
      <w:tab/>
    </w:r>
    <w:r w:rsidRPr="00F43F5D">
      <w:rPr>
        <w:rStyle w:val="HideTWBExt"/>
      </w:rPr>
      <w:t>&lt;PathFdR&gt;</w:t>
    </w:r>
    <w:r w:rsidRPr="00F43F5D">
      <w:t>RR\1299071LT.docx</w:t>
    </w:r>
    <w:r w:rsidRPr="00F43F5D">
      <w:rPr>
        <w:rStyle w:val="HideTWBExt"/>
      </w:rPr>
      <w:t>&lt;/PathFdR&gt;</w:t>
    </w:r>
  </w:p>
  <w:p w:rsidR="00F22F3E" w:rsidRPr="00F43F5D" w:rsidRDefault="00F22F3E" w:rsidP="008561C9">
    <w:pPr>
      <w:pStyle w:val="EPFooter2"/>
    </w:pPr>
    <w:r w:rsidRPr="00F43F5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F3E" w:rsidRPr="00F43F5D" w:rsidRDefault="00F22F3E" w:rsidP="008561C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F3E" w:rsidRPr="00F43F5D" w:rsidRDefault="00F22F3E" w:rsidP="008561C9">
    <w:pPr>
      <w:pStyle w:val="EPFooter"/>
    </w:pPr>
    <w:r w:rsidRPr="00F43F5D">
      <w:rPr>
        <w:rStyle w:val="HideTWBExt"/>
      </w:rPr>
      <w:t>&lt;PathFdR&gt;</w:t>
    </w:r>
    <w:r w:rsidRPr="00F43F5D">
      <w:t>RR\1299071LT.docx</w:t>
    </w:r>
    <w:r w:rsidRPr="00F43F5D">
      <w:rPr>
        <w:rStyle w:val="HideTWBExt"/>
      </w:rPr>
      <w:t>&lt;/PathFdR&gt;</w:t>
    </w:r>
    <w:r w:rsidRPr="00F43F5D">
      <w:tab/>
    </w:r>
    <w:r w:rsidRPr="00F43F5D">
      <w:tab/>
      <w:t>PE</w:t>
    </w:r>
    <w:r w:rsidRPr="00F43F5D">
      <w:rPr>
        <w:rStyle w:val="HideTWBExt"/>
      </w:rPr>
      <w:t>&lt;NoPE&gt;</w:t>
    </w:r>
    <w:r w:rsidRPr="00F43F5D">
      <w:t>753.507</w:t>
    </w:r>
    <w:r w:rsidRPr="00F43F5D">
      <w:rPr>
        <w:rStyle w:val="HideTWBExt"/>
      </w:rPr>
      <w:t>&lt;/NoPE&gt;&lt;Version&gt;</w:t>
    </w:r>
    <w:r w:rsidRPr="00F43F5D">
      <w:t>v02-00</w:t>
    </w:r>
    <w:r w:rsidRPr="00F43F5D">
      <w:rPr>
        <w:rStyle w:val="HideTWBExt"/>
      </w:rPr>
      <w:t>&lt;/Version&gt;</w:t>
    </w:r>
  </w:p>
  <w:p w:rsidR="00F22F3E" w:rsidRPr="00F43F5D" w:rsidRDefault="00F22F3E" w:rsidP="008561C9">
    <w:pPr>
      <w:pStyle w:val="EPFooter2"/>
    </w:pPr>
    <w:r w:rsidRPr="00F43F5D">
      <w:t>LT</w:t>
    </w:r>
    <w:r w:rsidRPr="00F43F5D">
      <w:tab/>
    </w:r>
    <w:r w:rsidRPr="00F43F5D">
      <w:rPr>
        <w:b w:val="0"/>
        <w:i/>
        <w:color w:val="C0C0C0"/>
        <w:sz w:val="22"/>
      </w:rPr>
      <w:t>Suvienijusi įvairovę</w:t>
    </w:r>
    <w:r w:rsidRPr="00F43F5D">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F5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F5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F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245" w:rsidRPr="00F43F5D" w:rsidRDefault="008F2245">
      <w:r w:rsidRPr="00F43F5D">
        <w:separator/>
      </w:r>
    </w:p>
  </w:footnote>
  <w:footnote w:type="continuationSeparator" w:id="0">
    <w:p w:rsidR="008F2245" w:rsidRPr="00F43F5D" w:rsidRDefault="008F2245">
      <w:r w:rsidRPr="00F43F5D">
        <w:continuationSeparator/>
      </w:r>
    </w:p>
  </w:footnote>
  <w:footnote w:id="1">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C, C/2023/594, 2023 10 27.</w:t>
      </w:r>
    </w:p>
  </w:footnote>
  <w:footnote w:id="2">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C, C/2023/112, 2023 10 12.</w:t>
      </w:r>
    </w:p>
  </w:footnote>
  <w:footnote w:id="3">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L 193, 2018 7 30, p. 1.</w:t>
      </w:r>
    </w:p>
  </w:footnote>
  <w:footnote w:id="4">
    <w:p w:rsidR="00F22F3E" w:rsidRPr="00F43F5D" w:rsidRDefault="00F22F3E" w:rsidP="00F43F5D">
      <w:pPr>
        <w:pStyle w:val="FootnoteText"/>
        <w:ind w:left="567" w:hanging="567"/>
        <w:rPr>
          <w:sz w:val="24"/>
          <w:szCs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L 321, 2018 12 17, p. 1.</w:t>
      </w:r>
    </w:p>
  </w:footnote>
  <w:footnote w:id="5">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L 122, 2019 5 10, p. 1.</w:t>
      </w:r>
    </w:p>
  </w:footnote>
  <w:footnote w:id="6">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C, C/2023/594, 2023 10 27.</w:t>
      </w:r>
    </w:p>
  </w:footnote>
  <w:footnote w:id="7">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C, C/2023/112, 2023 10 12.</w:t>
      </w:r>
    </w:p>
  </w:footnote>
  <w:footnote w:id="8">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L 193, 2018 7 30, p. 1.</w:t>
      </w:r>
    </w:p>
  </w:footnote>
  <w:footnote w:id="9">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L 321, 2018 12 17, p. 1.</w:t>
      </w:r>
    </w:p>
  </w:footnote>
  <w:footnote w:id="10">
    <w:p w:rsidR="00F22F3E" w:rsidRPr="00F43F5D" w:rsidRDefault="00F22F3E" w:rsidP="00F43F5D">
      <w:pPr>
        <w:pStyle w:val="FootnoteText"/>
        <w:ind w:left="567" w:hanging="567"/>
        <w:rPr>
          <w:sz w:val="24"/>
          <w:szCs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L 122, 2019 5 10, p. 1.</w:t>
      </w:r>
    </w:p>
  </w:footnote>
  <w:footnote w:id="11">
    <w:p w:rsidR="00F22F3E" w:rsidRPr="00F43F5D" w:rsidRDefault="00F22F3E" w:rsidP="00F43F5D">
      <w:pPr>
        <w:pStyle w:val="FootnoteText"/>
        <w:ind w:left="567" w:hanging="567"/>
        <w:rPr>
          <w:sz w:val="24"/>
          <w:lang w:val="lt-LT"/>
        </w:rPr>
      </w:pPr>
      <w:r w:rsidRPr="00F43F5D">
        <w:rPr>
          <w:rStyle w:val="FootnoteReference"/>
          <w:sz w:val="24"/>
          <w:lang w:val="lt-LT"/>
        </w:rPr>
        <w:footnoteRef/>
      </w:r>
      <w:r w:rsidR="00F43F5D" w:rsidRPr="00F43F5D">
        <w:rPr>
          <w:sz w:val="24"/>
          <w:lang w:val="lt-LT"/>
        </w:rPr>
        <w:t xml:space="preserve"> </w:t>
      </w:r>
      <w:r w:rsidR="00F43F5D" w:rsidRPr="00F43F5D">
        <w:rPr>
          <w:sz w:val="24"/>
          <w:lang w:val="lt-LT"/>
        </w:rPr>
        <w:tab/>
      </w:r>
      <w:r w:rsidRPr="00F43F5D">
        <w:rPr>
          <w:sz w:val="24"/>
          <w:lang w:val="lt-LT"/>
        </w:rPr>
        <w:t>OL C 119, 2023 3 31, p. 11.</w:t>
      </w:r>
    </w:p>
  </w:footnote>
  <w:footnote w:id="12">
    <w:p w:rsidR="00F22F3E" w:rsidRPr="00F43F5D" w:rsidRDefault="00F22F3E" w:rsidP="00F43F5D">
      <w:pPr>
        <w:pStyle w:val="FootnoteText"/>
        <w:ind w:left="567" w:hanging="567"/>
        <w:rPr>
          <w:sz w:val="24"/>
          <w:szCs w:val="24"/>
          <w:lang w:val="lt-LT"/>
        </w:rPr>
      </w:pPr>
      <w:r w:rsidRPr="00F43F5D">
        <w:rPr>
          <w:rStyle w:val="FootnoteReference"/>
          <w:sz w:val="24"/>
          <w:szCs w:val="24"/>
          <w:lang w:val="lt-LT"/>
        </w:rPr>
        <w:footnoteRef/>
      </w:r>
      <w:r w:rsidR="00F43F5D" w:rsidRPr="00F43F5D">
        <w:rPr>
          <w:sz w:val="24"/>
          <w:lang w:val="lt-LT"/>
        </w:rPr>
        <w:t xml:space="preserve"> </w:t>
      </w:r>
      <w:r w:rsidR="00F43F5D" w:rsidRPr="00F43F5D">
        <w:rPr>
          <w:sz w:val="24"/>
          <w:lang w:val="lt-LT"/>
        </w:rPr>
        <w:tab/>
      </w:r>
      <w:r w:rsidRPr="009D0CE5">
        <w:rPr>
          <w:sz w:val="24"/>
          <w:lang w:val="lt-LT"/>
        </w:rPr>
        <w:t>Priimti tekstai</w:t>
      </w:r>
      <w:r w:rsidRPr="0051093C">
        <w:rPr>
          <w:sz w:val="24"/>
          <w:lang w:val="lt-LT"/>
        </w:rPr>
        <w:t>, P9_TA(2024)0</w:t>
      </w:r>
      <w:r w:rsidR="00B229CF" w:rsidRPr="0051093C">
        <w:rPr>
          <w:sz w:val="24"/>
          <w:lang w:val="lt-LT"/>
        </w:rPr>
        <w:t>28</w:t>
      </w:r>
      <w:r w:rsidRPr="0051093C">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F3E" w:rsidRPr="00F43F5D" w:rsidRDefault="00F22F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F3E" w:rsidRPr="00F43F5D" w:rsidRDefault="00F22F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F3E" w:rsidRPr="00F43F5D" w:rsidRDefault="00F22F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F5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F5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F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LT"/>
    <w:docVar w:name="dvnumam" w:val="0"/>
    <w:docVar w:name="dvpe" w:val="753.507"/>
    <w:docVar w:name="dvrapporteur" w:val="Pranešėjas: "/>
    <w:docVar w:name="dvtitre" w:val="1. 2024 m. balandzio 11 d. Europos Parlamento sprendimas dėl BEREC paramos agentūros (BEREC biuro) 2022 finansinių metų biudžeto įvykdymo patvirtinimo(2023/2141(DEC))"/>
  </w:docVars>
  <w:rsids>
    <w:rsidRoot w:val="008F2245"/>
    <w:rsid w:val="00002272"/>
    <w:rsid w:val="00064002"/>
    <w:rsid w:val="000677B9"/>
    <w:rsid w:val="000831BA"/>
    <w:rsid w:val="000A42CC"/>
    <w:rsid w:val="000E7DD9"/>
    <w:rsid w:val="0010095E"/>
    <w:rsid w:val="00125B37"/>
    <w:rsid w:val="00187494"/>
    <w:rsid w:val="001F32AE"/>
    <w:rsid w:val="002767FF"/>
    <w:rsid w:val="002B18FE"/>
    <w:rsid w:val="002B5493"/>
    <w:rsid w:val="002C3860"/>
    <w:rsid w:val="00307B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93C"/>
    <w:rsid w:val="00514517"/>
    <w:rsid w:val="00515206"/>
    <w:rsid w:val="00545827"/>
    <w:rsid w:val="00560270"/>
    <w:rsid w:val="00564F5C"/>
    <w:rsid w:val="005C2568"/>
    <w:rsid w:val="006037C0"/>
    <w:rsid w:val="006250D8"/>
    <w:rsid w:val="006631B6"/>
    <w:rsid w:val="00680577"/>
    <w:rsid w:val="006B3B18"/>
    <w:rsid w:val="006F74FA"/>
    <w:rsid w:val="00721E3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245"/>
    <w:rsid w:val="00930C23"/>
    <w:rsid w:val="0093193B"/>
    <w:rsid w:val="009509D8"/>
    <w:rsid w:val="00950B64"/>
    <w:rsid w:val="00951832"/>
    <w:rsid w:val="00981893"/>
    <w:rsid w:val="009D0CE5"/>
    <w:rsid w:val="00A1687D"/>
    <w:rsid w:val="00A43E52"/>
    <w:rsid w:val="00A4678D"/>
    <w:rsid w:val="00A737C5"/>
    <w:rsid w:val="00A778C7"/>
    <w:rsid w:val="00AB441E"/>
    <w:rsid w:val="00AB6293"/>
    <w:rsid w:val="00AE0928"/>
    <w:rsid w:val="00AF3B82"/>
    <w:rsid w:val="00B12E95"/>
    <w:rsid w:val="00B22876"/>
    <w:rsid w:val="00B229CF"/>
    <w:rsid w:val="00B558F0"/>
    <w:rsid w:val="00BD48FE"/>
    <w:rsid w:val="00BD7BD8"/>
    <w:rsid w:val="00BE6ADC"/>
    <w:rsid w:val="00C05BFE"/>
    <w:rsid w:val="00C23CD4"/>
    <w:rsid w:val="00C452BA"/>
    <w:rsid w:val="00C61C0C"/>
    <w:rsid w:val="00C941CB"/>
    <w:rsid w:val="00CC2357"/>
    <w:rsid w:val="00CF071A"/>
    <w:rsid w:val="00D058B8"/>
    <w:rsid w:val="00D56C11"/>
    <w:rsid w:val="00D834A0"/>
    <w:rsid w:val="00D872DF"/>
    <w:rsid w:val="00D91E21"/>
    <w:rsid w:val="00DA1319"/>
    <w:rsid w:val="00DA7FCD"/>
    <w:rsid w:val="00E365E1"/>
    <w:rsid w:val="00E5673D"/>
    <w:rsid w:val="00E725EA"/>
    <w:rsid w:val="00E820A4"/>
    <w:rsid w:val="00EB006A"/>
    <w:rsid w:val="00EB4772"/>
    <w:rsid w:val="00ED169E"/>
    <w:rsid w:val="00ED4235"/>
    <w:rsid w:val="00F04346"/>
    <w:rsid w:val="00F075DC"/>
    <w:rsid w:val="00F149E9"/>
    <w:rsid w:val="00F22F3E"/>
    <w:rsid w:val="00F43F5D"/>
    <w:rsid w:val="00F5134D"/>
    <w:rsid w:val="00F74202"/>
    <w:rsid w:val="00F87713"/>
    <w:rsid w:val="00F9176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28C056-FECE-4E8F-816F-A0BD5DC4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2F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22F3E"/>
    <w:pPr>
      <w:spacing w:before="480" w:after="240"/>
    </w:pPr>
  </w:style>
  <w:style w:type="paragraph" w:customStyle="1" w:styleId="PageHeading">
    <w:name w:val="PageHeading"/>
    <w:basedOn w:val="Normal"/>
    <w:rsid w:val="00F22F3E"/>
    <w:pPr>
      <w:keepNext/>
      <w:spacing w:after="480"/>
      <w:jc w:val="center"/>
    </w:pPr>
    <w:rPr>
      <w:rFonts w:ascii="Arial" w:hAnsi="Arial" w:cs="Arial"/>
      <w:b/>
    </w:rPr>
  </w:style>
  <w:style w:type="paragraph" w:customStyle="1" w:styleId="NormalBold">
    <w:name w:val="NormalBold"/>
    <w:basedOn w:val="Normal"/>
    <w:rsid w:val="00F22F3E"/>
    <w:rPr>
      <w:b/>
    </w:rPr>
  </w:style>
  <w:style w:type="paragraph" w:customStyle="1" w:styleId="NormalHanging12a">
    <w:name w:val="NormalHanging12a"/>
    <w:basedOn w:val="Normal"/>
    <w:link w:val="NormalHanging12aChar"/>
    <w:rsid w:val="00F22F3E"/>
    <w:pPr>
      <w:spacing w:after="240"/>
      <w:ind w:left="567" w:hanging="567"/>
    </w:pPr>
  </w:style>
  <w:style w:type="paragraph" w:customStyle="1" w:styleId="NormalCenter12a">
    <w:name w:val="NormalCenter12a"/>
    <w:basedOn w:val="Normal"/>
    <w:rsid w:val="00F22F3E"/>
    <w:pPr>
      <w:spacing w:after="240"/>
      <w:jc w:val="center"/>
    </w:pPr>
  </w:style>
  <w:style w:type="paragraph" w:styleId="Header">
    <w:name w:val="header"/>
    <w:basedOn w:val="Normal"/>
    <w:link w:val="HeaderChar"/>
    <w:rsid w:val="00F22F3E"/>
    <w:pPr>
      <w:tabs>
        <w:tab w:val="center" w:pos="4513"/>
        <w:tab w:val="right" w:pos="9026"/>
      </w:tabs>
    </w:pPr>
  </w:style>
  <w:style w:type="character" w:customStyle="1" w:styleId="HeaderChar">
    <w:name w:val="Header Char"/>
    <w:basedOn w:val="DefaultParagraphFont"/>
    <w:link w:val="Header"/>
    <w:rsid w:val="00F22F3E"/>
    <w:rPr>
      <w:sz w:val="24"/>
      <w:lang w:val="lt-LT"/>
    </w:rPr>
  </w:style>
  <w:style w:type="paragraph" w:customStyle="1" w:styleId="EPFooter">
    <w:name w:val="EPFooter"/>
    <w:basedOn w:val="Normal"/>
    <w:rsid w:val="00F22F3E"/>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F22F3E"/>
    <w:rPr>
      <w:sz w:val="24"/>
      <w:lang w:val="lt-LT"/>
    </w:rPr>
  </w:style>
  <w:style w:type="paragraph" w:customStyle="1" w:styleId="Normal12Hanging">
    <w:name w:val="Normal12Hanging"/>
    <w:basedOn w:val="Normal"/>
    <w:rsid w:val="00F22F3E"/>
    <w:pPr>
      <w:spacing w:after="240"/>
      <w:ind w:left="567" w:hanging="567"/>
    </w:pPr>
  </w:style>
  <w:style w:type="paragraph" w:styleId="BalloonText">
    <w:name w:val="Balloon Text"/>
    <w:basedOn w:val="Normal"/>
    <w:link w:val="BalloonTextChar"/>
    <w:rsid w:val="00564F5C"/>
    <w:rPr>
      <w:rFonts w:ascii="Segoe UI" w:hAnsi="Segoe UI" w:cs="Segoe UI"/>
      <w:sz w:val="18"/>
      <w:szCs w:val="18"/>
    </w:rPr>
  </w:style>
  <w:style w:type="character" w:customStyle="1" w:styleId="BalloonTextChar">
    <w:name w:val="Balloon Text Char"/>
    <w:basedOn w:val="DefaultParagraphFont"/>
    <w:link w:val="BalloonText"/>
    <w:rsid w:val="00564F5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5E397-A02F-4A65-A3E9-EC9CDC76A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2755</Words>
  <Characters>18722</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2024-04-11T16:57:00Z</dcterms:created>
  <dcterms:modified xsi:type="dcterms:W3CDTF">2024-04-11T16:57:00Z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A9-0123/2024</vt:lpwstr>
  </property>
  <property fmtid="{D5CDD505-2E9C-101B-9397-08002B2CF9AE}" pid="4" name="&lt;Type&gt;">
    <vt:lpwstr>RR</vt:lpwstr>
  </property>
</Properties>
</file>