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35520" w:rsidTr="0010095E">
        <w:trPr>
          <w:trHeight w:hRule="exact" w:val="1418"/>
        </w:trPr>
        <w:tc>
          <w:tcPr>
            <w:tcW w:w="6804" w:type="dxa"/>
            <w:shd w:val="clear" w:color="auto" w:fill="auto"/>
            <w:vAlign w:val="center"/>
          </w:tcPr>
          <w:p w:rsidR="00751A4A" w:rsidRPr="00435520" w:rsidRDefault="000F4D68" w:rsidP="0010095E">
            <w:pPr>
              <w:pStyle w:val="EPName"/>
            </w:pPr>
            <w:r w:rsidRPr="00435520">
              <w:t>Parlamentul European</w:t>
            </w:r>
          </w:p>
          <w:p w:rsidR="00751A4A" w:rsidRPr="00435520" w:rsidRDefault="00817416" w:rsidP="00756632">
            <w:pPr>
              <w:pStyle w:val="EPTerm"/>
              <w:rPr>
                <w:rStyle w:val="HideTWBExt"/>
                <w:noProof w:val="0"/>
                <w:vanish w:val="0"/>
                <w:color w:val="auto"/>
              </w:rPr>
            </w:pPr>
            <w:r w:rsidRPr="00435520">
              <w:t>2019-2024</w:t>
            </w:r>
          </w:p>
        </w:tc>
        <w:tc>
          <w:tcPr>
            <w:tcW w:w="2268" w:type="dxa"/>
            <w:shd w:val="clear" w:color="auto" w:fill="auto"/>
          </w:tcPr>
          <w:p w:rsidR="00751A4A" w:rsidRPr="00435520" w:rsidRDefault="00187494" w:rsidP="0010095E">
            <w:pPr>
              <w:pStyle w:val="EPLogo"/>
            </w:pPr>
            <w:r w:rsidRPr="0043552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35520" w:rsidRDefault="00D058B8" w:rsidP="004C5D52">
      <w:pPr>
        <w:pStyle w:val="LineTop"/>
      </w:pPr>
    </w:p>
    <w:p w:rsidR="00680577" w:rsidRPr="00435520" w:rsidRDefault="000F4D68" w:rsidP="00680577">
      <w:pPr>
        <w:pStyle w:val="EPBodyTA1"/>
      </w:pPr>
      <w:r w:rsidRPr="00435520">
        <w:t>TEXTE ADOPTATE</w:t>
      </w:r>
    </w:p>
    <w:p w:rsidR="00D058B8" w:rsidRPr="00435520" w:rsidRDefault="00D058B8" w:rsidP="00D058B8">
      <w:pPr>
        <w:pStyle w:val="LineBottom"/>
      </w:pPr>
    </w:p>
    <w:p w:rsidR="000F4D68" w:rsidRPr="00435520" w:rsidRDefault="000F4D68" w:rsidP="000F4D68">
      <w:pPr>
        <w:pStyle w:val="ATHeading1"/>
      </w:pPr>
      <w:bookmarkStart w:id="0" w:name="TANumber"/>
      <w:r w:rsidRPr="00435520">
        <w:t>P9_TA(2024)</w:t>
      </w:r>
      <w:bookmarkEnd w:id="0"/>
      <w:r w:rsidR="00435520" w:rsidRPr="00435520">
        <w:t>0</w:t>
      </w:r>
      <w:r w:rsidR="00435520" w:rsidRPr="00435520">
        <w:t>266</w:t>
      </w:r>
    </w:p>
    <w:p w:rsidR="000F4D68" w:rsidRPr="00435520" w:rsidRDefault="000F4D68" w:rsidP="000F4D68">
      <w:pPr>
        <w:pStyle w:val="ATHeading2"/>
      </w:pPr>
      <w:bookmarkStart w:id="1" w:name="title"/>
      <w:r w:rsidRPr="00435520">
        <w:t>Descărcarea de gestiune 2022: Organismul Autorităților Europene de Reglementare în Domeniul Comunicațiilor Electronice (OAREC)</w:t>
      </w:r>
      <w:bookmarkEnd w:id="1"/>
    </w:p>
    <w:p w:rsidR="000F4D68" w:rsidRPr="00435520" w:rsidRDefault="000F4D68" w:rsidP="000F4D68">
      <w:pPr>
        <w:rPr>
          <w:i/>
          <w:vanish/>
        </w:rPr>
      </w:pPr>
      <w:r w:rsidRPr="00435520">
        <w:rPr>
          <w:i/>
        </w:rPr>
        <w:fldChar w:fldCharType="begin"/>
      </w:r>
      <w:r w:rsidRPr="00435520">
        <w:rPr>
          <w:i/>
        </w:rPr>
        <w:instrText xml:space="preserve"> TC"(</w:instrText>
      </w:r>
      <w:bookmarkStart w:id="2" w:name="DocNumber"/>
      <w:r w:rsidRPr="00435520">
        <w:rPr>
          <w:i/>
        </w:rPr>
        <w:instrText>A9-0123/2024</w:instrText>
      </w:r>
      <w:bookmarkEnd w:id="2"/>
      <w:r w:rsidRPr="00435520">
        <w:rPr>
          <w:i/>
        </w:rPr>
        <w:instrText xml:space="preserve"> - Raportor: Petri </w:instrText>
      </w:r>
      <w:proofErr w:type="spellStart"/>
      <w:r w:rsidRPr="00435520">
        <w:rPr>
          <w:i/>
        </w:rPr>
        <w:instrText>Sarvamaa</w:instrText>
      </w:r>
      <w:proofErr w:type="spellEnd"/>
      <w:r w:rsidRPr="00435520">
        <w:rPr>
          <w:i/>
        </w:rPr>
        <w:instrText xml:space="preserve">)"\l3 \n&gt; \* MERGEFORMAT </w:instrText>
      </w:r>
      <w:r w:rsidRPr="00435520">
        <w:rPr>
          <w:i/>
        </w:rPr>
        <w:fldChar w:fldCharType="end"/>
      </w:r>
    </w:p>
    <w:p w:rsidR="000F4D68" w:rsidRPr="00435520" w:rsidRDefault="000F4D68" w:rsidP="000F4D68">
      <w:pPr>
        <w:rPr>
          <w:vanish/>
        </w:rPr>
      </w:pPr>
      <w:bookmarkStart w:id="3" w:name="Commission"/>
      <w:r w:rsidRPr="00435520">
        <w:rPr>
          <w:vanish/>
        </w:rPr>
        <w:t>Comisia pentru control bugetar</w:t>
      </w:r>
      <w:bookmarkEnd w:id="3"/>
    </w:p>
    <w:p w:rsidR="000F4D68" w:rsidRPr="00435520" w:rsidRDefault="000F4D68" w:rsidP="000F4D68">
      <w:pPr>
        <w:rPr>
          <w:vanish/>
        </w:rPr>
      </w:pPr>
      <w:bookmarkStart w:id="4" w:name="PE"/>
      <w:r w:rsidRPr="00435520">
        <w:rPr>
          <w:vanish/>
        </w:rPr>
        <w:t>PE753.507</w:t>
      </w:r>
      <w:bookmarkEnd w:id="4"/>
    </w:p>
    <w:p w:rsidR="000F4D68" w:rsidRPr="00435520" w:rsidRDefault="000F4D68" w:rsidP="00426E8F">
      <w:pPr>
        <w:pStyle w:val="ATHeading3"/>
      </w:pPr>
      <w:bookmarkStart w:id="5" w:name="Sujet"/>
      <w:r w:rsidRPr="00435520">
        <w:t xml:space="preserve">1. Decizia Parlamentului European din 11 aprilie 2024 privind descărcarea de gestiune pentru execuția bugetului Agenției </w:t>
      </w:r>
      <w:bookmarkStart w:id="6" w:name="_GoBack"/>
      <w:bookmarkEnd w:id="6"/>
      <w:r w:rsidRPr="00435520">
        <w:t>de sprijin pentru OAREC (Oficiul OAREC) aferent exercițiului financiar 2022</w:t>
      </w:r>
      <w:bookmarkEnd w:id="5"/>
      <w:r w:rsidRPr="00435520">
        <w:t xml:space="preserve"> </w:t>
      </w:r>
      <w:bookmarkStart w:id="7" w:name="References"/>
      <w:r w:rsidRPr="00435520">
        <w:t>(2023/2141(DEC))</w:t>
      </w:r>
      <w:bookmarkEnd w:id="7"/>
    </w:p>
    <w:p w:rsidR="00D76021" w:rsidRPr="00435520" w:rsidRDefault="00D76021" w:rsidP="00D76021">
      <w:pPr>
        <w:pStyle w:val="EPComma"/>
      </w:pPr>
      <w:bookmarkStart w:id="8" w:name="TextBodyBegin"/>
      <w:bookmarkEnd w:id="8"/>
      <w:r w:rsidRPr="00435520">
        <w:rPr>
          <w:i/>
          <w:iCs/>
        </w:rPr>
        <w:t>Parlamentul European</w:t>
      </w:r>
      <w:r w:rsidRPr="00435520">
        <w:t>,</w:t>
      </w:r>
    </w:p>
    <w:p w:rsidR="00D76021" w:rsidRPr="00435520" w:rsidRDefault="00D76021" w:rsidP="00D76021">
      <w:pPr>
        <w:pStyle w:val="NormalHanging12a"/>
      </w:pPr>
      <w:r w:rsidRPr="00435520">
        <w:t>–</w:t>
      </w:r>
      <w:r w:rsidRPr="00435520">
        <w:tab/>
        <w:t>având în vedere conturile anuale finale ale Agenției de Sprijin pentru OAREC (Oficiul OAREC) pentru exercițiul financiar 2022,</w:t>
      </w:r>
    </w:p>
    <w:p w:rsidR="00D76021" w:rsidRPr="00435520" w:rsidRDefault="00D76021" w:rsidP="00D76021">
      <w:pPr>
        <w:pStyle w:val="NormalHanging12a"/>
      </w:pPr>
      <w:r w:rsidRPr="00435520">
        <w:t>–</w:t>
      </w:r>
      <w:r w:rsidRPr="00435520">
        <w:tab/>
        <w:t>având în vedere Raportul anual al Curții de Conturi privind agențiile UE pentru exercițiul financiar 2022, însoțit de răspunsurile agențiilor</w:t>
      </w:r>
      <w:r w:rsidRPr="00435520">
        <w:rPr>
          <w:rStyle w:val="FootnoteReference"/>
        </w:rPr>
        <w:footnoteReference w:id="1"/>
      </w:r>
      <w:r w:rsidRPr="00435520">
        <w:t>,</w:t>
      </w:r>
    </w:p>
    <w:p w:rsidR="00D76021" w:rsidRPr="00435520" w:rsidRDefault="00D76021" w:rsidP="00D76021">
      <w:pPr>
        <w:pStyle w:val="NormalHanging12a"/>
      </w:pPr>
      <w:r w:rsidRPr="00435520">
        <w:t>–</w:t>
      </w:r>
      <w:r w:rsidRPr="00435520">
        <w:tab/>
        <w:t>având în vedere declarația de asigurare</w:t>
      </w:r>
      <w:r w:rsidRPr="00435520">
        <w:rPr>
          <w:rStyle w:val="FootnoteReference"/>
        </w:rPr>
        <w:footnoteReference w:id="2"/>
      </w:r>
      <w:r w:rsidRPr="00435520">
        <w:t xml:space="preserve"> privind fiabilitatea conturilor și legalitatea și regularitatea operațiunilor subiacente întocmită de Curtea de Conturi pentru exercițiul financiar 2022 în temeiul articolului 287 din Tratatul privind funcționarea Uniunii Europene,</w:t>
      </w:r>
    </w:p>
    <w:p w:rsidR="00D76021" w:rsidRPr="00435520" w:rsidRDefault="00D76021" w:rsidP="00D76021">
      <w:pPr>
        <w:pStyle w:val="NormalHanging12a"/>
      </w:pPr>
      <w:r w:rsidRPr="00435520">
        <w:t>–</w:t>
      </w:r>
      <w:r w:rsidRPr="00435520">
        <w:tab/>
        <w:t>având în vedere Recomandarea Consiliului din 22 februarie 2024 privind descărcarea de gestiune a Agenției în ceea ce privește execuția bugetară pentru exercițiul financiar 2022 (</w:t>
      </w:r>
      <w:r w:rsidR="00F85A8B" w:rsidRPr="00435520">
        <w:t>06180/2024 – C9</w:t>
      </w:r>
      <w:r w:rsidR="00F85A8B" w:rsidRPr="00435520">
        <w:noBreakHyphen/>
        <w:t>0079/2024</w:t>
      </w:r>
      <w:r w:rsidRPr="00435520">
        <w:t>),</w:t>
      </w:r>
    </w:p>
    <w:p w:rsidR="00D76021" w:rsidRPr="00435520" w:rsidRDefault="00D76021" w:rsidP="00D76021">
      <w:pPr>
        <w:pStyle w:val="NormalHanging12a"/>
      </w:pPr>
      <w:r w:rsidRPr="00435520">
        <w:t>–</w:t>
      </w:r>
      <w:r w:rsidRPr="00435520">
        <w:tab/>
        <w:t>având în vedere articolul 319 din Tratatul privind funcționarea Uniunii Europene,</w:t>
      </w:r>
    </w:p>
    <w:p w:rsidR="00D76021" w:rsidRPr="00435520" w:rsidRDefault="00D76021" w:rsidP="00D76021">
      <w:pPr>
        <w:pStyle w:val="NormalHanging12a"/>
      </w:pPr>
      <w:r w:rsidRPr="00435520">
        <w:t>–</w:t>
      </w:r>
      <w:r w:rsidRPr="00435520">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435520">
        <w:rPr>
          <w:rStyle w:val="FootnoteReference"/>
        </w:rPr>
        <w:footnoteReference w:id="3"/>
      </w:r>
      <w:r w:rsidRPr="00435520">
        <w:t>, în special articolul 70,</w:t>
      </w:r>
    </w:p>
    <w:p w:rsidR="00D76021" w:rsidRPr="00435520" w:rsidRDefault="00D76021" w:rsidP="00D76021">
      <w:pPr>
        <w:pStyle w:val="NormalHanging12a"/>
      </w:pPr>
      <w:r w:rsidRPr="00435520">
        <w:lastRenderedPageBreak/>
        <w:t>–</w:t>
      </w:r>
      <w:r w:rsidRPr="00435520">
        <w:tab/>
        <w:t>având în vedere Regulamentul (UE) 2018/1971 al Parlamentului European și al Consiliului din 11 decembrie 2018 de instituire a Organismului Autorităților Europene de Reglementare în Domeniul Comunicațiilor Electronice (OAREC) și a Agenției de sprijin pentru OAREC (Oficiul OAREC) și de modificare a Regulamentului (UE) 2015/2120 și de abrogare a Regulamentului (CE) nr. 1211/2009</w:t>
      </w:r>
      <w:r w:rsidRPr="00435520">
        <w:rPr>
          <w:rStyle w:val="FootnoteReference"/>
        </w:rPr>
        <w:footnoteReference w:id="4"/>
      </w:r>
      <w:r w:rsidRPr="00435520">
        <w:t>, în special articolul 28,</w:t>
      </w:r>
    </w:p>
    <w:p w:rsidR="00D76021" w:rsidRPr="00435520" w:rsidRDefault="00D76021" w:rsidP="00D76021">
      <w:pPr>
        <w:pStyle w:val="NormalHanging12a"/>
      </w:pPr>
      <w:r w:rsidRPr="00435520">
        <w:t>–</w:t>
      </w:r>
      <w:r w:rsidRPr="00435520">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w:t>
      </w:r>
      <w:r w:rsidRPr="00435520">
        <w:rPr>
          <w:rStyle w:val="FootnoteReference"/>
        </w:rPr>
        <w:footnoteReference w:id="5"/>
      </w:r>
      <w:r w:rsidRPr="00435520">
        <w:t>, în special articolul 105,</w:t>
      </w:r>
    </w:p>
    <w:p w:rsidR="00D76021" w:rsidRPr="00435520" w:rsidRDefault="00D76021" w:rsidP="00D76021">
      <w:pPr>
        <w:pStyle w:val="NormalHanging12a"/>
      </w:pPr>
      <w:r w:rsidRPr="00435520">
        <w:t>–</w:t>
      </w:r>
      <w:r w:rsidRPr="00435520">
        <w:tab/>
        <w:t>având în vedere articolul 100 și anexa V la Regulamentul său de procedură,</w:t>
      </w:r>
    </w:p>
    <w:p w:rsidR="00D76021" w:rsidRPr="00435520" w:rsidRDefault="00D76021" w:rsidP="00D76021">
      <w:pPr>
        <w:pStyle w:val="NormalHanging12a"/>
      </w:pPr>
      <w:r w:rsidRPr="00435520">
        <w:t>–</w:t>
      </w:r>
      <w:r w:rsidRPr="00435520">
        <w:tab/>
        <w:t>având în vedere raportul Comisiei pentru control bugetar (A9-0123/2024),</w:t>
      </w:r>
    </w:p>
    <w:p w:rsidR="00D76021" w:rsidRPr="00435520" w:rsidRDefault="00D76021" w:rsidP="00D76021">
      <w:pPr>
        <w:pStyle w:val="NormalHanging12a"/>
      </w:pPr>
      <w:r w:rsidRPr="00435520">
        <w:t>1.</w:t>
      </w:r>
      <w:r w:rsidRPr="00435520">
        <w:tab/>
        <w:t>acordă directorului Agenției de Sprijin pentru OAREC (Oficiul OAREC) descărcarea de gestiune pentru execuția bugetului Agenției aferent exercițiului financiar 2022;</w:t>
      </w:r>
    </w:p>
    <w:p w:rsidR="00D76021" w:rsidRPr="00435520" w:rsidRDefault="00D76021" w:rsidP="00D76021">
      <w:pPr>
        <w:pStyle w:val="NormalHanging12a"/>
      </w:pPr>
      <w:r w:rsidRPr="00435520">
        <w:t>2.</w:t>
      </w:r>
      <w:r w:rsidRPr="00435520">
        <w:tab/>
        <w:t>își prezintă observațiile în cadrul rezoluției de mai jos;</w:t>
      </w:r>
    </w:p>
    <w:p w:rsidR="00D76021" w:rsidRPr="00435520" w:rsidRDefault="00D76021" w:rsidP="00D76021">
      <w:pPr>
        <w:pStyle w:val="NormalHanging12a"/>
      </w:pPr>
      <w:r w:rsidRPr="00435520">
        <w:t>3.</w:t>
      </w:r>
      <w:r w:rsidRPr="00435520">
        <w:tab/>
        <w:t xml:space="preserve">încredințează Președintei sarcina de a transmite prezenta decizie împreună cu rezoluția Parlamentului, ca parte integrantă a acesteia, directorului Agenției de Sprijin pentru OAREC (Oficiul OAREC), Consiliului, Comisiei și Curții de Conturi și de a asigura publicarea acestora în </w:t>
      </w:r>
      <w:r w:rsidRPr="00435520">
        <w:rPr>
          <w:i/>
          <w:iCs/>
        </w:rPr>
        <w:t>Jurnalul Oficial al Uniunii Europene</w:t>
      </w:r>
      <w:r w:rsidRPr="00435520">
        <w:t xml:space="preserve"> (seria L).</w:t>
      </w:r>
    </w:p>
    <w:p w:rsidR="00D76021" w:rsidRPr="00435520" w:rsidRDefault="00D76021" w:rsidP="00D76021"/>
    <w:p w:rsidR="00D76021" w:rsidRPr="00435520" w:rsidRDefault="00D76021" w:rsidP="00D76021">
      <w:pPr>
        <w:pStyle w:val="PageHeading"/>
        <w:sectPr w:rsidR="00D76021" w:rsidRPr="00435520" w:rsidSect="004E3403">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D76021" w:rsidRPr="00435520" w:rsidRDefault="00426E8F" w:rsidP="00426E8F">
      <w:pPr>
        <w:pStyle w:val="ATHeading3"/>
      </w:pPr>
      <w:r w:rsidRPr="00435520">
        <w:lastRenderedPageBreak/>
        <w:t xml:space="preserve">2. Decizia Parlamentului European din 11 aprilie 2024 </w:t>
      </w:r>
      <w:r w:rsidR="00D76021" w:rsidRPr="00435520">
        <w:t>privind închiderea conturilor Agenției de sprijin pentru OAREC (Oficiul OAREC) pentru exercițiul financiar 2022</w:t>
      </w:r>
      <w:r w:rsidRPr="00435520">
        <w:t xml:space="preserve"> </w:t>
      </w:r>
      <w:r w:rsidR="00D76021" w:rsidRPr="00435520">
        <w:t>(2023/2141(DEC))</w:t>
      </w:r>
    </w:p>
    <w:p w:rsidR="00D76021" w:rsidRPr="00435520" w:rsidRDefault="00D76021" w:rsidP="00D76021">
      <w:pPr>
        <w:pStyle w:val="EPComma"/>
      </w:pPr>
      <w:r w:rsidRPr="00435520">
        <w:rPr>
          <w:i/>
          <w:iCs/>
        </w:rPr>
        <w:t>Parlamentul European</w:t>
      </w:r>
      <w:r w:rsidRPr="00435520">
        <w:t>,</w:t>
      </w:r>
    </w:p>
    <w:p w:rsidR="00D76021" w:rsidRPr="00435520" w:rsidRDefault="00D76021" w:rsidP="00D76021">
      <w:pPr>
        <w:pStyle w:val="NormalHanging12a"/>
      </w:pPr>
      <w:r w:rsidRPr="00435520">
        <w:t>–</w:t>
      </w:r>
      <w:r w:rsidRPr="00435520">
        <w:tab/>
        <w:t>având în vedere conturile anuale finale ale Agenției de Sprijin pentru OAREC (Oficiul OAREC) pentru exercițiul financiar 2022,</w:t>
      </w:r>
    </w:p>
    <w:p w:rsidR="00D76021" w:rsidRPr="00435520" w:rsidRDefault="00D76021" w:rsidP="00D76021">
      <w:pPr>
        <w:pStyle w:val="NormalHanging12a"/>
      </w:pPr>
      <w:r w:rsidRPr="00435520">
        <w:t>–</w:t>
      </w:r>
      <w:r w:rsidRPr="00435520">
        <w:tab/>
        <w:t>având în vedere Raportul anual al Curții de Conturi privind agențiile UE pentru exercițiul financiar 2022, însoțit de răspunsurile agențiilor</w:t>
      </w:r>
      <w:r w:rsidRPr="00435520">
        <w:rPr>
          <w:rStyle w:val="FootnoteReference"/>
        </w:rPr>
        <w:footnoteReference w:id="6"/>
      </w:r>
      <w:r w:rsidRPr="00435520">
        <w:t>,</w:t>
      </w:r>
    </w:p>
    <w:p w:rsidR="00D76021" w:rsidRPr="00435520" w:rsidRDefault="00D76021" w:rsidP="00D76021">
      <w:pPr>
        <w:pStyle w:val="NormalHanging12a"/>
      </w:pPr>
      <w:r w:rsidRPr="00435520">
        <w:t>–</w:t>
      </w:r>
      <w:r w:rsidRPr="00435520">
        <w:tab/>
        <w:t>având în vedere declarația de asigurare</w:t>
      </w:r>
      <w:r w:rsidRPr="00435520">
        <w:rPr>
          <w:rStyle w:val="FootnoteReference"/>
        </w:rPr>
        <w:footnoteReference w:id="7"/>
      </w:r>
      <w:r w:rsidRPr="00435520">
        <w:t xml:space="preserve"> privind fiabilitatea conturilor și legalitatea și regularitatea operațiunilor subiacente întocmită de Curtea de Conturi pentru exercițiul financiar 2022 în temeiul articolului 287 din Tratatul privind funcționarea Uniunii Europene,</w:t>
      </w:r>
    </w:p>
    <w:p w:rsidR="00D76021" w:rsidRPr="00435520" w:rsidRDefault="00D76021" w:rsidP="00D76021">
      <w:pPr>
        <w:pStyle w:val="NormalHanging12a"/>
      </w:pPr>
      <w:r w:rsidRPr="00435520">
        <w:t>–</w:t>
      </w:r>
      <w:r w:rsidRPr="00435520">
        <w:tab/>
        <w:t>având în vedere Recomandarea Consiliului din 22 februarie 2024 privind descărcarea de gestiune a Agenției în ceea ce privește execuția bugetară pentru exercițiul financiar 2022 (</w:t>
      </w:r>
      <w:r w:rsidR="00F85A8B" w:rsidRPr="00435520">
        <w:t>06180/2024 – C9</w:t>
      </w:r>
      <w:r w:rsidR="00F85A8B" w:rsidRPr="00435520">
        <w:noBreakHyphen/>
        <w:t>0079/2024</w:t>
      </w:r>
      <w:r w:rsidRPr="00435520">
        <w:t>),</w:t>
      </w:r>
    </w:p>
    <w:p w:rsidR="00D76021" w:rsidRPr="00435520" w:rsidRDefault="00D76021" w:rsidP="00D76021">
      <w:pPr>
        <w:pStyle w:val="NormalHanging12a"/>
      </w:pPr>
      <w:r w:rsidRPr="00435520">
        <w:t>–</w:t>
      </w:r>
      <w:r w:rsidRPr="00435520">
        <w:tab/>
        <w:t>având în vedere articolul 319 din Tratatul privind funcționarea Uniunii Europene,</w:t>
      </w:r>
    </w:p>
    <w:p w:rsidR="00D76021" w:rsidRPr="00435520" w:rsidRDefault="00D76021" w:rsidP="00D76021">
      <w:pPr>
        <w:pStyle w:val="NormalHanging12a"/>
      </w:pPr>
      <w:r w:rsidRPr="00435520">
        <w:t>–</w:t>
      </w:r>
      <w:r w:rsidRPr="00435520">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435520">
        <w:rPr>
          <w:rStyle w:val="FootnoteReference"/>
        </w:rPr>
        <w:footnoteReference w:id="8"/>
      </w:r>
      <w:r w:rsidRPr="00435520">
        <w:t>, în special articolul 70,</w:t>
      </w:r>
    </w:p>
    <w:p w:rsidR="00D76021" w:rsidRPr="00435520" w:rsidRDefault="00D76021" w:rsidP="00D76021">
      <w:pPr>
        <w:pStyle w:val="NormalHanging12a"/>
      </w:pPr>
      <w:r w:rsidRPr="00435520">
        <w:t>–</w:t>
      </w:r>
      <w:r w:rsidRPr="00435520">
        <w:tab/>
        <w:t>având în vedere Regulamentul (UE) 2018/1971 al Parlamentului European și al Consiliului din 11 decembrie 2018 de instituire a Organismului Autorităților Europene de Reglementare în Domeniul Comunicațiilor Electronice (OAREC) și a Agenției de sprijin pentru OAREC (Oficiul OAREC) și de modificare a Regulamentului (UE) 2015/2120 și de abrogare a Regulamentului (CE) nr. 1211/2009</w:t>
      </w:r>
      <w:r w:rsidRPr="00435520">
        <w:rPr>
          <w:rStyle w:val="FootnoteReference"/>
        </w:rPr>
        <w:footnoteReference w:id="9"/>
      </w:r>
      <w:r w:rsidRPr="00435520">
        <w:t>, în special articolul 28,</w:t>
      </w:r>
    </w:p>
    <w:p w:rsidR="00D76021" w:rsidRPr="00435520" w:rsidRDefault="00D76021" w:rsidP="00D76021">
      <w:pPr>
        <w:pStyle w:val="NormalHanging12a"/>
      </w:pPr>
      <w:r w:rsidRPr="00435520">
        <w:t>–</w:t>
      </w:r>
      <w:r w:rsidRPr="00435520">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w:t>
      </w:r>
      <w:r w:rsidRPr="00435520">
        <w:rPr>
          <w:rStyle w:val="FootnoteReference"/>
        </w:rPr>
        <w:footnoteReference w:id="10"/>
      </w:r>
      <w:r w:rsidRPr="00435520">
        <w:t>, în special articolul 105,</w:t>
      </w:r>
    </w:p>
    <w:p w:rsidR="00D76021" w:rsidRPr="00435520" w:rsidRDefault="00D76021" w:rsidP="00D76021">
      <w:pPr>
        <w:pStyle w:val="NormalHanging12a"/>
      </w:pPr>
      <w:r w:rsidRPr="00435520">
        <w:t>–</w:t>
      </w:r>
      <w:r w:rsidRPr="00435520">
        <w:tab/>
        <w:t>având în vedere articolul 100 și anexa V la Regulamentul său de procedură,</w:t>
      </w:r>
    </w:p>
    <w:p w:rsidR="00D76021" w:rsidRPr="00435520" w:rsidRDefault="00D76021" w:rsidP="00D76021">
      <w:pPr>
        <w:pStyle w:val="NormalHanging12a"/>
      </w:pPr>
      <w:r w:rsidRPr="00435520">
        <w:lastRenderedPageBreak/>
        <w:t>–</w:t>
      </w:r>
      <w:r w:rsidRPr="00435520">
        <w:tab/>
        <w:t>având în vedere raportul Comisiei pentru control bugetar (A9-0123/2024),</w:t>
      </w:r>
    </w:p>
    <w:p w:rsidR="00D76021" w:rsidRPr="00435520" w:rsidRDefault="00D76021" w:rsidP="00D76021">
      <w:pPr>
        <w:pStyle w:val="NormalHanging12a"/>
      </w:pPr>
      <w:r w:rsidRPr="00435520">
        <w:t>1.</w:t>
      </w:r>
      <w:r w:rsidRPr="00435520">
        <w:tab/>
        <w:t>aprobă închiderea conturilor Agenției de Sprijin pentru OAREC (Oficiul OAREC) pentru exercițiul financiar 2022;</w:t>
      </w:r>
    </w:p>
    <w:p w:rsidR="00D76021" w:rsidRPr="00435520" w:rsidRDefault="00D76021" w:rsidP="00D76021">
      <w:pPr>
        <w:pStyle w:val="NormalHanging12a"/>
      </w:pPr>
      <w:r w:rsidRPr="00435520">
        <w:t>2.</w:t>
      </w:r>
      <w:r w:rsidRPr="00435520">
        <w:tab/>
        <w:t xml:space="preserve">încredințează Președintei sarcina de a transmite prezenta decizie directorului Agenției de Sprijin pentru OAREC (Oficiul OAREC), Consiliului, Comisiei și Curții de Conturi și de a asigura publicarea acesteia în </w:t>
      </w:r>
      <w:r w:rsidRPr="00435520">
        <w:rPr>
          <w:i/>
          <w:iCs/>
        </w:rPr>
        <w:t>Jurnalul Oficial al Uniunii Europene</w:t>
      </w:r>
      <w:r w:rsidRPr="00435520">
        <w:t xml:space="preserve"> (seria L).</w:t>
      </w:r>
    </w:p>
    <w:p w:rsidR="00D76021" w:rsidRPr="00435520" w:rsidRDefault="00D76021" w:rsidP="00D76021"/>
    <w:p w:rsidR="00D76021" w:rsidRPr="00435520" w:rsidRDefault="00D76021" w:rsidP="00D76021">
      <w:pPr>
        <w:pStyle w:val="PageHeading"/>
        <w:sectPr w:rsidR="00D76021" w:rsidRPr="00435520" w:rsidSect="004E3403">
          <w:footnotePr>
            <w:numRestart w:val="eachPage"/>
          </w:footnotePr>
          <w:endnotePr>
            <w:numFmt w:val="decimal"/>
          </w:endnotePr>
          <w:pgSz w:w="11906" w:h="16838" w:code="9"/>
          <w:pgMar w:top="1134" w:right="1418" w:bottom="1418" w:left="1418" w:header="567" w:footer="567" w:gutter="0"/>
          <w:cols w:space="720"/>
          <w:noEndnote/>
          <w:docGrid w:linePitch="326"/>
        </w:sectPr>
      </w:pPr>
    </w:p>
    <w:p w:rsidR="00D76021" w:rsidRPr="00435520" w:rsidRDefault="00426E8F" w:rsidP="00426E8F">
      <w:pPr>
        <w:pStyle w:val="ATHeading3"/>
      </w:pPr>
      <w:r w:rsidRPr="00435520">
        <w:lastRenderedPageBreak/>
        <w:t xml:space="preserve">3. Rezoluția Parlamentului European din 11 aprilie 2024 </w:t>
      </w:r>
      <w:r w:rsidR="00D76021" w:rsidRPr="00435520">
        <w:t>conținând observațiile care fac parte integrantă din decizia privind descărcarea de gestiune pentru execuția bugetului Agenției de sprijin pentru OAREC (Oficiul OAREC) aferent exercițiului financiar 2022</w:t>
      </w:r>
      <w:r w:rsidRPr="00435520">
        <w:t xml:space="preserve"> </w:t>
      </w:r>
      <w:r w:rsidR="00D76021" w:rsidRPr="00435520">
        <w:t>(2023/2141(DEC))</w:t>
      </w:r>
    </w:p>
    <w:p w:rsidR="00D76021" w:rsidRPr="00435520" w:rsidRDefault="00D76021" w:rsidP="00D76021">
      <w:pPr>
        <w:pStyle w:val="EPComma"/>
      </w:pPr>
      <w:r w:rsidRPr="00435520">
        <w:rPr>
          <w:i/>
          <w:iCs/>
        </w:rPr>
        <w:t>Parlamentul European</w:t>
      </w:r>
      <w:r w:rsidRPr="00435520">
        <w:t>,</w:t>
      </w:r>
    </w:p>
    <w:p w:rsidR="00D76021" w:rsidRPr="00435520" w:rsidRDefault="00D76021" w:rsidP="00D76021">
      <w:pPr>
        <w:pStyle w:val="NormalHanging12a"/>
      </w:pPr>
      <w:r w:rsidRPr="00435520">
        <w:t>–</w:t>
      </w:r>
      <w:r w:rsidRPr="00435520">
        <w:tab/>
        <w:t>având în vedere decizia sa privind descărcarea de gestiune pentru execuția bugetului Agenției de Sprijin pentru OAREC („Agenția”) aferent exercițiului financiar 2022,</w:t>
      </w:r>
    </w:p>
    <w:p w:rsidR="00D76021" w:rsidRPr="00435520" w:rsidRDefault="00D76021" w:rsidP="00D76021">
      <w:pPr>
        <w:pStyle w:val="NormalHanging12a"/>
      </w:pPr>
      <w:r w:rsidRPr="00435520">
        <w:t>–</w:t>
      </w:r>
      <w:r w:rsidRPr="00435520">
        <w:tab/>
        <w:t>având în vedere articolul 100 și anexa V la Regulamentul său de procedură,</w:t>
      </w:r>
    </w:p>
    <w:p w:rsidR="00D76021" w:rsidRPr="00435520" w:rsidRDefault="00D76021" w:rsidP="00D76021">
      <w:pPr>
        <w:pStyle w:val="NormalHanging12a"/>
      </w:pPr>
      <w:r w:rsidRPr="00435520">
        <w:t>–</w:t>
      </w:r>
      <w:r w:rsidRPr="00435520">
        <w:tab/>
        <w:t>având în vedere raportul Comisiei pentru control bugetar (A9-0123/2024),</w:t>
      </w:r>
    </w:p>
    <w:p w:rsidR="00D76021" w:rsidRPr="00435520" w:rsidRDefault="00D76021" w:rsidP="00D76021">
      <w:pPr>
        <w:pStyle w:val="NormalHanging12a"/>
        <w:rPr>
          <w:szCs w:val="24"/>
        </w:rPr>
      </w:pPr>
      <w:r w:rsidRPr="00435520">
        <w:t>A.</w:t>
      </w:r>
      <w:r w:rsidRPr="00435520">
        <w:tab/>
        <w:t>întrucât, potrivit situației veniturilor și cheltuielilor sale</w:t>
      </w:r>
      <w:r w:rsidRPr="00435520">
        <w:rPr>
          <w:rFonts w:eastAsiaTheme="minorHAnsi"/>
          <w:szCs w:val="24"/>
          <w:vertAlign w:val="superscript"/>
          <w:lang w:eastAsia="en-US"/>
        </w:rPr>
        <w:footnoteReference w:id="11"/>
      </w:r>
      <w:r w:rsidRPr="00435520">
        <w:t>, bugetul definitiv adoptat al Agenției pentru exercițiul financiar 2022 a fost de 7 428 456 EUR, ceea ce reprezintă o creștere cu 1,19 % față de bugetul pe 2021; întrucât bugetul Agenției provine în principal de la bugetul Uniunii;</w:t>
      </w:r>
    </w:p>
    <w:p w:rsidR="00D76021" w:rsidRPr="00435520" w:rsidRDefault="00D76021" w:rsidP="00D76021">
      <w:pPr>
        <w:pStyle w:val="NormalHanging12a"/>
        <w:rPr>
          <w:szCs w:val="24"/>
        </w:rPr>
      </w:pPr>
      <w:r w:rsidRPr="00435520">
        <w:t>B.</w:t>
      </w:r>
      <w:r w:rsidRPr="00435520">
        <w:tab/>
        <w:t>întrucât, în raportul său privind conturile anuale ale agenției pentru exercițiul financiar 2022 („raportul Curții”), Curtea de Conturi („Curtea”) declară că a obținut asigurări rezonabile cu privire la fiabilitatea conturilor anuale ale agenției și la legalitatea și regularitatea operațiunilor subiacente;</w:t>
      </w:r>
    </w:p>
    <w:p w:rsidR="00D76021" w:rsidRPr="00435520" w:rsidRDefault="00D76021" w:rsidP="00D76021">
      <w:pPr>
        <w:pStyle w:val="NormalHanging12a"/>
        <w:rPr>
          <w:szCs w:val="24"/>
        </w:rPr>
      </w:pPr>
      <w:r w:rsidRPr="00435520">
        <w:t>C.</w:t>
      </w:r>
      <w:r w:rsidRPr="00435520">
        <w:tab/>
        <w:t>întrucât, în ceea ce privește sectorul achizițiilor publice al Agenției, nu au fost raportate probleme care să necesite acțiuni corective pentru 2022 și nici nu există acțiuni corective în curs sau restante în urma auditurilor și evaluărilor din exercițiile anterioare;</w:t>
      </w:r>
    </w:p>
    <w:p w:rsidR="00D76021" w:rsidRPr="00435520" w:rsidRDefault="00D76021" w:rsidP="00D76021">
      <w:pPr>
        <w:pStyle w:val="NormalHanging12a"/>
        <w:rPr>
          <w:szCs w:val="24"/>
        </w:rPr>
      </w:pPr>
      <w:r w:rsidRPr="00435520">
        <w:t>D.</w:t>
      </w:r>
      <w:r w:rsidRPr="00435520">
        <w:tab/>
        <w:t>întrucât, în ceea ce privește sistemele de control intern ale Agenției, nu au fost raportate probleme care să necesite acțiuni corective pentru 2022 și nici nu există acțiuni corective în curs sau restante în urma auditurilor și evaluărilor din exercițiile anterioare,</w:t>
      </w:r>
    </w:p>
    <w:p w:rsidR="00D76021" w:rsidRPr="00435520" w:rsidRDefault="00D76021" w:rsidP="00D76021">
      <w:pPr>
        <w:pStyle w:val="NormalHanging12a"/>
        <w:tabs>
          <w:tab w:val="left" w:pos="1718"/>
        </w:tabs>
        <w:rPr>
          <w:b/>
          <w:i/>
          <w:szCs w:val="24"/>
        </w:rPr>
      </w:pPr>
      <w:r w:rsidRPr="00435520">
        <w:rPr>
          <w:b/>
          <w:i/>
        </w:rPr>
        <w:t>Gestiunea bugetară și financiară</w:t>
      </w:r>
    </w:p>
    <w:p w:rsidR="00D76021" w:rsidRPr="00435520" w:rsidRDefault="00D76021" w:rsidP="00D76021">
      <w:pPr>
        <w:spacing w:after="240"/>
        <w:ind w:left="567" w:hanging="567"/>
        <w:rPr>
          <w:sz w:val="22"/>
          <w:szCs w:val="22"/>
        </w:rPr>
      </w:pPr>
      <w:r w:rsidRPr="00435520">
        <w:t>1.</w:t>
      </w:r>
      <w:r w:rsidRPr="00435520">
        <w:tab/>
        <w:t>ia act cu satisfacție de faptul că eforturile de monitorizare a bugetului în cursul exercițiului financiar 2022 au condus la o rată de execuție bugetară de 99,99 % pentru creditele de angajament din bugetul final adoptat pentru exercițiul respectiv, ceea ce reprezintă o creștere cu 0,02 % comparativ cu 2021; salută faptul că rata de execuție bugetară se încadrează în pragul de peste 95 % stabilit de consiliul de administrație;</w:t>
      </w:r>
      <w:r w:rsidRPr="00435520">
        <w:rPr>
          <w:sz w:val="22"/>
        </w:rPr>
        <w:t xml:space="preserve"> </w:t>
      </w:r>
      <w:r w:rsidRPr="00435520">
        <w:t>constată că rata de execuție a creditelor de plată pentru anul în curs a fost de 82,78 %, ceea ce reprezintă o creștere de 13,44 % în comparație cu 2021;</w:t>
      </w:r>
    </w:p>
    <w:p w:rsidR="00D76021" w:rsidRPr="00435520" w:rsidRDefault="00D76021" w:rsidP="00D76021">
      <w:pPr>
        <w:pStyle w:val="Normal12Hanging"/>
        <w:rPr>
          <w:b/>
          <w:i/>
          <w:szCs w:val="24"/>
        </w:rPr>
      </w:pPr>
      <w:r w:rsidRPr="00435520">
        <w:rPr>
          <w:b/>
          <w:i/>
        </w:rPr>
        <w:t>Performanță</w:t>
      </w:r>
    </w:p>
    <w:p w:rsidR="00D76021" w:rsidRPr="00435520" w:rsidRDefault="00D76021" w:rsidP="00D76021">
      <w:pPr>
        <w:pStyle w:val="NormalHanging12a"/>
      </w:pPr>
      <w:r w:rsidRPr="00435520">
        <w:t>2.</w:t>
      </w:r>
      <w:r w:rsidRPr="00435520">
        <w:tab/>
        <w:t xml:space="preserve">ia act de faptul că Agenția utilizează indicatori-cheie de performanță (ICP) pentru a evalua rezultatele obținute în ceea ce privește obiectivele sale, inclusiv, printre altele, în ceea ce privește sprijinul acordat grupurilor de lucru, activitățile de comunicare, finanțarea centralizată și achizițiile publice și gestionarea resurselor umane; ia act de faptul că majoritatea obiectivelor au fost îndeplinite, însă recomandă abordarea ICP care rămân neîndepliniți sau înregistrează progrese mai lente decât se preconizase [de </w:t>
      </w:r>
      <w:r w:rsidRPr="00435520">
        <w:lastRenderedPageBreak/>
        <w:t>exemplu, îmbunătățirea procesului de rambursare prin intermediul instrumentului de acces avansat pentru reuniuni (AGM), semnarea contractului în sprijinul dezvoltării „Strategiei în domeniul TIC a OAREC pentru perioada 2022-2025”; recomandă Agenției să ajusteze în mod regulat ICP pentru a-și optimiza performanța;</w:t>
      </w:r>
    </w:p>
    <w:p w:rsidR="00D76021" w:rsidRPr="00435520" w:rsidRDefault="00D76021" w:rsidP="00D76021">
      <w:pPr>
        <w:pStyle w:val="Normal12Hanging"/>
      </w:pPr>
      <w:r w:rsidRPr="00435520">
        <w:t>3.</w:t>
      </w:r>
      <w:r w:rsidRPr="00435520">
        <w:tab/>
        <w:t>salută faptul că Agenția a continuat să ofere sprijin administrativ și profesional de înaltă calitate Consiliului autorităților de reglementare al OAREC, Rețelei de contact a OAREC, informărilor publice, grupurilor de lucru ale OAREC, inclusiv grupurilor de lucru ad-hoc și Grupului consultativ al Oficiului OAREC;</w:t>
      </w:r>
    </w:p>
    <w:p w:rsidR="00D76021" w:rsidRPr="00435520" w:rsidRDefault="00D76021" w:rsidP="00D76021">
      <w:pPr>
        <w:pStyle w:val="NormalHanging12a"/>
      </w:pPr>
      <w:r w:rsidRPr="00435520">
        <w:t>4.</w:t>
      </w:r>
      <w:r w:rsidRPr="00435520">
        <w:tab/>
        <w:t>salută faptul că autoritatea ucraineană de reglementare în domeniul telecomunicațiilor, NCEC, a fost inclusă în Agenție ca membru fără drept de vot;</w:t>
      </w:r>
    </w:p>
    <w:p w:rsidR="00D76021" w:rsidRPr="00435520" w:rsidRDefault="00D76021" w:rsidP="00D76021">
      <w:pPr>
        <w:pStyle w:val="Normal12Hanging"/>
        <w:rPr>
          <w:b/>
          <w:i/>
          <w:szCs w:val="24"/>
        </w:rPr>
      </w:pPr>
      <w:r w:rsidRPr="00435520">
        <w:rPr>
          <w:b/>
          <w:i/>
        </w:rPr>
        <w:t>Eficiența și realizările</w:t>
      </w:r>
    </w:p>
    <w:p w:rsidR="00D76021" w:rsidRPr="00435520" w:rsidRDefault="00D76021" w:rsidP="00D76021">
      <w:pPr>
        <w:pStyle w:val="Normal12Hanging"/>
        <w:rPr>
          <w:szCs w:val="24"/>
        </w:rPr>
      </w:pPr>
      <w:r w:rsidRPr="00435520">
        <w:t>5.</w:t>
      </w:r>
      <w:r w:rsidRPr="00435520">
        <w:tab/>
        <w:t>ia act de faptul că acțiunile pentru realizarea creșterii eficienței în 2022 au vizat următoarele domenii principale: centralizarea anumitor funcții, achizițiile publice, creșterea eficienței obținute prin utilizarea sporită a aplicațiilor informatice ale Comisiei sau introducerea altora noi și utilizarea resurselor externe pentru a compensa lipsa capacității de resurse umane sau pentru sarcini de natură tehnică și auxiliară;</w:t>
      </w:r>
    </w:p>
    <w:p w:rsidR="00D76021" w:rsidRPr="00435520" w:rsidRDefault="00D76021" w:rsidP="00D76021">
      <w:pPr>
        <w:pStyle w:val="Normal12Hanging"/>
        <w:rPr>
          <w:szCs w:val="24"/>
        </w:rPr>
      </w:pPr>
      <w:r w:rsidRPr="00435520">
        <w:t>6.</w:t>
      </w:r>
      <w:r w:rsidRPr="00435520">
        <w:tab/>
        <w:t>ia act de faptul că, în 2022, Agenția a continuat să utilizeze proceduri interinstituționale de achiziții publice și a aderat la șapte proceduri interinstituționale de achiziții publice, ceea ce a dus la încheierea a șase contracte-cadru în cursul perioadei de raportare;</w:t>
      </w:r>
    </w:p>
    <w:p w:rsidR="00D76021" w:rsidRPr="00435520" w:rsidRDefault="00D76021" w:rsidP="00D76021">
      <w:pPr>
        <w:pStyle w:val="Normal12Hanging"/>
        <w:rPr>
          <w:szCs w:val="24"/>
        </w:rPr>
      </w:pPr>
      <w:r w:rsidRPr="00435520">
        <w:t>7.</w:t>
      </w:r>
      <w:r w:rsidRPr="00435520">
        <w:tab/>
        <w:t>salută creșterea eficienței obținută prin utilizarea sau introducerea pe scară mai largă a aplicațiilor informatice suplimentare ale Comisiei; ia act, în special, de faptul că, în 2022, Agenția a urcat pe deplin și a utilizat în mod activ toate modulele de bază Sysper2, de exemplu gestionarea identității, gestionarea organizațiilor, gestionarea datelor cu caracter personal, condițiile de muncă, gestionarea talentelor și gestionarea documentelor și trei din setul opțional de module, de exemplu programul de lucru flexibil, munca la distanță și drepturile individuale;</w:t>
      </w:r>
    </w:p>
    <w:p w:rsidR="00D76021" w:rsidRPr="00435520" w:rsidRDefault="00D76021" w:rsidP="00D76021">
      <w:pPr>
        <w:pStyle w:val="NormalHanging12a"/>
      </w:pPr>
      <w:r w:rsidRPr="00435520">
        <w:t>8.</w:t>
      </w:r>
      <w:r w:rsidRPr="00435520">
        <w:tab/>
        <w:t>ia act de faptul că Agenția funcționează de la înființare fără capacități de resurse umane pentru anumite posturi; ia act de faptul că Agenția compensează unele constrângeri legate de capacitate, acolo unde este posibil, acordă prioritate utilizării serviciilor oferite de Comisie și de alte agenții ale Uniunii ca soluție principală; observă că această abordare include mobilizarea serviciilor furnizate de Oficiul Comisiei de Administrare și Plată a Drepturilor Individuale (PMO) și de echipa de intervenție în caz de urgență informatică pentru instituțiile, organele și agențiile Uniunii (CERT-UE) pentru servicii informatice și de securitate; salută faptul că Agenția are o cooperare foarte reușită cu Oficiul Uniunii Europene pentru Proprietate Intelectuală în domeniul IT, care include găzduire, dezvoltare IT, recuperare în caz de dezastru, dezvoltarea noii concepții a site-ului web al agenției și alte tehnologii informatice;</w:t>
      </w:r>
    </w:p>
    <w:p w:rsidR="00D76021" w:rsidRPr="00435520" w:rsidRDefault="00D76021" w:rsidP="00D76021">
      <w:pPr>
        <w:pStyle w:val="NormalHanging12a"/>
      </w:pPr>
      <w:r w:rsidRPr="00435520">
        <w:t>9.</w:t>
      </w:r>
      <w:r w:rsidRPr="00435520">
        <w:tab/>
        <w:t xml:space="preserve">reamintește că este important să crească nivelul de digitalizare al Agenției în ceea ce privește funcționarea și gestiunea internă, dar și pentru a accelera digitalizarea procedurilor; subliniază că Agenția trebuie să își continue eforturile </w:t>
      </w:r>
      <w:proofErr w:type="spellStart"/>
      <w:r w:rsidRPr="00435520">
        <w:t>proactive</w:t>
      </w:r>
      <w:proofErr w:type="spellEnd"/>
      <w:r w:rsidRPr="00435520">
        <w:t xml:space="preserve"> în această privință, pentru a evita un decalaj digital între agenții; atrage totuși atenția asupra necesității de a lua toate măsurile de securitate necesare pentru a evita orice risc la adresa securității online a informațiilor prelucrate, insistă că trebuie să se acționeze mai ferm împotriva atacurilor cibernetice sau a încercărilor de infiltrare provenite în special </w:t>
      </w:r>
      <w:r w:rsidRPr="00435520">
        <w:lastRenderedPageBreak/>
        <w:t>din Rusia sau China;</w:t>
      </w:r>
    </w:p>
    <w:p w:rsidR="00D76021" w:rsidRPr="00435520" w:rsidRDefault="00D76021" w:rsidP="00D76021">
      <w:pPr>
        <w:pStyle w:val="Normal12Hanging"/>
        <w:rPr>
          <w:b/>
          <w:i/>
          <w:szCs w:val="24"/>
        </w:rPr>
      </w:pPr>
      <w:r w:rsidRPr="00435520">
        <w:rPr>
          <w:b/>
          <w:i/>
        </w:rPr>
        <w:t>Politica de personal</w:t>
      </w:r>
    </w:p>
    <w:p w:rsidR="00D76021" w:rsidRPr="00435520" w:rsidRDefault="00D76021" w:rsidP="00D76021">
      <w:pPr>
        <w:spacing w:after="240"/>
        <w:ind w:left="567" w:hanging="567"/>
        <w:rPr>
          <w:rFonts w:eastAsia="Calibri"/>
          <w:szCs w:val="24"/>
        </w:rPr>
      </w:pPr>
      <w:r w:rsidRPr="00435520">
        <w:t>10.</w:t>
      </w:r>
      <w:r w:rsidRPr="00435520">
        <w:tab/>
        <w:t>observă că la 31 decembrie 2022, organigrama era compusă din 16 agenți temporari autorizați din bugetul Uniunii (același număr de posturi autorizate ca în 2021); constată că în 2022 pentru Agenție au lucrat și 19 agenți contractuali, opt experți naționali detașați și zece consultanți și angajați temporari;</w:t>
      </w:r>
    </w:p>
    <w:p w:rsidR="00D76021" w:rsidRPr="00435520" w:rsidRDefault="00D76021" w:rsidP="00D76021">
      <w:pPr>
        <w:pStyle w:val="NormalHanging12a"/>
      </w:pPr>
      <w:r w:rsidRPr="00435520">
        <w:t>11.</w:t>
      </w:r>
      <w:r w:rsidRPr="00435520">
        <w:tab/>
        <w:t>salută eforturile Agenției de a-și alinia funcționarea la principiile Declarației comune a Parlamentului European, a Consiliului UE și a Comisiei Europene din 19 iulie 2012 privind agențiile descentralizate, inclusiv dimensiunea critică minimă preconizată;</w:t>
      </w:r>
    </w:p>
    <w:p w:rsidR="00D76021" w:rsidRPr="00435520" w:rsidRDefault="00D76021" w:rsidP="00D76021">
      <w:pPr>
        <w:pStyle w:val="NormalHanging12a"/>
      </w:pPr>
      <w:r w:rsidRPr="00435520">
        <w:t>12.</w:t>
      </w:r>
      <w:r w:rsidRPr="00435520">
        <w:tab/>
        <w:t>observă că principala provocare în domeniul politicii privind personalul a fost rata ridicată de rotație a personalului, care în 2022 a crescut până la 16,3 % în comparație cu 4,6 % în 2021 și 5,4 % în 2020; ia act de faptul că creșterea bruscă a rotației personalului a afectat în mod deosebit Unitatea Administrație și Finanțe; ia act de faptul că, pentru a ocupa posturile care au devenit vacante și pentru a asigura personalul cu noi competențe necesare pentru Agenție și pentru administrația sa în 2022, Agenția a lansat proceduri de selecție pentru a ocupa cinci posturi vacante (un agent temporar și patru agenți contractuali) pentru care nu dispunea de liste de rezervă adecvate, în timp ce pentru celelalte trei posturi care au devenit vacante, Agenția a asigurat recrutarea rapidă de pe listele sale de rezervă active; solicită totuși Agenției să analizeze motivele fluctuației ridicate a personalului și să ia măsurile necesare pentru a o evita în viitor și să raporteze rezultatele autorității care acordă descărcarea de gestiune;</w:t>
      </w:r>
    </w:p>
    <w:p w:rsidR="00D76021" w:rsidRPr="00435520" w:rsidRDefault="00D76021" w:rsidP="00D76021">
      <w:pPr>
        <w:spacing w:after="240"/>
        <w:ind w:left="567" w:hanging="567"/>
        <w:rPr>
          <w:rFonts w:eastAsia="Calibri"/>
          <w:szCs w:val="24"/>
        </w:rPr>
      </w:pPr>
      <w:r w:rsidRPr="00435520">
        <w:t>13.</w:t>
      </w:r>
      <w:r w:rsidRPr="00435520">
        <w:tab/>
        <w:t>salută inițiativele Agenției de a îmbunătăți condițiile dintre viața profesională și cea privată a membrilor personalului, inclusiv consiliere juridică pentru chestiuni private, sprijin financiar pentru grădinițe, taxe de școlarizare pentru școlile internaționale, cursuri de limbi străine, bunuri scutite de TVA pentru experții naționali detașați, un program de integrare pentru nou-veniți și asistență pentru membrii familiei care se stabilesc în Letonia, unele în colaborare cu autoritățile letone;</w:t>
      </w:r>
    </w:p>
    <w:p w:rsidR="00D76021" w:rsidRPr="00435520" w:rsidRDefault="00D76021" w:rsidP="00D76021">
      <w:pPr>
        <w:pStyle w:val="NormalHanging12a"/>
      </w:pPr>
      <w:r w:rsidRPr="00435520">
        <w:t>14.</w:t>
      </w:r>
      <w:r w:rsidRPr="00435520">
        <w:tab/>
        <w:t>salută faptul că în 2022, precum și în 2021, echilibrul de gen a fost atins în general în cadrul personalului, cu 52 % femei și 48 % bărbați; insistă asupra intensificării eforturilor de menținere a unui echilibru rezonabil între femei și bărbați în rândul personalului Agenției; ia act de faptul că Agenția are doar trei posturi de conducere de nivel mediu și că s-a obținut, de asemenea, un echilibru de gen acceptabil în posturile de conducere de nivel mediu, cu o femeie și doi bărbați;</w:t>
      </w:r>
    </w:p>
    <w:p w:rsidR="00D76021" w:rsidRPr="00435520" w:rsidRDefault="00D76021" w:rsidP="00D76021">
      <w:pPr>
        <w:pStyle w:val="NormalHanging12a"/>
      </w:pPr>
      <w:r w:rsidRPr="00435520">
        <w:t>15.</w:t>
      </w:r>
      <w:r w:rsidRPr="00435520">
        <w:tab/>
        <w:t>constată că Agenția are o politică de protecție a demnității persoanei și de prevenire a hărțuirii psihologice și sexuale și că Agenția face parte din grupul operativ de consilieri confidențiali existent la nivelul agențiilor; așteaptă cu interes să primească raportul și recomandările acestora; ia act de faptul că nu au fost raportate cazuri de hărțuire în 2022 și încurajează Agenția să dezvolte în continuare activitatea de prevenire a cazurilor și în viitor;</w:t>
      </w:r>
    </w:p>
    <w:p w:rsidR="00D76021" w:rsidRPr="00435520" w:rsidRDefault="00D76021" w:rsidP="00D76021">
      <w:pPr>
        <w:pStyle w:val="NormalHanging12a"/>
      </w:pPr>
      <w:r w:rsidRPr="00435520">
        <w:t>16.</w:t>
      </w:r>
      <w:r w:rsidRPr="00435520">
        <w:tab/>
        <w:t xml:space="preserve">regretă faptul că Agenția nu a adoptat „Carta privind diversitatea și incluziunea”, care urmărește să promoveze egalitatea de tratament și de șanse, indiferent de motive, cum ar fi sexul, rasa, culoarea, originea etnică sau socială, caracteristicile genetice, limba, religia sau convingerile, opiniile politice sau de orice altă natură, apartenența la o minoritate națională, averea, nașterea, handicapul, vârsta sau orientarea sexuală; </w:t>
      </w:r>
      <w:r w:rsidRPr="00435520">
        <w:lastRenderedPageBreak/>
        <w:t>reamintește că unul dintre obiectivele Cartei constă în atingerea obiectivului ca cel puțin 40 % din genul subreprezentat în posturile de conducere de nivel mediu să fie realizate pe termen scurt și mediu; ia act de răspunsul Agenției la chestionarul standardizat privind descărcarea de gestiune; consideră că faptul de a avea un număr impar atât pentru postul de director superior, cât și pentru cel de director mediu nu împiedică adoptarea cartei; încurajează Agenția să adopte carta și să participe activ la inițiative care promovează diversitatea și incluziunea la locul de muncă;</w:t>
      </w:r>
    </w:p>
    <w:p w:rsidR="00D76021" w:rsidRPr="00435520" w:rsidRDefault="00D76021" w:rsidP="00D76021">
      <w:pPr>
        <w:pStyle w:val="NormalHanging12a"/>
      </w:pPr>
      <w:r w:rsidRPr="00435520">
        <w:t>17.</w:t>
      </w:r>
      <w:r w:rsidRPr="00435520">
        <w:tab/>
        <w:t>salută faptul că Agenția își continuă programul de stagii în cursul anului 2022; constată că, în total, 7 stagiari s-au alăturat agenției și 15 stagiari au participat la programul de stagii al Agenției;</w:t>
      </w:r>
    </w:p>
    <w:p w:rsidR="00D76021" w:rsidRPr="00435520" w:rsidRDefault="00D76021" w:rsidP="00D76021">
      <w:pPr>
        <w:spacing w:after="240"/>
        <w:ind w:left="567" w:hanging="567"/>
        <w:rPr>
          <w:rFonts w:eastAsia="Calibri"/>
          <w:b/>
          <w:i/>
          <w:szCs w:val="24"/>
        </w:rPr>
      </w:pPr>
      <w:r w:rsidRPr="00435520">
        <w:rPr>
          <w:b/>
          <w:i/>
        </w:rPr>
        <w:t>Prevenirea și gestionarea conflictelor de interese și transparența</w:t>
      </w:r>
    </w:p>
    <w:p w:rsidR="00D76021" w:rsidRPr="00435520" w:rsidRDefault="00D76021" w:rsidP="00D76021">
      <w:pPr>
        <w:spacing w:after="240"/>
        <w:ind w:left="567" w:hanging="567"/>
        <w:rPr>
          <w:szCs w:val="24"/>
        </w:rPr>
      </w:pPr>
      <w:r w:rsidRPr="00435520">
        <w:t>18.</w:t>
      </w:r>
      <w:r w:rsidRPr="00435520">
        <w:tab/>
        <w:t>constată că agenția publică pe site-ul său CV-urile și declarațiile de conflicte de interese ale membrilor Consiliului de administrație;</w:t>
      </w:r>
    </w:p>
    <w:p w:rsidR="00D76021" w:rsidRPr="00435520" w:rsidRDefault="00D76021" w:rsidP="00D76021">
      <w:pPr>
        <w:spacing w:after="240"/>
        <w:ind w:left="567" w:hanging="567"/>
        <w:rPr>
          <w:szCs w:val="24"/>
        </w:rPr>
      </w:pPr>
      <w:r w:rsidRPr="00435520">
        <w:t>19.</w:t>
      </w:r>
      <w:r w:rsidRPr="00435520">
        <w:tab/>
        <w:t xml:space="preserve">ia act de faptul că, înainte de a-și începe activitatea în cadrul Agenției, personalul statutar, experții naționali detașați, stagiarii și lucrătorii interimari trebuie să depună o declarație de interese, care este apoi revizuită de autoritatea împuternicită să facă numiri sau de director înainte de aprobarea numirii; constată, de asemenea, că personalul trebuie să actualizeze periodic această declarație în timpul angajării pentru a aborda orice situație ad-hoc de conflict de interese și trebuie să informeze în mod </w:t>
      </w:r>
      <w:proofErr w:type="spellStart"/>
      <w:r w:rsidRPr="00435520">
        <w:t>proactiv</w:t>
      </w:r>
      <w:proofErr w:type="spellEnd"/>
      <w:r w:rsidRPr="00435520">
        <w:t xml:space="preserve"> Agenția cu privire la orice activități externe, întreprinderi profesionale în timpul concediului personal, păstrarea cadourilor, angajarea între soți și potențiale conflicte prin publicații sau discursuri; ia act de faptul că, la încetarea raporturilor de muncă, personalul statutar și stagiarii trebuie să își prezinte Agenției viitoarele angajamente profesionale planificate într-un interval de timp specificat după angajare;</w:t>
      </w:r>
    </w:p>
    <w:p w:rsidR="00D76021" w:rsidRPr="00435520" w:rsidRDefault="00D76021" w:rsidP="00D76021">
      <w:pPr>
        <w:spacing w:after="240"/>
        <w:ind w:left="567" w:hanging="567"/>
        <w:rPr>
          <w:szCs w:val="24"/>
        </w:rPr>
      </w:pPr>
      <w:r w:rsidRPr="00435520">
        <w:t>20.</w:t>
      </w:r>
      <w:r w:rsidRPr="00435520">
        <w:tab/>
        <w:t>ia act de faptul că directorul Agenției a adoptat o notă privind gestionarea conflictelor de interese ale membrilor personalului în timpul selecției și recrutării, solicitând declararea oricărei relații profesionale/personale cu solicitanții, indiferent dacă această relație constituie sau nu un conflict de interese; constată, de asemenea, că membrii personalului ar trebui să precizeze, de asemenea, dacă pot sau nu pot menține imparțialitatea; ia act de faptul că, odată ce numele candidaților sunt dezvăluite, membrii comitetului de selecție trebuie să depună o declarație privind conflictele de interese, în conformitate cu nota menționată anterior, precum și cu Orientările privind prevenirea și gestionarea conflictelor de interese în ceea ce privește membrii personalului implicați în procedurile de selecție, recrutare sau reclasificare din cadrul Agenției;</w:t>
      </w:r>
    </w:p>
    <w:p w:rsidR="00D76021" w:rsidRPr="00435520" w:rsidRDefault="00D76021" w:rsidP="00D76021">
      <w:pPr>
        <w:spacing w:after="240"/>
        <w:ind w:left="567" w:hanging="567"/>
        <w:rPr>
          <w:szCs w:val="24"/>
        </w:rPr>
      </w:pPr>
      <w:r w:rsidRPr="00435520">
        <w:t>21.</w:t>
      </w:r>
      <w:r w:rsidRPr="00435520">
        <w:tab/>
        <w:t xml:space="preserve">ia act de faptul că consiliul de administrație a adoptat strategia antifraudă a Agenției pentru perioada 2023-2025, care urmărește să îmbunătățească detectarea, sancționarea și prevenirea fraudei și să contracareze orice alte activități ilegale care i-ar putea afecta interesele financiare; salută faptul că Agenția a desfășurat în producție modulele de etică din </w:t>
      </w:r>
      <w:proofErr w:type="spellStart"/>
      <w:r w:rsidRPr="00435520">
        <w:t>Sysper</w:t>
      </w:r>
      <w:proofErr w:type="spellEnd"/>
      <w:r w:rsidRPr="00435520">
        <w:t>, care acoperă declarația privind conflictul de interese, declarația de cadou sau ospitalitate, declarația de publicare, cererea de autorizare a unei activități externe, cererea de activitate externă în timpul concediului pentru interese personale, declarația de angajare a soțului/soției;</w:t>
      </w:r>
    </w:p>
    <w:p w:rsidR="00D76021" w:rsidRPr="00435520" w:rsidRDefault="00D76021" w:rsidP="00D76021">
      <w:pPr>
        <w:pStyle w:val="NormalHanging12a"/>
      </w:pPr>
      <w:r w:rsidRPr="00435520">
        <w:t>22.</w:t>
      </w:r>
      <w:r w:rsidRPr="00435520">
        <w:tab/>
        <w:t xml:space="preserve">reamintește că este important ca Agenția să dezvolte o mai mare vizibilitate în mass-media, pe internet și pe platformele de comunicare socială pentru a-și face activitatea </w:t>
      </w:r>
      <w:r w:rsidRPr="00435520">
        <w:lastRenderedPageBreak/>
        <w:t>cunoscută cetățenilor;</w:t>
      </w:r>
    </w:p>
    <w:p w:rsidR="00D76021" w:rsidRPr="00435520" w:rsidRDefault="00D76021" w:rsidP="00D76021">
      <w:pPr>
        <w:spacing w:after="240"/>
        <w:ind w:left="567" w:hanging="567"/>
        <w:rPr>
          <w:b/>
          <w:i/>
          <w:szCs w:val="24"/>
        </w:rPr>
      </w:pPr>
      <w:r w:rsidRPr="00435520">
        <w:rPr>
          <w:b/>
          <w:i/>
        </w:rPr>
        <w:t>Alte observații</w:t>
      </w:r>
    </w:p>
    <w:p w:rsidR="00D76021" w:rsidRPr="00435520" w:rsidRDefault="00D76021" w:rsidP="00D76021">
      <w:pPr>
        <w:spacing w:after="240"/>
        <w:ind w:left="567" w:hanging="567"/>
        <w:rPr>
          <w:b/>
          <w:i/>
          <w:szCs w:val="24"/>
        </w:rPr>
      </w:pPr>
      <w:r w:rsidRPr="00435520">
        <w:t>23.</w:t>
      </w:r>
      <w:r w:rsidRPr="00435520">
        <w:tab/>
        <w:t>ia act de faptul că, începând din februarie 2022, Agenția a început să utilizeze instrumentul Comisiei de gestionare a achizițiilor publice de servicii (PPMT), care și-a raționalizat și mai mult procesele de achiziții publice și asigură utilizarea celor mai recente modele și bune practici ale Comisiei în fiecare etapă a procesului;</w:t>
      </w:r>
    </w:p>
    <w:p w:rsidR="00D76021" w:rsidRPr="00435520" w:rsidRDefault="00D76021" w:rsidP="00D76021">
      <w:pPr>
        <w:spacing w:after="240"/>
        <w:ind w:left="567" w:hanging="567"/>
        <w:rPr>
          <w:szCs w:val="24"/>
        </w:rPr>
      </w:pPr>
      <w:r w:rsidRPr="00435520">
        <w:t>24.</w:t>
      </w:r>
      <w:r w:rsidRPr="00435520">
        <w:tab/>
        <w:t>ia act de faptul că, pentru a spori securitatea cibernetică și protecția evidențelor digitale aflate în posesia sa, Agenția utilizează autentificarea bazată pe doi factori, firewall pentru aplicațiile web, copii de rezervă automate, criptarea aplicată (dacă este cazul/posibil) și teste periodice de recuperare a sistemelor critice pentru întreprinderi; constată, de asemenea, că, în plus, Agenția utilizează protecția bazată pe software pentru dispozitivele utilizatorilor finali, cum ar fi laptopurile și telefoanele mobile, precum și pentru serviciile de securitate TIC furnizate de CERT-UE;</w:t>
      </w:r>
    </w:p>
    <w:p w:rsidR="00D76021" w:rsidRPr="00435520" w:rsidRDefault="00D76021" w:rsidP="00D76021">
      <w:pPr>
        <w:pStyle w:val="NormalHanging12a"/>
      </w:pPr>
      <w:r w:rsidRPr="00435520">
        <w:t>25.</w:t>
      </w:r>
      <w:r w:rsidRPr="00435520">
        <w:tab/>
        <w:t>salută eforturile Agenției de a trata cu prioritate noua legislație care stabilește măsuri privind securitatea cibernetică la nivelul instituțiilor, organelor, oficiilor și agențiilor Uniunii; ia act cu îngrijorare de povara potențială disproporționată a reglementării privind securitatea cibernetică asupra agențiilor de dimensiuni mici, cum ar fi Oficiul OAREC, care ar putea pune în pericol conformitatea; invită Comisia să ia în considerare acest lucru în ciclurile de programare din anii următori;</w:t>
      </w:r>
    </w:p>
    <w:p w:rsidR="00D76021" w:rsidRPr="00435520" w:rsidRDefault="00D76021" w:rsidP="00D76021">
      <w:pPr>
        <w:spacing w:after="240"/>
        <w:ind w:left="567" w:hanging="567"/>
        <w:rPr>
          <w:rFonts w:eastAsia="Calibri"/>
          <w:szCs w:val="24"/>
        </w:rPr>
      </w:pPr>
      <w:r w:rsidRPr="00435520">
        <w:t>26.</w:t>
      </w:r>
      <w:r w:rsidRPr="00435520">
        <w:tab/>
        <w:t>salută faptul că consiliul de administrație al Agenției a instituit certificarea EMAS ca obiectiv pentru următorii 3 ani; este conștient de faptul că Agenția a început pregătirea internă pentru certificare, care include actualizări suplimentare privind calculul amprentei de carbon a agenției, participarea la exercițiul de înfrățire al Rețelei agențiilor UE pentru înverzire și altele;</w:t>
      </w:r>
    </w:p>
    <w:p w:rsidR="00D76021" w:rsidRPr="00435520" w:rsidRDefault="00D76021" w:rsidP="00D76021">
      <w:pPr>
        <w:pStyle w:val="NormalHanging12a"/>
      </w:pPr>
      <w:r w:rsidRPr="00435520">
        <w:t>27.</w:t>
      </w:r>
      <w:r w:rsidRPr="00435520">
        <w:tab/>
        <w:t>salută cu satisfacție participarea autorității naționale de reglementare ucrainene la operațiunile zilnice ale Agenției; salută Agenția și membrii săi pentru instituirea unui cadru de colaborare care să abordeze provocările în materie de conectivitate și să pregătească terenul pentru armonizarea reglementărilor ucrainene privind comunicațiile electronice cu cadrul european în domeniul telecomunicațiilor; apreciază, de asemenea, că, pe baza datelor colectate de agenție de la operatorii din Uniune și din Ucraina cu privire la măsurile de comercializare cu amănuntul aplicate, s-a convenit asupra unei declarații comune, care a instituit un cadru stabil pentru a ajuta persoanele care fug din calea războiului din Ucraina să rămână în legătură cu familiile și prietenii lor acasă și să mențină accesul la informații;</w:t>
      </w:r>
    </w:p>
    <w:p w:rsidR="00D76021" w:rsidRPr="00435520" w:rsidRDefault="00D76021" w:rsidP="00D76021">
      <w:pPr>
        <w:pStyle w:val="NormalHanging12a"/>
      </w:pPr>
      <w:r w:rsidRPr="00435520">
        <w:t>28.</w:t>
      </w:r>
      <w:r w:rsidRPr="00435520">
        <w:tab/>
        <w:t xml:space="preserve">salută eforturile depuse de Agenție în 2022 pentru a crește gradul de sensibilizare a publicului cu privire la mandatul și activitatea sa în Letonia prin inițiative de comunicare la scară mică, cum ar fi, de exemplu, găzduirea unei vizite a studenților din cadrul Universității </w:t>
      </w:r>
      <w:proofErr w:type="spellStart"/>
      <w:r w:rsidRPr="00435520">
        <w:t>Stradiņš</w:t>
      </w:r>
      <w:proofErr w:type="spellEnd"/>
      <w:r w:rsidRPr="00435520">
        <w:t xml:space="preserve"> din Riga, promovarea unui parteneriat care să le îmbunătățească înțelegerea agențiilor UE, în special în Letonia, participarea la evenimentul transmis în direct pentru a sărbători Ziua Europei în Letonia, organizată de Reprezentanța Comisiei Europene în această țară, precum și la alte evenimente; invită Agenția să continue eforturile de a-și crește vizibilitatea, în special în statul membru gazdă;</w:t>
      </w:r>
    </w:p>
    <w:p w:rsidR="00D76021" w:rsidRPr="00435520" w:rsidRDefault="00D76021" w:rsidP="00D76021">
      <w:pPr>
        <w:pStyle w:val="NormalHanging12a"/>
      </w:pPr>
      <w:r w:rsidRPr="00435520">
        <w:t>29.</w:t>
      </w:r>
      <w:r w:rsidRPr="00435520">
        <w:tab/>
        <w:t xml:space="preserve">salută faptul că birourile locale ale Parlamentului și ale Comisiei de la Riga și ale </w:t>
      </w:r>
      <w:r w:rsidRPr="00435520">
        <w:lastRenderedPageBreak/>
        <w:t>Agenției și-au unit eforturile pentru a lucra împreună pentru a înființa o Casă comună a Europei, care va fi „casa” tuturor instituțiilor Uniunii și a Agenției din Letonia;</w:t>
      </w:r>
    </w:p>
    <w:p w:rsidR="00D76021" w:rsidRPr="00435520" w:rsidRDefault="00D76021" w:rsidP="00D76021">
      <w:pPr>
        <w:pStyle w:val="NormalCenter12a"/>
      </w:pPr>
      <w:r w:rsidRPr="00435520">
        <w:t>°</w:t>
      </w:r>
    </w:p>
    <w:p w:rsidR="00D76021" w:rsidRPr="00435520" w:rsidRDefault="00D76021" w:rsidP="00D76021">
      <w:pPr>
        <w:pStyle w:val="NormalCenter12a"/>
      </w:pPr>
      <w:r w:rsidRPr="00435520">
        <w:t>°</w:t>
      </w:r>
      <w:r w:rsidRPr="00435520">
        <w:tab/>
        <w:t>°</w:t>
      </w:r>
    </w:p>
    <w:p w:rsidR="00D76021" w:rsidRPr="00435520" w:rsidRDefault="00D76021" w:rsidP="00D76021">
      <w:pPr>
        <w:pStyle w:val="NormalHanging12a"/>
      </w:pPr>
      <w:r w:rsidRPr="00435520">
        <w:t>30.</w:t>
      </w:r>
      <w:r w:rsidRPr="00435520">
        <w:tab/>
        <w:t xml:space="preserve">face trimitere, pentru alte observații cu caracter orizontal care însoțesc decizia privind descărcarea de gestiune, la rezoluția sa din </w:t>
      </w:r>
      <w:r w:rsidR="00F85A8B" w:rsidRPr="00435520">
        <w:t>11 aprilie 2024</w:t>
      </w:r>
      <w:r w:rsidRPr="00435520">
        <w:rPr>
          <w:vertAlign w:val="superscript"/>
        </w:rPr>
        <w:footnoteReference w:id="12"/>
      </w:r>
      <w:r w:rsidRPr="00435520">
        <w:t xml:space="preserve"> referitoare la performanțele, gestiunea financiară și controlul agențiilor.</w:t>
      </w:r>
    </w:p>
    <w:p w:rsidR="00F85A8B" w:rsidRPr="00435520" w:rsidRDefault="00F85A8B" w:rsidP="00D76021">
      <w:pPr>
        <w:pStyle w:val="NormalHanging12a"/>
      </w:pPr>
    </w:p>
    <w:sectPr w:rsidR="00F85A8B" w:rsidRPr="00435520" w:rsidSect="00F85A8B">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4D68" w:rsidRPr="004E3403" w:rsidRDefault="000F4D68">
      <w:r w:rsidRPr="004E3403">
        <w:separator/>
      </w:r>
    </w:p>
  </w:endnote>
  <w:endnote w:type="continuationSeparator" w:id="0">
    <w:p w:rsidR="000F4D68" w:rsidRPr="004E3403" w:rsidRDefault="000F4D68">
      <w:r w:rsidRPr="004E340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6021" w:rsidRPr="004E3403" w:rsidRDefault="00D76021" w:rsidP="00640C3F">
    <w:pPr>
      <w:pStyle w:val="EPFooter"/>
    </w:pPr>
    <w:r w:rsidRPr="004E3403">
      <w:t>PE</w:t>
    </w:r>
    <w:r w:rsidRPr="004E3403">
      <w:rPr>
        <w:rStyle w:val="HideTWBExt"/>
      </w:rPr>
      <w:t>&lt;</w:t>
    </w:r>
    <w:proofErr w:type="spellStart"/>
    <w:r w:rsidRPr="004E3403">
      <w:rPr>
        <w:rStyle w:val="HideTWBExt"/>
      </w:rPr>
      <w:t>NoPE</w:t>
    </w:r>
    <w:proofErr w:type="spellEnd"/>
    <w:r w:rsidRPr="004E3403">
      <w:rPr>
        <w:rStyle w:val="HideTWBExt"/>
      </w:rPr>
      <w:t>&gt;</w:t>
    </w:r>
    <w:r w:rsidRPr="004E3403">
      <w:t>753.507</w:t>
    </w:r>
    <w:r w:rsidRPr="004E3403">
      <w:rPr>
        <w:rStyle w:val="HideTWBExt"/>
      </w:rPr>
      <w:t>&lt;/</w:t>
    </w:r>
    <w:proofErr w:type="spellStart"/>
    <w:r w:rsidRPr="004E3403">
      <w:rPr>
        <w:rStyle w:val="HideTWBExt"/>
      </w:rPr>
      <w:t>NoPE</w:t>
    </w:r>
    <w:proofErr w:type="spellEnd"/>
    <w:r w:rsidRPr="004E3403">
      <w:rPr>
        <w:rStyle w:val="HideTWBExt"/>
      </w:rPr>
      <w:t>&gt;&lt;Version&gt;</w:t>
    </w:r>
    <w:r w:rsidRPr="004E3403">
      <w:t>v02-00</w:t>
    </w:r>
    <w:r w:rsidRPr="004E3403">
      <w:rPr>
        <w:rStyle w:val="HideTWBExt"/>
      </w:rPr>
      <w:t>&lt;/</w:t>
    </w:r>
    <w:proofErr w:type="spellStart"/>
    <w:r w:rsidRPr="004E3403">
      <w:rPr>
        <w:rStyle w:val="HideTWBExt"/>
      </w:rPr>
      <w:t>Version</w:t>
    </w:r>
    <w:proofErr w:type="spellEnd"/>
    <w:r w:rsidRPr="004E3403">
      <w:rPr>
        <w:rStyle w:val="HideTWBExt"/>
      </w:rPr>
      <w:t>&gt;</w:t>
    </w:r>
    <w:r w:rsidRPr="004E3403">
      <w:tab/>
    </w:r>
    <w:r w:rsidRPr="004E3403">
      <w:fldChar w:fldCharType="begin"/>
    </w:r>
    <w:r w:rsidRPr="004E3403">
      <w:instrText xml:space="preserve"> PAGE  \* MERGEFORMAT </w:instrText>
    </w:r>
    <w:r w:rsidRPr="004E3403">
      <w:fldChar w:fldCharType="separate"/>
    </w:r>
    <w:r w:rsidR="004E3403" w:rsidRPr="004E3403">
      <w:rPr>
        <w:noProof/>
      </w:rPr>
      <w:t>2</w:t>
    </w:r>
    <w:r w:rsidRPr="004E3403">
      <w:fldChar w:fldCharType="end"/>
    </w:r>
    <w:r w:rsidRPr="004E3403">
      <w:t>/</w:t>
    </w:r>
    <w:r w:rsidR="00435520">
      <w:fldChar w:fldCharType="begin"/>
    </w:r>
    <w:r w:rsidR="00435520">
      <w:instrText xml:space="preserve"> NUMPAGES  \* MERGEFORMAT </w:instrText>
    </w:r>
    <w:r w:rsidR="00435520">
      <w:fldChar w:fldCharType="separate"/>
    </w:r>
    <w:r w:rsidR="004E3403" w:rsidRPr="004E3403">
      <w:rPr>
        <w:noProof/>
      </w:rPr>
      <w:t>5</w:t>
    </w:r>
    <w:r w:rsidR="00435520">
      <w:rPr>
        <w:noProof/>
      </w:rPr>
      <w:fldChar w:fldCharType="end"/>
    </w:r>
    <w:r w:rsidRPr="004E3403">
      <w:tab/>
    </w:r>
    <w:r w:rsidRPr="004E3403">
      <w:rPr>
        <w:rStyle w:val="HideTWBExt"/>
      </w:rPr>
      <w:t>&lt;PathFdR&gt;</w:t>
    </w:r>
    <w:r w:rsidRPr="004E3403">
      <w:t>RR\1299071RO.docx</w:t>
    </w:r>
    <w:r w:rsidRPr="004E3403">
      <w:rPr>
        <w:rStyle w:val="HideTWBExt"/>
      </w:rPr>
      <w:t>&lt;/</w:t>
    </w:r>
    <w:proofErr w:type="spellStart"/>
    <w:r w:rsidRPr="004E3403">
      <w:rPr>
        <w:rStyle w:val="HideTWBExt"/>
      </w:rPr>
      <w:t>PathFdR</w:t>
    </w:r>
    <w:proofErr w:type="spellEnd"/>
    <w:r w:rsidRPr="004E3403">
      <w:rPr>
        <w:rStyle w:val="HideTWBExt"/>
      </w:rPr>
      <w:t>&gt;</w:t>
    </w:r>
  </w:p>
  <w:p w:rsidR="00D76021" w:rsidRPr="004E3403" w:rsidRDefault="00D76021" w:rsidP="00640C3F">
    <w:pPr>
      <w:pStyle w:val="EPFooter2"/>
    </w:pPr>
    <w:r w:rsidRPr="004E3403">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6021" w:rsidRPr="004E3403" w:rsidRDefault="00D76021" w:rsidP="00640C3F">
    <w:pPr>
      <w:pStyle w:val="EPFooter"/>
    </w:pPr>
    <w:r w:rsidRPr="004E3403">
      <w:rPr>
        <w:rStyle w:val="HideTWBExt"/>
      </w:rPr>
      <w:t>&lt;PathFdR&gt;</w:t>
    </w:r>
    <w:r w:rsidRPr="004E3403">
      <w:t>RR\1299071RO.docx</w:t>
    </w:r>
    <w:r w:rsidRPr="004E3403">
      <w:rPr>
        <w:rStyle w:val="HideTWBExt"/>
      </w:rPr>
      <w:t>&lt;/</w:t>
    </w:r>
    <w:proofErr w:type="spellStart"/>
    <w:r w:rsidRPr="004E3403">
      <w:rPr>
        <w:rStyle w:val="HideTWBExt"/>
      </w:rPr>
      <w:t>PathFdR</w:t>
    </w:r>
    <w:proofErr w:type="spellEnd"/>
    <w:r w:rsidRPr="004E3403">
      <w:rPr>
        <w:rStyle w:val="HideTWBExt"/>
      </w:rPr>
      <w:t>&gt;</w:t>
    </w:r>
    <w:r w:rsidRPr="004E3403">
      <w:tab/>
    </w:r>
    <w:r w:rsidRPr="004E3403">
      <w:tab/>
      <w:t>PE</w:t>
    </w:r>
    <w:r w:rsidRPr="004E3403">
      <w:rPr>
        <w:rStyle w:val="HideTWBExt"/>
      </w:rPr>
      <w:t>&lt;</w:t>
    </w:r>
    <w:proofErr w:type="spellStart"/>
    <w:r w:rsidRPr="004E3403">
      <w:rPr>
        <w:rStyle w:val="HideTWBExt"/>
      </w:rPr>
      <w:t>NoPE</w:t>
    </w:r>
    <w:proofErr w:type="spellEnd"/>
    <w:r w:rsidRPr="004E3403">
      <w:rPr>
        <w:rStyle w:val="HideTWBExt"/>
      </w:rPr>
      <w:t>&gt;</w:t>
    </w:r>
    <w:r w:rsidRPr="004E3403">
      <w:t>753.507</w:t>
    </w:r>
    <w:r w:rsidRPr="004E3403">
      <w:rPr>
        <w:rStyle w:val="HideTWBExt"/>
      </w:rPr>
      <w:t>&lt;/</w:t>
    </w:r>
    <w:proofErr w:type="spellStart"/>
    <w:r w:rsidRPr="004E3403">
      <w:rPr>
        <w:rStyle w:val="HideTWBExt"/>
      </w:rPr>
      <w:t>NoPE</w:t>
    </w:r>
    <w:proofErr w:type="spellEnd"/>
    <w:r w:rsidRPr="004E3403">
      <w:rPr>
        <w:rStyle w:val="HideTWBExt"/>
      </w:rPr>
      <w:t>&gt;&lt;Version&gt;</w:t>
    </w:r>
    <w:r w:rsidRPr="004E3403">
      <w:t>v02-00</w:t>
    </w:r>
    <w:r w:rsidRPr="004E3403">
      <w:rPr>
        <w:rStyle w:val="HideTWBExt"/>
      </w:rPr>
      <w:t>&lt;/</w:t>
    </w:r>
    <w:proofErr w:type="spellStart"/>
    <w:r w:rsidRPr="004E3403">
      <w:rPr>
        <w:rStyle w:val="HideTWBExt"/>
      </w:rPr>
      <w:t>Version</w:t>
    </w:r>
    <w:proofErr w:type="spellEnd"/>
    <w:r w:rsidRPr="004E3403">
      <w:rPr>
        <w:rStyle w:val="HideTWBExt"/>
      </w:rPr>
      <w:t>&gt;</w:t>
    </w:r>
  </w:p>
  <w:p w:rsidR="00D76021" w:rsidRPr="004E3403" w:rsidRDefault="00D76021" w:rsidP="00640C3F">
    <w:pPr>
      <w:pStyle w:val="EPFooter2"/>
    </w:pPr>
    <w:r w:rsidRPr="004E3403">
      <w:t>RO</w:t>
    </w:r>
    <w:r w:rsidRPr="004E3403">
      <w:tab/>
    </w:r>
    <w:r w:rsidRPr="004E3403">
      <w:rPr>
        <w:b w:val="0"/>
        <w:i/>
        <w:color w:val="C0C0C0"/>
        <w:sz w:val="22"/>
      </w:rPr>
      <w:t>Unită în diversitate</w:t>
    </w:r>
    <w:r w:rsidRPr="004E3403">
      <w:tab/>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E3403"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E3403"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E340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4D68" w:rsidRPr="004E3403" w:rsidRDefault="000F4D68">
      <w:r w:rsidRPr="004E3403">
        <w:separator/>
      </w:r>
    </w:p>
  </w:footnote>
  <w:footnote w:type="continuationSeparator" w:id="0">
    <w:p w:rsidR="000F4D68" w:rsidRPr="004E3403" w:rsidRDefault="000F4D68">
      <w:r w:rsidRPr="004E3403">
        <w:continuationSeparator/>
      </w:r>
    </w:p>
  </w:footnote>
  <w:footnote w:id="1">
    <w:p w:rsidR="00D76021" w:rsidRPr="00435520" w:rsidRDefault="00D76021" w:rsidP="004E3403">
      <w:pPr>
        <w:pStyle w:val="FootnoteText"/>
        <w:ind w:left="567" w:hanging="567"/>
        <w:rPr>
          <w:sz w:val="24"/>
          <w:lang w:val="ro-RO"/>
        </w:rPr>
      </w:pPr>
      <w:r w:rsidRPr="00435520">
        <w:rPr>
          <w:rStyle w:val="FootnoteReference"/>
          <w:sz w:val="24"/>
          <w:lang w:val="ro-RO"/>
        </w:rPr>
        <w:footnoteRef/>
      </w:r>
      <w:r w:rsidR="004E3403" w:rsidRPr="00435520">
        <w:rPr>
          <w:sz w:val="24"/>
          <w:lang w:val="ro-RO"/>
        </w:rPr>
        <w:t xml:space="preserve"> </w:t>
      </w:r>
      <w:r w:rsidR="004E3403" w:rsidRPr="00435520">
        <w:rPr>
          <w:sz w:val="24"/>
          <w:lang w:val="ro-RO"/>
        </w:rPr>
        <w:tab/>
      </w:r>
      <w:r w:rsidRPr="00435520">
        <w:rPr>
          <w:sz w:val="24"/>
          <w:lang w:val="ro-RO"/>
        </w:rPr>
        <w:t>JO C, C/2023/594, 27.10.2023.</w:t>
      </w:r>
    </w:p>
  </w:footnote>
  <w:footnote w:id="2">
    <w:p w:rsidR="00D76021" w:rsidRPr="00435520" w:rsidRDefault="00D76021" w:rsidP="004E3403">
      <w:pPr>
        <w:pStyle w:val="FootnoteText"/>
        <w:ind w:left="567" w:hanging="567"/>
        <w:rPr>
          <w:sz w:val="24"/>
          <w:lang w:val="ro-RO"/>
        </w:rPr>
      </w:pPr>
      <w:r w:rsidRPr="00435520">
        <w:rPr>
          <w:rStyle w:val="FootnoteReference"/>
          <w:sz w:val="24"/>
          <w:lang w:val="ro-RO"/>
        </w:rPr>
        <w:footnoteRef/>
      </w:r>
      <w:r w:rsidR="004E3403" w:rsidRPr="00435520">
        <w:rPr>
          <w:sz w:val="24"/>
          <w:lang w:val="ro-RO"/>
        </w:rPr>
        <w:t xml:space="preserve"> </w:t>
      </w:r>
      <w:r w:rsidR="004E3403" w:rsidRPr="00435520">
        <w:rPr>
          <w:sz w:val="24"/>
          <w:lang w:val="ro-RO"/>
        </w:rPr>
        <w:tab/>
      </w:r>
      <w:r w:rsidRPr="00435520">
        <w:rPr>
          <w:sz w:val="24"/>
          <w:lang w:val="ro-RO"/>
        </w:rPr>
        <w:t>JO C, C/2023/112, 12.10.2023.</w:t>
      </w:r>
    </w:p>
  </w:footnote>
  <w:footnote w:id="3">
    <w:p w:rsidR="00D76021" w:rsidRPr="00435520" w:rsidRDefault="00D76021" w:rsidP="004E3403">
      <w:pPr>
        <w:pStyle w:val="FootnoteText"/>
        <w:ind w:left="567" w:hanging="567"/>
        <w:rPr>
          <w:sz w:val="24"/>
          <w:lang w:val="ro-RO"/>
        </w:rPr>
      </w:pPr>
      <w:r w:rsidRPr="00435520">
        <w:rPr>
          <w:rStyle w:val="FootnoteReference"/>
          <w:sz w:val="24"/>
          <w:lang w:val="ro-RO"/>
        </w:rPr>
        <w:footnoteRef/>
      </w:r>
      <w:r w:rsidR="004E3403" w:rsidRPr="00435520">
        <w:rPr>
          <w:sz w:val="24"/>
          <w:lang w:val="ro-RO"/>
        </w:rPr>
        <w:t xml:space="preserve"> </w:t>
      </w:r>
      <w:r w:rsidR="004E3403" w:rsidRPr="00435520">
        <w:rPr>
          <w:sz w:val="24"/>
          <w:lang w:val="ro-RO"/>
        </w:rPr>
        <w:tab/>
      </w:r>
      <w:r w:rsidRPr="00435520">
        <w:rPr>
          <w:sz w:val="24"/>
          <w:lang w:val="ro-RO"/>
        </w:rPr>
        <w:t>JO L 193, 30.7.2018, p. 1.</w:t>
      </w:r>
    </w:p>
  </w:footnote>
  <w:footnote w:id="4">
    <w:p w:rsidR="00D76021" w:rsidRPr="00435520" w:rsidRDefault="00D76021" w:rsidP="004E3403">
      <w:pPr>
        <w:pStyle w:val="FootnoteText"/>
        <w:ind w:left="567" w:hanging="567"/>
        <w:rPr>
          <w:sz w:val="24"/>
          <w:szCs w:val="24"/>
          <w:lang w:val="ro-RO"/>
        </w:rPr>
      </w:pPr>
      <w:r w:rsidRPr="00435520">
        <w:rPr>
          <w:rStyle w:val="FootnoteReference"/>
          <w:sz w:val="24"/>
          <w:lang w:val="ro-RO"/>
        </w:rPr>
        <w:footnoteRef/>
      </w:r>
      <w:r w:rsidR="004E3403" w:rsidRPr="00435520">
        <w:rPr>
          <w:sz w:val="24"/>
          <w:lang w:val="ro-RO"/>
        </w:rPr>
        <w:t xml:space="preserve"> </w:t>
      </w:r>
      <w:r w:rsidR="004E3403" w:rsidRPr="00435520">
        <w:rPr>
          <w:sz w:val="24"/>
          <w:lang w:val="ro-RO"/>
        </w:rPr>
        <w:tab/>
      </w:r>
      <w:r w:rsidRPr="00435520">
        <w:rPr>
          <w:sz w:val="24"/>
          <w:lang w:val="ro-RO"/>
        </w:rPr>
        <w:t>JO L 321, 17.12.2018, p. 1.</w:t>
      </w:r>
    </w:p>
  </w:footnote>
  <w:footnote w:id="5">
    <w:p w:rsidR="00D76021" w:rsidRPr="00435520" w:rsidRDefault="00D76021" w:rsidP="004E3403">
      <w:pPr>
        <w:pStyle w:val="FootnoteText"/>
        <w:ind w:left="567" w:hanging="567"/>
        <w:rPr>
          <w:sz w:val="24"/>
          <w:lang w:val="ro-RO"/>
        </w:rPr>
      </w:pPr>
      <w:r w:rsidRPr="00435520">
        <w:rPr>
          <w:rStyle w:val="FootnoteReference"/>
          <w:sz w:val="24"/>
          <w:lang w:val="ro-RO"/>
        </w:rPr>
        <w:footnoteRef/>
      </w:r>
      <w:r w:rsidR="004E3403" w:rsidRPr="00435520">
        <w:rPr>
          <w:sz w:val="24"/>
          <w:lang w:val="ro-RO"/>
        </w:rPr>
        <w:t xml:space="preserve"> </w:t>
      </w:r>
      <w:r w:rsidR="004E3403" w:rsidRPr="00435520">
        <w:rPr>
          <w:sz w:val="24"/>
          <w:lang w:val="ro-RO"/>
        </w:rPr>
        <w:tab/>
      </w:r>
      <w:r w:rsidRPr="00435520">
        <w:rPr>
          <w:sz w:val="24"/>
          <w:lang w:val="ro-RO"/>
        </w:rPr>
        <w:t>JO L 122, 10.5.2019, p. 1.</w:t>
      </w:r>
    </w:p>
  </w:footnote>
  <w:footnote w:id="6">
    <w:p w:rsidR="00D76021" w:rsidRPr="00435520" w:rsidRDefault="00D76021" w:rsidP="004E3403">
      <w:pPr>
        <w:pStyle w:val="FootnoteText"/>
        <w:ind w:left="567" w:hanging="567"/>
        <w:rPr>
          <w:sz w:val="24"/>
          <w:lang w:val="ro-RO"/>
        </w:rPr>
      </w:pPr>
      <w:r w:rsidRPr="00435520">
        <w:rPr>
          <w:rStyle w:val="FootnoteReference"/>
          <w:sz w:val="24"/>
          <w:lang w:val="ro-RO"/>
        </w:rPr>
        <w:footnoteRef/>
      </w:r>
      <w:r w:rsidR="004E3403" w:rsidRPr="00435520">
        <w:rPr>
          <w:sz w:val="24"/>
          <w:lang w:val="ro-RO"/>
        </w:rPr>
        <w:t xml:space="preserve"> </w:t>
      </w:r>
      <w:r w:rsidR="004E3403" w:rsidRPr="00435520">
        <w:rPr>
          <w:sz w:val="24"/>
          <w:lang w:val="ro-RO"/>
        </w:rPr>
        <w:tab/>
      </w:r>
      <w:r w:rsidRPr="00435520">
        <w:rPr>
          <w:sz w:val="24"/>
          <w:lang w:val="ro-RO"/>
        </w:rPr>
        <w:t>JO C, C/2023/594, 27.10.2023.</w:t>
      </w:r>
    </w:p>
  </w:footnote>
  <w:footnote w:id="7">
    <w:p w:rsidR="00D76021" w:rsidRPr="00435520" w:rsidRDefault="00D76021" w:rsidP="004E3403">
      <w:pPr>
        <w:pStyle w:val="FootnoteText"/>
        <w:ind w:left="567" w:hanging="567"/>
        <w:rPr>
          <w:sz w:val="24"/>
          <w:lang w:val="ro-RO"/>
        </w:rPr>
      </w:pPr>
      <w:r w:rsidRPr="00435520">
        <w:rPr>
          <w:rStyle w:val="FootnoteReference"/>
          <w:sz w:val="24"/>
          <w:lang w:val="ro-RO"/>
        </w:rPr>
        <w:footnoteRef/>
      </w:r>
      <w:r w:rsidR="004E3403" w:rsidRPr="00435520">
        <w:rPr>
          <w:sz w:val="24"/>
          <w:lang w:val="ro-RO"/>
        </w:rPr>
        <w:t xml:space="preserve"> </w:t>
      </w:r>
      <w:r w:rsidR="004E3403" w:rsidRPr="00435520">
        <w:rPr>
          <w:sz w:val="24"/>
          <w:lang w:val="ro-RO"/>
        </w:rPr>
        <w:tab/>
      </w:r>
      <w:r w:rsidRPr="00435520">
        <w:rPr>
          <w:sz w:val="24"/>
          <w:lang w:val="ro-RO"/>
        </w:rPr>
        <w:t>JO C, C/2023/112, 12.10.2023.</w:t>
      </w:r>
    </w:p>
  </w:footnote>
  <w:footnote w:id="8">
    <w:p w:rsidR="00D76021" w:rsidRPr="00435520" w:rsidRDefault="00D76021" w:rsidP="004E3403">
      <w:pPr>
        <w:pStyle w:val="FootnoteText"/>
        <w:ind w:left="567" w:hanging="567"/>
        <w:rPr>
          <w:sz w:val="24"/>
          <w:lang w:val="ro-RO"/>
        </w:rPr>
      </w:pPr>
      <w:r w:rsidRPr="00435520">
        <w:rPr>
          <w:rStyle w:val="FootnoteReference"/>
          <w:sz w:val="24"/>
          <w:lang w:val="ro-RO"/>
        </w:rPr>
        <w:footnoteRef/>
      </w:r>
      <w:r w:rsidR="004E3403" w:rsidRPr="00435520">
        <w:rPr>
          <w:sz w:val="24"/>
          <w:lang w:val="ro-RO"/>
        </w:rPr>
        <w:t xml:space="preserve"> </w:t>
      </w:r>
      <w:r w:rsidR="004E3403" w:rsidRPr="00435520">
        <w:rPr>
          <w:sz w:val="24"/>
          <w:lang w:val="ro-RO"/>
        </w:rPr>
        <w:tab/>
      </w:r>
      <w:r w:rsidRPr="00435520">
        <w:rPr>
          <w:sz w:val="24"/>
          <w:lang w:val="ro-RO"/>
        </w:rPr>
        <w:t>JO L 193, 30.7.2018, p. 1.</w:t>
      </w:r>
    </w:p>
  </w:footnote>
  <w:footnote w:id="9">
    <w:p w:rsidR="00D76021" w:rsidRPr="00435520" w:rsidRDefault="00D76021" w:rsidP="004E3403">
      <w:pPr>
        <w:pStyle w:val="FootnoteText"/>
        <w:ind w:left="567" w:hanging="567"/>
        <w:rPr>
          <w:sz w:val="24"/>
          <w:lang w:val="ro-RO"/>
        </w:rPr>
      </w:pPr>
      <w:r w:rsidRPr="00435520">
        <w:rPr>
          <w:rStyle w:val="FootnoteReference"/>
          <w:sz w:val="24"/>
          <w:lang w:val="ro-RO"/>
        </w:rPr>
        <w:footnoteRef/>
      </w:r>
      <w:r w:rsidR="004E3403" w:rsidRPr="00435520">
        <w:rPr>
          <w:sz w:val="24"/>
          <w:lang w:val="ro-RO"/>
        </w:rPr>
        <w:t xml:space="preserve"> </w:t>
      </w:r>
      <w:r w:rsidR="004E3403" w:rsidRPr="00435520">
        <w:rPr>
          <w:sz w:val="24"/>
          <w:lang w:val="ro-RO"/>
        </w:rPr>
        <w:tab/>
      </w:r>
      <w:r w:rsidRPr="00435520">
        <w:rPr>
          <w:sz w:val="24"/>
          <w:lang w:val="ro-RO"/>
        </w:rPr>
        <w:t>JO L 321, 17.12.2018, p. 1.</w:t>
      </w:r>
    </w:p>
  </w:footnote>
  <w:footnote w:id="10">
    <w:p w:rsidR="00D76021" w:rsidRPr="00435520" w:rsidRDefault="00D76021" w:rsidP="004E3403">
      <w:pPr>
        <w:pStyle w:val="FootnoteText"/>
        <w:ind w:left="567" w:hanging="567"/>
        <w:rPr>
          <w:sz w:val="24"/>
          <w:szCs w:val="24"/>
          <w:lang w:val="ro-RO"/>
        </w:rPr>
      </w:pPr>
      <w:r w:rsidRPr="00435520">
        <w:rPr>
          <w:rStyle w:val="FootnoteReference"/>
          <w:sz w:val="24"/>
          <w:lang w:val="ro-RO"/>
        </w:rPr>
        <w:footnoteRef/>
      </w:r>
      <w:r w:rsidR="004E3403" w:rsidRPr="00435520">
        <w:rPr>
          <w:sz w:val="24"/>
          <w:lang w:val="ro-RO"/>
        </w:rPr>
        <w:t xml:space="preserve"> </w:t>
      </w:r>
      <w:r w:rsidR="004E3403" w:rsidRPr="00435520">
        <w:rPr>
          <w:sz w:val="24"/>
          <w:lang w:val="ro-RO"/>
        </w:rPr>
        <w:tab/>
      </w:r>
      <w:r w:rsidRPr="00435520">
        <w:rPr>
          <w:sz w:val="24"/>
          <w:lang w:val="ro-RO"/>
        </w:rPr>
        <w:t>JO L 122, 10.5.2019, p. 1.</w:t>
      </w:r>
    </w:p>
  </w:footnote>
  <w:footnote w:id="11">
    <w:p w:rsidR="00D76021" w:rsidRPr="00435520" w:rsidRDefault="00D76021" w:rsidP="004E3403">
      <w:pPr>
        <w:pStyle w:val="FootnoteText"/>
        <w:ind w:left="567" w:hanging="567"/>
        <w:rPr>
          <w:sz w:val="24"/>
          <w:lang w:val="ro-RO"/>
        </w:rPr>
      </w:pPr>
      <w:r w:rsidRPr="00435520">
        <w:rPr>
          <w:rStyle w:val="FootnoteReference"/>
          <w:sz w:val="24"/>
          <w:lang w:val="ro-RO"/>
        </w:rPr>
        <w:footnoteRef/>
      </w:r>
      <w:r w:rsidR="004E3403" w:rsidRPr="00435520">
        <w:rPr>
          <w:sz w:val="24"/>
          <w:lang w:val="ro-RO"/>
        </w:rPr>
        <w:t xml:space="preserve"> </w:t>
      </w:r>
      <w:r w:rsidR="004E3403" w:rsidRPr="00435520">
        <w:rPr>
          <w:sz w:val="24"/>
          <w:lang w:val="ro-RO"/>
        </w:rPr>
        <w:tab/>
      </w:r>
      <w:r w:rsidRPr="00435520">
        <w:rPr>
          <w:sz w:val="24"/>
          <w:lang w:val="ro-RO"/>
        </w:rPr>
        <w:t>JO C 119, 31.3.2023, p. 11.</w:t>
      </w:r>
    </w:p>
  </w:footnote>
  <w:footnote w:id="12">
    <w:p w:rsidR="00D76021" w:rsidRPr="004E3403" w:rsidRDefault="00D76021" w:rsidP="004E3403">
      <w:pPr>
        <w:pStyle w:val="FootnoteText"/>
        <w:ind w:left="567" w:hanging="567"/>
        <w:rPr>
          <w:sz w:val="24"/>
          <w:szCs w:val="24"/>
          <w:lang w:val="ro-RO"/>
        </w:rPr>
      </w:pPr>
      <w:r w:rsidRPr="00435520">
        <w:rPr>
          <w:rStyle w:val="FootnoteReference"/>
          <w:sz w:val="24"/>
          <w:szCs w:val="24"/>
          <w:lang w:val="ro-RO"/>
        </w:rPr>
        <w:footnoteRef/>
      </w:r>
      <w:r w:rsidR="004E3403" w:rsidRPr="00435520">
        <w:rPr>
          <w:sz w:val="24"/>
          <w:lang w:val="ro-RO"/>
        </w:rPr>
        <w:t xml:space="preserve"> </w:t>
      </w:r>
      <w:r w:rsidR="004E3403" w:rsidRPr="00435520">
        <w:rPr>
          <w:sz w:val="24"/>
          <w:lang w:val="ro-RO"/>
        </w:rPr>
        <w:tab/>
      </w:r>
      <w:r w:rsidRPr="00435520">
        <w:rPr>
          <w:sz w:val="24"/>
          <w:lang w:val="ro-RO"/>
        </w:rPr>
        <w:t>Texte adoptate, P9_TA(2024)</w:t>
      </w:r>
      <w:r w:rsidR="00435520" w:rsidRPr="00435520">
        <w:rPr>
          <w:sz w:val="24"/>
          <w:lang w:val="ro-RO"/>
        </w:rPr>
        <w:t>0</w:t>
      </w:r>
      <w:r w:rsidR="00435520" w:rsidRPr="00435520">
        <w:rPr>
          <w:sz w:val="24"/>
          <w:lang w:val="ro-RO"/>
        </w:rPr>
        <w:t>280</w:t>
      </w:r>
      <w:r w:rsidRPr="00435520">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E340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E340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E340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23/2024"/>
    <w:docVar w:name="dvlangue" w:val="RO"/>
    <w:docVar w:name="dvnumam" w:val="0"/>
    <w:docVar w:name="dvpe" w:val="753.507"/>
    <w:docVar w:name="dvrapporteur" w:val="Raportor: "/>
    <w:docVar w:name="dvtitre" w:val="1. Decizia Parlamentului European din 11 aprilie 2024 privind descărcarea de gestiune pentru execuția bugetului Agenției de sprijin pentru OAREC (Oficiul OAREC) aferent exercițiului financiar 2022(2023/2141(DEC))"/>
  </w:docVars>
  <w:rsids>
    <w:rsidRoot w:val="000F4D68"/>
    <w:rsid w:val="00002272"/>
    <w:rsid w:val="00064002"/>
    <w:rsid w:val="000677B9"/>
    <w:rsid w:val="000831BA"/>
    <w:rsid w:val="000A42CC"/>
    <w:rsid w:val="000E7DD9"/>
    <w:rsid w:val="000F4D68"/>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26E8F"/>
    <w:rsid w:val="00435520"/>
    <w:rsid w:val="00471C19"/>
    <w:rsid w:val="004867E3"/>
    <w:rsid w:val="00494A28"/>
    <w:rsid w:val="004C0004"/>
    <w:rsid w:val="004C5D52"/>
    <w:rsid w:val="004E3403"/>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7602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5A8B"/>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2DA6AF"/>
  <w15:chartTrackingRefBased/>
  <w15:docId w15:val="{1CA61939-6061-40DC-A8AF-BCA21C98A6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D76021"/>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D76021"/>
    <w:pPr>
      <w:spacing w:before="480" w:after="240"/>
    </w:pPr>
  </w:style>
  <w:style w:type="paragraph" w:customStyle="1" w:styleId="PageHeading">
    <w:name w:val="PageHeading"/>
    <w:basedOn w:val="Normal"/>
    <w:rsid w:val="00D76021"/>
    <w:pPr>
      <w:keepNext/>
      <w:spacing w:after="480"/>
      <w:jc w:val="center"/>
    </w:pPr>
    <w:rPr>
      <w:rFonts w:ascii="Arial" w:hAnsi="Arial" w:cs="Arial"/>
      <w:b/>
    </w:rPr>
  </w:style>
  <w:style w:type="paragraph" w:customStyle="1" w:styleId="NormalBold">
    <w:name w:val="NormalBold"/>
    <w:basedOn w:val="Normal"/>
    <w:rsid w:val="00D76021"/>
    <w:rPr>
      <w:b/>
    </w:rPr>
  </w:style>
  <w:style w:type="paragraph" w:customStyle="1" w:styleId="NormalHanging12a">
    <w:name w:val="NormalHanging12a"/>
    <w:basedOn w:val="Normal"/>
    <w:link w:val="NormalHanging12aChar"/>
    <w:rsid w:val="00D76021"/>
    <w:pPr>
      <w:spacing w:after="240"/>
      <w:ind w:left="567" w:hanging="567"/>
    </w:pPr>
  </w:style>
  <w:style w:type="paragraph" w:customStyle="1" w:styleId="NormalCenter12a">
    <w:name w:val="NormalCenter12a"/>
    <w:basedOn w:val="Normal"/>
    <w:rsid w:val="00D76021"/>
    <w:pPr>
      <w:spacing w:after="240"/>
      <w:jc w:val="center"/>
    </w:pPr>
  </w:style>
  <w:style w:type="paragraph" w:styleId="Header">
    <w:name w:val="header"/>
    <w:basedOn w:val="Normal"/>
    <w:link w:val="HeaderChar"/>
    <w:rsid w:val="00D76021"/>
    <w:pPr>
      <w:tabs>
        <w:tab w:val="center" w:pos="4513"/>
        <w:tab w:val="right" w:pos="9026"/>
      </w:tabs>
    </w:pPr>
  </w:style>
  <w:style w:type="character" w:customStyle="1" w:styleId="HeaderChar">
    <w:name w:val="Header Char"/>
    <w:basedOn w:val="DefaultParagraphFont"/>
    <w:link w:val="Header"/>
    <w:rsid w:val="00D76021"/>
    <w:rPr>
      <w:sz w:val="24"/>
      <w:lang w:val="ro-RO"/>
    </w:rPr>
  </w:style>
  <w:style w:type="paragraph" w:customStyle="1" w:styleId="EPFooter">
    <w:name w:val="EPFooter"/>
    <w:basedOn w:val="Normal"/>
    <w:rsid w:val="00D76021"/>
    <w:pPr>
      <w:tabs>
        <w:tab w:val="center" w:pos="4535"/>
        <w:tab w:val="right" w:pos="9071"/>
      </w:tabs>
      <w:spacing w:before="240" w:after="240"/>
    </w:pPr>
    <w:rPr>
      <w:color w:val="010000"/>
      <w:sz w:val="22"/>
    </w:rPr>
  </w:style>
  <w:style w:type="character" w:customStyle="1" w:styleId="NormalHanging12aChar">
    <w:name w:val="NormalHanging12a Char"/>
    <w:link w:val="NormalHanging12a"/>
    <w:locked/>
    <w:rsid w:val="00D76021"/>
    <w:rPr>
      <w:sz w:val="24"/>
      <w:lang w:val="ro-RO"/>
    </w:rPr>
  </w:style>
  <w:style w:type="paragraph" w:customStyle="1" w:styleId="Normal12Hanging">
    <w:name w:val="Normal12Hanging"/>
    <w:basedOn w:val="Normal"/>
    <w:rsid w:val="00D76021"/>
    <w:pPr>
      <w:spacing w:after="240"/>
      <w:ind w:left="567" w:hanging="567"/>
    </w:pPr>
  </w:style>
  <w:style w:type="paragraph" w:customStyle="1" w:styleId="Normal24a">
    <w:name w:val="Normal24a"/>
    <w:basedOn w:val="Normal"/>
    <w:rsid w:val="00D76021"/>
    <w:pPr>
      <w:spacing w:after="480"/>
    </w:pPr>
  </w:style>
  <w:style w:type="paragraph" w:customStyle="1" w:styleId="Normal12a">
    <w:name w:val="Normal12a"/>
    <w:basedOn w:val="Normal"/>
    <w:rsid w:val="00D76021"/>
    <w:pPr>
      <w:spacing w:after="240"/>
    </w:pPr>
  </w:style>
  <w:style w:type="paragraph" w:customStyle="1" w:styleId="RollCallVotes">
    <w:name w:val="RollCallVotes"/>
    <w:basedOn w:val="Normal"/>
    <w:rsid w:val="00D76021"/>
    <w:pPr>
      <w:spacing w:before="120" w:after="120"/>
      <w:jc w:val="center"/>
    </w:pPr>
    <w:rPr>
      <w:b/>
      <w:bCs/>
      <w:snapToGrid w:val="0"/>
      <w:sz w:val="16"/>
      <w:lang w:eastAsia="en-US"/>
    </w:rPr>
  </w:style>
  <w:style w:type="paragraph" w:customStyle="1" w:styleId="RollCallSymbols14pt">
    <w:name w:val="RollCallSymbols14pt"/>
    <w:basedOn w:val="Normal"/>
    <w:rsid w:val="00D76021"/>
    <w:pPr>
      <w:spacing w:before="120" w:after="120"/>
      <w:jc w:val="center"/>
    </w:pPr>
    <w:rPr>
      <w:rFonts w:ascii="Arial" w:hAnsi="Arial"/>
      <w:b/>
      <w:bCs/>
      <w:snapToGrid w:val="0"/>
      <w:sz w:val="28"/>
      <w:lang w:eastAsia="en-US"/>
    </w:rPr>
  </w:style>
  <w:style w:type="paragraph" w:customStyle="1" w:styleId="RollCallTable">
    <w:name w:val="RollCallTable"/>
    <w:basedOn w:val="Normal"/>
    <w:rsid w:val="00D76021"/>
    <w:pPr>
      <w:spacing w:before="120" w:after="120"/>
    </w:pPr>
    <w:rPr>
      <w:snapToGrid w:val="0"/>
      <w:sz w:val="16"/>
      <w:lang w:eastAsia="en-US"/>
    </w:rPr>
  </w:style>
  <w:style w:type="paragraph" w:styleId="Footer">
    <w:name w:val="footer"/>
    <w:basedOn w:val="Normal"/>
    <w:link w:val="FooterChar"/>
    <w:rsid w:val="00426E8F"/>
    <w:pPr>
      <w:tabs>
        <w:tab w:val="center" w:pos="4513"/>
        <w:tab w:val="right" w:pos="9026"/>
      </w:tabs>
    </w:pPr>
  </w:style>
  <w:style w:type="character" w:customStyle="1" w:styleId="FooterChar">
    <w:name w:val="Footer Char"/>
    <w:basedOn w:val="DefaultParagraphFont"/>
    <w:link w:val="Footer"/>
    <w:rsid w:val="00426E8F"/>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843A27-201D-4D6A-8844-D56D8EAEB3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3405</Words>
  <Characters>20472</Characters>
  <Application>Microsoft Office Word</Application>
  <DocSecurity>0</DocSecurity>
  <Lines>170</Lines>
  <Paragraphs>47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DUMITRESCU Mihai</cp:lastModifiedBy>
  <cp:revision>2</cp:revision>
  <cp:lastPrinted>2004-11-19T15:42:00Z</cp:lastPrinted>
  <dcterms:created xsi:type="dcterms:W3CDTF">2024-04-11T14:25:00Z</dcterms:created>
  <dcterms:modified xsi:type="dcterms:W3CDTF">2024-04-11T14:25:00Z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A9-0123/2024</vt:lpwstr>
  </property>
  <property fmtid="{D5CDD505-2E9C-101B-9397-08002B2CF9AE}" pid="4" name="&lt;Type&gt;">
    <vt:lpwstr>RR</vt:lpwstr>
  </property>
</Properties>
</file>