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CE33C8" w:rsidRPr="002D0B5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CE33C8" w:rsidRPr="002D0B5F" w:rsidRDefault="006C1B28">
            <w:pPr>
              <w:pStyle w:val="EPName"/>
            </w:pPr>
            <w:r w:rsidRPr="002D0B5F">
              <w:t>Európsky parlament</w:t>
            </w:r>
          </w:p>
          <w:p w:rsidR="00CE33C8" w:rsidRPr="002D0B5F" w:rsidRDefault="006C1B28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D0B5F">
              <w:t>2019-2024</w:t>
            </w:r>
          </w:p>
        </w:tc>
        <w:tc>
          <w:tcPr>
            <w:tcW w:w="2268" w:type="dxa"/>
            <w:shd w:val="clear" w:color="auto" w:fill="auto"/>
          </w:tcPr>
          <w:p w:rsidR="00CE33C8" w:rsidRPr="002D0B5F" w:rsidRDefault="006C1B28">
            <w:pPr>
              <w:pStyle w:val="EPLogo"/>
            </w:pPr>
            <w:r w:rsidRPr="002D0B5F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E33C8" w:rsidRPr="002D0B5F" w:rsidRDefault="00CE33C8">
      <w:pPr>
        <w:pStyle w:val="LineTop"/>
      </w:pPr>
    </w:p>
    <w:p w:rsidR="00CE33C8" w:rsidRPr="002D0B5F" w:rsidRDefault="006C1B28">
      <w:pPr>
        <w:pStyle w:val="EPBodyTA1"/>
      </w:pPr>
      <w:r w:rsidRPr="002D0B5F">
        <w:t>PRIJATÉ TEXTY</w:t>
      </w:r>
    </w:p>
    <w:p w:rsidR="00CE33C8" w:rsidRPr="002D0B5F" w:rsidRDefault="00CE33C8">
      <w:pPr>
        <w:pStyle w:val="LineBottom"/>
      </w:pPr>
    </w:p>
    <w:p w:rsidR="00CE33C8" w:rsidRPr="002D0B5F" w:rsidRDefault="006C1B28">
      <w:pPr>
        <w:pStyle w:val="ATHeading1"/>
      </w:pPr>
      <w:bookmarkStart w:id="0" w:name="TANumber"/>
      <w:r w:rsidRPr="002D0B5F">
        <w:t>P9_TA(2024)0</w:t>
      </w:r>
      <w:r w:rsidR="002C0CA5" w:rsidRPr="002D0B5F">
        <w:t>266</w:t>
      </w:r>
      <w:bookmarkEnd w:id="0"/>
    </w:p>
    <w:p w:rsidR="00CE33C8" w:rsidRPr="002D0B5F" w:rsidRDefault="006C1B28">
      <w:pPr>
        <w:pStyle w:val="ATHeading2"/>
      </w:pPr>
      <w:bookmarkStart w:id="1" w:name="title"/>
      <w:r w:rsidRPr="002D0B5F">
        <w:t>Absolutórium za rok 2022: Agentúra na podporu orgánu BEREC (Úrad BEREC)</w:t>
      </w:r>
      <w:bookmarkEnd w:id="1"/>
    </w:p>
    <w:p w:rsidR="00CE33C8" w:rsidRPr="002D0B5F" w:rsidRDefault="006C1B28">
      <w:pPr>
        <w:rPr>
          <w:i/>
          <w:vanish/>
        </w:rPr>
      </w:pPr>
      <w:r w:rsidRPr="002D0B5F">
        <w:rPr>
          <w:i/>
        </w:rPr>
        <w:fldChar w:fldCharType="begin"/>
      </w:r>
      <w:r w:rsidRPr="002D0B5F">
        <w:rPr>
          <w:i/>
        </w:rPr>
        <w:instrText xml:space="preserve"> TC"(</w:instrText>
      </w:r>
      <w:bookmarkStart w:id="2" w:name="DocNumber"/>
      <w:r w:rsidRPr="002D0B5F">
        <w:rPr>
          <w:i/>
        </w:rPr>
        <w:instrText>A9-0123/2024</w:instrText>
      </w:r>
      <w:bookmarkEnd w:id="2"/>
      <w:r w:rsidRPr="002D0B5F">
        <w:rPr>
          <w:i/>
        </w:rPr>
        <w:instrText xml:space="preserve"> - Spravodajca: Petri Sarvamaa)"\l3 \n&gt; \* MERGEFORMAT </w:instrText>
      </w:r>
      <w:r w:rsidRPr="002D0B5F">
        <w:rPr>
          <w:i/>
        </w:rPr>
        <w:fldChar w:fldCharType="end"/>
      </w:r>
    </w:p>
    <w:p w:rsidR="00CE33C8" w:rsidRPr="002D0B5F" w:rsidRDefault="006C1B28">
      <w:pPr>
        <w:rPr>
          <w:vanish/>
        </w:rPr>
      </w:pPr>
      <w:bookmarkStart w:id="3" w:name="Commission"/>
      <w:r w:rsidRPr="002D0B5F">
        <w:rPr>
          <w:vanish/>
        </w:rPr>
        <w:t>Výbor pre kontrolu rozpočtu</w:t>
      </w:r>
      <w:bookmarkEnd w:id="3"/>
    </w:p>
    <w:p w:rsidR="00CE33C8" w:rsidRPr="002D0B5F" w:rsidRDefault="006C1B28">
      <w:pPr>
        <w:rPr>
          <w:vanish/>
        </w:rPr>
      </w:pPr>
      <w:bookmarkStart w:id="4" w:name="PE"/>
      <w:r w:rsidRPr="002D0B5F">
        <w:rPr>
          <w:vanish/>
        </w:rPr>
        <w:t>PE753.507</w:t>
      </w:r>
      <w:bookmarkEnd w:id="4"/>
    </w:p>
    <w:p w:rsidR="00CE33C8" w:rsidRPr="002D0B5F" w:rsidRDefault="006C1B28">
      <w:pPr>
        <w:pStyle w:val="ATHeading3"/>
      </w:pPr>
      <w:bookmarkStart w:id="5" w:name="Sujet"/>
      <w:r w:rsidRPr="002D0B5F">
        <w:t>1. Rozhodnutie Európskeho parlamentu z 11. apríla 2024 o absolutóriu za plnenie rozpočtu Agentúry na podporu orgánu BEREC (Úrad BEREC) za rozpočtový rok 2022</w:t>
      </w:r>
      <w:bookmarkEnd w:id="5"/>
      <w:r w:rsidRPr="002D0B5F">
        <w:t xml:space="preserve"> </w:t>
      </w:r>
      <w:bookmarkStart w:id="6" w:name="References"/>
      <w:r w:rsidRPr="002D0B5F">
        <w:t>(2023/2141(DEC))</w:t>
      </w:r>
      <w:bookmarkEnd w:id="6"/>
    </w:p>
    <w:p w:rsidR="00CE33C8" w:rsidRPr="002D0B5F" w:rsidRDefault="006C1B28">
      <w:pPr>
        <w:pStyle w:val="EPComma"/>
      </w:pPr>
      <w:bookmarkStart w:id="7" w:name="TextBodyBegin"/>
      <w:bookmarkEnd w:id="7"/>
      <w:r w:rsidRPr="002D0B5F">
        <w:rPr>
          <w:i/>
          <w:iCs/>
        </w:rPr>
        <w:t>Európsky parlament</w:t>
      </w:r>
      <w:r w:rsidRPr="002D0B5F">
        <w:t>,</w:t>
      </w:r>
    </w:p>
    <w:p w:rsidR="00CE33C8" w:rsidRPr="002D0B5F" w:rsidRDefault="006C1B28">
      <w:pPr>
        <w:pStyle w:val="NormalHanging12a"/>
      </w:pPr>
      <w:r w:rsidRPr="002D0B5F">
        <w:t>–</w:t>
      </w:r>
      <w:r w:rsidRPr="002D0B5F">
        <w:tab/>
        <w:t>so zreteľom na konečnú ročnú účtovnú závierku Agentúry na podporu orgánu BEREC (Úrad BEREC) za rozpočtový rok 2022,</w:t>
      </w:r>
    </w:p>
    <w:p w:rsidR="00CE33C8" w:rsidRPr="002D0B5F" w:rsidRDefault="006C1B28">
      <w:pPr>
        <w:pStyle w:val="NormalHanging12a"/>
      </w:pPr>
      <w:r w:rsidRPr="002D0B5F">
        <w:t>–</w:t>
      </w:r>
      <w:r w:rsidRPr="002D0B5F">
        <w:tab/>
        <w:t>so zreteľom na výročnú správu Dvora audítorov o agentúrach EÚ za rozpočtový rok 2022 spolu s odpoveďami agentúr</w:t>
      </w:r>
      <w:r w:rsidRPr="002D0B5F">
        <w:rPr>
          <w:rStyle w:val="FootnoteReference"/>
        </w:rPr>
        <w:footnoteReference w:id="1"/>
      </w:r>
      <w:r w:rsidRPr="002D0B5F">
        <w:t>,</w:t>
      </w:r>
    </w:p>
    <w:p w:rsidR="00CE33C8" w:rsidRPr="002D0B5F" w:rsidRDefault="006C1B28">
      <w:pPr>
        <w:pStyle w:val="NormalHanging12a"/>
      </w:pPr>
      <w:r w:rsidRPr="002D0B5F">
        <w:t>–</w:t>
      </w:r>
      <w:r w:rsidRPr="002D0B5F">
        <w:tab/>
        <w:t>so zreteľom na vyhlásenie o vierohodnosti</w:t>
      </w:r>
      <w:r w:rsidRPr="002D0B5F">
        <w:rPr>
          <w:rStyle w:val="FootnoteReference"/>
        </w:rPr>
        <w:footnoteReference w:id="2"/>
      </w:r>
      <w:r w:rsidRPr="002D0B5F">
        <w:t xml:space="preserve"> vedenia účtov a zákonnosti a správnosti príslušných operácií, ktoré poskytol Dvor audítorov za rozpočtový rok 2022 v súlade s článkom 287 Zmluvy o fungovaní Európskej únie,</w:t>
      </w:r>
    </w:p>
    <w:p w:rsidR="00CE33C8" w:rsidRPr="002D0B5F" w:rsidRDefault="006C1B28">
      <w:pPr>
        <w:pStyle w:val="NormalHanging12a"/>
      </w:pPr>
      <w:r w:rsidRPr="002D0B5F">
        <w:t>–</w:t>
      </w:r>
      <w:r w:rsidRPr="002D0B5F">
        <w:tab/>
        <w:t>so zreteľom na odporúčanie Rady z 22. februára 2024 o udelení absolutória agentúre za plnenie rozpočtu za rozpočtový rok 2022 (0</w:t>
      </w:r>
      <w:r w:rsidR="00656915" w:rsidRPr="002D0B5F">
        <w:t>6180</w:t>
      </w:r>
      <w:r w:rsidRPr="002D0B5F">
        <w:t>/2024 – C9</w:t>
      </w:r>
      <w:r w:rsidRPr="002D0B5F">
        <w:noBreakHyphen/>
        <w:t>00</w:t>
      </w:r>
      <w:r w:rsidR="00656915" w:rsidRPr="002D0B5F">
        <w:t>79</w:t>
      </w:r>
      <w:r w:rsidRPr="002D0B5F">
        <w:t>/2024),</w:t>
      </w:r>
    </w:p>
    <w:p w:rsidR="00CE33C8" w:rsidRPr="002D0B5F" w:rsidRDefault="006C1B28">
      <w:pPr>
        <w:pStyle w:val="NormalHanging12a"/>
      </w:pPr>
      <w:r w:rsidRPr="002D0B5F">
        <w:t>–</w:t>
      </w:r>
      <w:r w:rsidRPr="002D0B5F">
        <w:tab/>
        <w:t>so zreteľom na článok 319 Zmluvy o fungovaní Európskej únie,</w:t>
      </w:r>
    </w:p>
    <w:p w:rsidR="00CE33C8" w:rsidRPr="002D0B5F" w:rsidRDefault="006C1B28">
      <w:pPr>
        <w:pStyle w:val="NormalHanging12a"/>
      </w:pPr>
      <w:r w:rsidRPr="002D0B5F">
        <w:t>–</w:t>
      </w:r>
      <w:r w:rsidRPr="002D0B5F">
        <w:tab/>
        <w:t>so zreteľom na nariadenie Európskeho parlamentu a Rady (EÚ, Euratom) 2018/1046 z 18. júla 2018 o rozpočtových pravidlách, ktoré sa vzťahujú na všeobecný rozpočet Únie, o zmene nariadení (EÚ) č. 1296/2013, (EÚ) č. 1301/2013, (EÚ) č. 1303/2013, (EÚ) č. 1304/2013, (EÚ) č. 1309/2013, (EÚ) č. 1316/2013, (EÚ) č. 223/2014, (EÚ) č. 283/2014 a rozhodnutia č. 541/2014/EÚ a o zrušení nariadenia (EÚ, Euratom) č. 966/2012</w:t>
      </w:r>
      <w:r w:rsidRPr="002D0B5F">
        <w:rPr>
          <w:rStyle w:val="FootnoteReference"/>
        </w:rPr>
        <w:footnoteReference w:id="3"/>
      </w:r>
      <w:r w:rsidRPr="002D0B5F">
        <w:t>, a najmä na jeho článok 70,</w:t>
      </w:r>
    </w:p>
    <w:p w:rsidR="00CE33C8" w:rsidRPr="002D0B5F" w:rsidRDefault="006C1B28">
      <w:pPr>
        <w:pStyle w:val="NormalHanging12a"/>
      </w:pPr>
      <w:r w:rsidRPr="002D0B5F">
        <w:t>–</w:t>
      </w:r>
      <w:r w:rsidRPr="002D0B5F">
        <w:tab/>
        <w:t xml:space="preserve">so zreteľom na nariadenie Európskeho parlamentu a Rady (EÚ) 2018/1971 z 11. decembra 2018, ktorým sa zriaďuje Orgán európskych regulátorov pre elektronické komunikácie (BEREC) a Agentúra na podporu orgánu BEREC (Úrad BEREC), ktorým sa mení nariadenie (EÚ) 2015/2120, a ktorým sa zrušuje nariadenie </w:t>
      </w:r>
      <w:r w:rsidRPr="002D0B5F">
        <w:lastRenderedPageBreak/>
        <w:t>(ES) č. 1211/2009</w:t>
      </w:r>
      <w:r w:rsidRPr="002D0B5F">
        <w:rPr>
          <w:rStyle w:val="FootnoteReference"/>
        </w:rPr>
        <w:footnoteReference w:id="4"/>
      </w:r>
      <w:r w:rsidRPr="002D0B5F">
        <w:t>, a najmä na jeho článok 28,</w:t>
      </w:r>
    </w:p>
    <w:p w:rsidR="00CE33C8" w:rsidRPr="002D0B5F" w:rsidRDefault="006C1B28">
      <w:pPr>
        <w:pStyle w:val="NormalHanging12a"/>
      </w:pPr>
      <w:r w:rsidRPr="002D0B5F">
        <w:t>–</w:t>
      </w:r>
      <w:r w:rsidRPr="002D0B5F">
        <w:tab/>
        <w:t>so zreteľom na delegované nariadenie Komisie (EÚ) 2019/715 z 18. decembra 2018 o rámcovom nariadení o rozpočtových pravidlách pre subjekty zriadené podľa ZFEÚ a Zmluvy o Euratome a uvedené v článku 70 nariadenia Európskeho parlamentu a Rady</w:t>
      </w:r>
      <w:r w:rsidRPr="002D0B5F">
        <w:rPr>
          <w:rStyle w:val="FootnoteReference"/>
        </w:rPr>
        <w:footnoteReference w:id="5"/>
      </w:r>
      <w:r w:rsidRPr="002D0B5F">
        <w:t xml:space="preserve"> (EÚ, Euratom) 2018/1046, a najmä na jeho článok 105,</w:t>
      </w:r>
    </w:p>
    <w:p w:rsidR="00CE33C8" w:rsidRPr="002D0B5F" w:rsidRDefault="006C1B28">
      <w:pPr>
        <w:pStyle w:val="NormalHanging12a"/>
      </w:pPr>
      <w:r w:rsidRPr="002D0B5F">
        <w:t>–</w:t>
      </w:r>
      <w:r w:rsidRPr="002D0B5F">
        <w:tab/>
        <w:t>so zreteľom na článok 100 a prílohu V k rokovaciemu poriadku,</w:t>
      </w:r>
    </w:p>
    <w:p w:rsidR="00CE33C8" w:rsidRPr="002D0B5F" w:rsidRDefault="006C1B28">
      <w:pPr>
        <w:pStyle w:val="NormalHanging12a"/>
      </w:pPr>
      <w:r w:rsidRPr="002D0B5F">
        <w:t>–</w:t>
      </w:r>
      <w:r w:rsidRPr="002D0B5F">
        <w:tab/>
        <w:t>so zreteľom na správu Výboru pre kontrolu rozpočtu (A9-0123/2024),</w:t>
      </w:r>
    </w:p>
    <w:p w:rsidR="00CE33C8" w:rsidRPr="002D0B5F" w:rsidRDefault="006C1B28">
      <w:pPr>
        <w:pStyle w:val="NormalHanging12a"/>
      </w:pPr>
      <w:r w:rsidRPr="002D0B5F">
        <w:t>1.</w:t>
      </w:r>
      <w:r w:rsidRPr="002D0B5F">
        <w:tab/>
        <w:t>udeľuje riaditeľovi Agentúry na podporu orgánu BEREC (Úrad BEREC) absolutórium za plnenie rozpočtu agentúry za rozpočtový rok 2022;</w:t>
      </w:r>
    </w:p>
    <w:p w:rsidR="00CE33C8" w:rsidRPr="002D0B5F" w:rsidRDefault="006C1B28">
      <w:pPr>
        <w:pStyle w:val="NormalHanging12a"/>
      </w:pPr>
      <w:r w:rsidRPr="002D0B5F">
        <w:t>2.</w:t>
      </w:r>
      <w:r w:rsidRPr="002D0B5F">
        <w:tab/>
        <w:t>uvádza svoje poznámky v priloženom uznesení;</w:t>
      </w:r>
    </w:p>
    <w:p w:rsidR="00CE33C8" w:rsidRPr="002D0B5F" w:rsidRDefault="006C1B28">
      <w:pPr>
        <w:pStyle w:val="NormalHanging12a"/>
      </w:pPr>
      <w:r w:rsidRPr="002D0B5F">
        <w:t>3.</w:t>
      </w:r>
      <w:r w:rsidRPr="002D0B5F">
        <w:tab/>
        <w:t>poveruje svoju predsedníčku, aby postúpila toto rozhodnutie a uznesenie, ktoré je jeho neoddeliteľnou súčasťou, riaditeľovi Agentúry na podporu orgánu BEREC (Úrad BEREC), Rade, Komisii a Dvoru audítorov a aby zabezpečil</w:t>
      </w:r>
      <w:r w:rsidR="00C33440">
        <w:t>a</w:t>
      </w:r>
      <w:bookmarkStart w:id="8" w:name="_GoBack"/>
      <w:bookmarkEnd w:id="8"/>
      <w:r w:rsidRPr="002D0B5F">
        <w:t xml:space="preserve"> ich uverejnenie v </w:t>
      </w:r>
      <w:r w:rsidRPr="002D0B5F">
        <w:rPr>
          <w:i/>
        </w:rPr>
        <w:t>Úradnom vestníku Európskej únie</w:t>
      </w:r>
      <w:r w:rsidRPr="002D0B5F">
        <w:t xml:space="preserve"> (v sérii L).</w:t>
      </w:r>
    </w:p>
    <w:p w:rsidR="00CE33C8" w:rsidRPr="002D0B5F" w:rsidRDefault="00CE33C8"/>
    <w:p w:rsidR="00CE33C8" w:rsidRPr="002D0B5F" w:rsidRDefault="00CE33C8">
      <w:pPr>
        <w:pStyle w:val="PageHeading"/>
        <w:sectPr w:rsidR="00CE33C8" w:rsidRPr="002D0B5F">
          <w:footerReference w:type="even" r:id="rId9"/>
          <w:footerReference w:type="first" r:id="rId10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CE33C8" w:rsidRPr="002D0B5F" w:rsidRDefault="006C1B28">
      <w:pPr>
        <w:pStyle w:val="NormalBold"/>
      </w:pPr>
      <w:r w:rsidRPr="002D0B5F">
        <w:lastRenderedPageBreak/>
        <w:t>2. Rozhodnutie Európskeho parlamentu z 11. apríla 2024 o účtovnej závierke Agentúry na podporu orgánu BEREC (Úrad BEREC) za rozpočtový rok 2022 (2023/2141(DEC))</w:t>
      </w:r>
    </w:p>
    <w:p w:rsidR="00CE33C8" w:rsidRPr="002D0B5F" w:rsidRDefault="006C1B28">
      <w:pPr>
        <w:pStyle w:val="EPComma"/>
      </w:pPr>
      <w:r w:rsidRPr="002D0B5F">
        <w:rPr>
          <w:i/>
          <w:iCs/>
        </w:rPr>
        <w:t>Európsky parlament</w:t>
      </w:r>
      <w:r w:rsidRPr="002D0B5F">
        <w:t>,</w:t>
      </w:r>
    </w:p>
    <w:p w:rsidR="00CE33C8" w:rsidRPr="002D0B5F" w:rsidRDefault="006C1B28">
      <w:pPr>
        <w:pStyle w:val="NormalHanging12a"/>
      </w:pPr>
      <w:r w:rsidRPr="002D0B5F">
        <w:t>–</w:t>
      </w:r>
      <w:r w:rsidRPr="002D0B5F">
        <w:tab/>
        <w:t>so zreteľom na konečnú ročnú účtovnú závierku Agentúry na podporu orgánu BEREC (Úrad BEREC) za rozpočtový rok 2022,</w:t>
      </w:r>
    </w:p>
    <w:p w:rsidR="00CE33C8" w:rsidRPr="002D0B5F" w:rsidRDefault="006C1B28">
      <w:pPr>
        <w:pStyle w:val="NormalHanging12a"/>
      </w:pPr>
      <w:r w:rsidRPr="002D0B5F">
        <w:t>–</w:t>
      </w:r>
      <w:r w:rsidRPr="002D0B5F">
        <w:tab/>
        <w:t>so zreteľom na výročnú správu Dvora audítorov o agentúrach EÚ za rozpočtový rok 2022 spolu s odpoveďami agentúr</w:t>
      </w:r>
      <w:r w:rsidRPr="002D0B5F">
        <w:rPr>
          <w:rStyle w:val="FootnoteReference"/>
        </w:rPr>
        <w:footnoteReference w:id="6"/>
      </w:r>
      <w:r w:rsidRPr="002D0B5F">
        <w:t>,</w:t>
      </w:r>
    </w:p>
    <w:p w:rsidR="00CE33C8" w:rsidRPr="002D0B5F" w:rsidRDefault="006C1B28">
      <w:pPr>
        <w:pStyle w:val="NormalHanging12a"/>
      </w:pPr>
      <w:r w:rsidRPr="002D0B5F">
        <w:t>–</w:t>
      </w:r>
      <w:r w:rsidRPr="002D0B5F">
        <w:tab/>
        <w:t>so zreteľom na vyhlásenie o vierohodnosti</w:t>
      </w:r>
      <w:r w:rsidRPr="002D0B5F">
        <w:rPr>
          <w:rStyle w:val="FootnoteReference"/>
        </w:rPr>
        <w:footnoteReference w:id="7"/>
      </w:r>
      <w:r w:rsidRPr="002D0B5F">
        <w:t xml:space="preserve"> vedenia účtov a zákonnosti a správnosti príslušných operácií, ktoré poskytol Dvor audítorov za rozpočtový rok 2022 v súlade s článkom 287 Zmluvy o fungovaní Európskej únie,</w:t>
      </w:r>
    </w:p>
    <w:p w:rsidR="00CE33C8" w:rsidRPr="002D0B5F" w:rsidRDefault="006C1B28">
      <w:pPr>
        <w:pStyle w:val="NormalHanging12a"/>
      </w:pPr>
      <w:r w:rsidRPr="002D0B5F">
        <w:t>–</w:t>
      </w:r>
      <w:r w:rsidRPr="002D0B5F">
        <w:tab/>
        <w:t>so zreteľom na odporúčanie Rady z 22. februára 2024 o udelení absolutória agentúre za plnenie rozpočtu za rozpočtový rok 2022 (06180/2024 – C9</w:t>
      </w:r>
      <w:r w:rsidRPr="002D0B5F">
        <w:noBreakHyphen/>
        <w:t>0079/2024),</w:t>
      </w:r>
    </w:p>
    <w:p w:rsidR="00CE33C8" w:rsidRPr="002D0B5F" w:rsidRDefault="006C1B28">
      <w:pPr>
        <w:pStyle w:val="NormalHanging12a"/>
      </w:pPr>
      <w:r w:rsidRPr="002D0B5F">
        <w:t>–</w:t>
      </w:r>
      <w:r w:rsidRPr="002D0B5F">
        <w:tab/>
        <w:t>so zreteľom na článok 319 Zmluvy o fungovaní Európskej únie,</w:t>
      </w:r>
    </w:p>
    <w:p w:rsidR="00CE33C8" w:rsidRPr="002D0B5F" w:rsidRDefault="006C1B28">
      <w:pPr>
        <w:pStyle w:val="NormalHanging12a"/>
      </w:pPr>
      <w:r w:rsidRPr="002D0B5F">
        <w:t>–</w:t>
      </w:r>
      <w:r w:rsidRPr="002D0B5F">
        <w:tab/>
        <w:t>so zreteľom na nariadenie Európskeho parlamentu a Rady (EÚ, Euratom) 2018/1046 z 18. júla 2018 o rozpočtových pravidlách, ktoré sa vzťahujú na všeobecný rozpočet Únie, o zmene nariadení (EÚ) č. 1296/2013, (EÚ) č. 1301/2013, (EÚ) č. 1303/2013, (EÚ) č. 1304/2013, (EÚ) č. 1309/2013, (EÚ) č. 1316/2013, (EÚ) č. 223/2014, (EÚ) č. 283/2014 a rozhodnutia č. 541/2014/EÚ a o zrušení nariadenia (EÚ, Euratom) č. 966/2012</w:t>
      </w:r>
      <w:r w:rsidRPr="002D0B5F">
        <w:rPr>
          <w:rStyle w:val="FootnoteReference"/>
        </w:rPr>
        <w:footnoteReference w:id="8"/>
      </w:r>
      <w:r w:rsidRPr="002D0B5F">
        <w:t>, a najmä na jeho článok 70,</w:t>
      </w:r>
    </w:p>
    <w:p w:rsidR="00CE33C8" w:rsidRPr="002D0B5F" w:rsidRDefault="006C1B28">
      <w:pPr>
        <w:pStyle w:val="NormalHanging12a"/>
      </w:pPr>
      <w:r w:rsidRPr="002D0B5F">
        <w:t>–</w:t>
      </w:r>
      <w:r w:rsidRPr="002D0B5F">
        <w:tab/>
        <w:t>so zreteľom na nariadenie Európskeho parlamentu a Rady (EÚ) 2018/1971 z 11. decembra 2018, ktorým sa zriaďuje Orgán európskych regulátorov pre elektronické komunikácie (BEREC) a Agentúra na podporu orgánu BEREC (Úrad BEREC), ktorým sa mení nariadenie (EÚ) 2015/2120, a ktorým sa zrušuje nariadenie (ES) č. 1211/2009</w:t>
      </w:r>
      <w:r w:rsidRPr="002D0B5F">
        <w:rPr>
          <w:rStyle w:val="FootnoteReference"/>
        </w:rPr>
        <w:footnoteReference w:id="9"/>
      </w:r>
      <w:r w:rsidRPr="002D0B5F">
        <w:t>, a najmä na jeho článok 28,</w:t>
      </w:r>
    </w:p>
    <w:p w:rsidR="00CE33C8" w:rsidRPr="002D0B5F" w:rsidRDefault="006C1B28">
      <w:pPr>
        <w:pStyle w:val="NormalHanging12a"/>
      </w:pPr>
      <w:r w:rsidRPr="002D0B5F">
        <w:t>–</w:t>
      </w:r>
      <w:r w:rsidRPr="002D0B5F">
        <w:tab/>
        <w:t>so zreteľom na delegované nariadenie Komisie (EÚ) 2019/715 z 18. decembra 2018 o rámcovom nariadení o rozpočtových pravidlách pre subjekty zriadené podľa ZFEÚ a Zmluvy o Euratome a uvedené v článku 70 nariadenia Európskeho parlamentu a Rady</w:t>
      </w:r>
      <w:r w:rsidRPr="002D0B5F">
        <w:rPr>
          <w:rStyle w:val="FootnoteReference"/>
        </w:rPr>
        <w:footnoteReference w:id="10"/>
      </w:r>
      <w:r w:rsidRPr="002D0B5F">
        <w:t xml:space="preserve"> (EÚ, Euratom) 2018/1046, a najmä na jeho článok 105,</w:t>
      </w:r>
    </w:p>
    <w:p w:rsidR="00CE33C8" w:rsidRPr="002D0B5F" w:rsidRDefault="006C1B28">
      <w:pPr>
        <w:pStyle w:val="NormalHanging12a"/>
      </w:pPr>
      <w:r w:rsidRPr="002D0B5F">
        <w:t>–</w:t>
      </w:r>
      <w:r w:rsidRPr="002D0B5F">
        <w:tab/>
        <w:t>so zreteľom na článok 100 a prílohu V k rokovaciemu poriadku,</w:t>
      </w:r>
    </w:p>
    <w:p w:rsidR="00CE33C8" w:rsidRPr="002D0B5F" w:rsidRDefault="006C1B28">
      <w:pPr>
        <w:pStyle w:val="NormalHanging12a"/>
      </w:pPr>
      <w:r w:rsidRPr="002D0B5F">
        <w:t>–</w:t>
      </w:r>
      <w:r w:rsidRPr="002D0B5F">
        <w:tab/>
        <w:t>so zreteľom na správu Výboru pre kontrolu rozpočtu (A9-0123/2024),</w:t>
      </w:r>
    </w:p>
    <w:p w:rsidR="00CE33C8" w:rsidRPr="002D0B5F" w:rsidRDefault="006C1B28">
      <w:pPr>
        <w:pStyle w:val="NormalHanging12a"/>
      </w:pPr>
      <w:r w:rsidRPr="002D0B5F">
        <w:t>1.</w:t>
      </w:r>
      <w:r w:rsidRPr="002D0B5F">
        <w:tab/>
        <w:t>schvaľuje účtovnú závierku Agentúry na podporu orgánu BEREC (Úrad BEREC) za rozpočtový rok 2022;</w:t>
      </w:r>
    </w:p>
    <w:p w:rsidR="00CE33C8" w:rsidRPr="002D0B5F" w:rsidRDefault="006C1B28">
      <w:pPr>
        <w:pStyle w:val="NormalHanging12a"/>
      </w:pPr>
      <w:r w:rsidRPr="002D0B5F">
        <w:t>2.</w:t>
      </w:r>
      <w:r w:rsidRPr="002D0B5F">
        <w:tab/>
        <w:t xml:space="preserve">poveruje svoju predsedníčku, aby postúpila toto rozhodnutie riaditeľovi Agentúry na </w:t>
      </w:r>
      <w:r w:rsidRPr="002D0B5F">
        <w:lastRenderedPageBreak/>
        <w:t>podporu orgánu BEREC (Úrad BEREC), Rade, Komisii a Dvoru audítorov a aby zabezpečil</w:t>
      </w:r>
      <w:r w:rsidR="00AE0247">
        <w:t>a</w:t>
      </w:r>
      <w:r w:rsidRPr="002D0B5F">
        <w:t xml:space="preserve"> jeho uverejnenie v </w:t>
      </w:r>
      <w:r w:rsidRPr="002D0B5F">
        <w:rPr>
          <w:i/>
        </w:rPr>
        <w:t>Úradnom vestníku Európskej únie</w:t>
      </w:r>
      <w:r w:rsidRPr="002D0B5F">
        <w:t xml:space="preserve"> (v sérii L).</w:t>
      </w:r>
    </w:p>
    <w:p w:rsidR="00CE33C8" w:rsidRPr="002D0B5F" w:rsidRDefault="00CE33C8"/>
    <w:p w:rsidR="00CE33C8" w:rsidRPr="002D0B5F" w:rsidRDefault="00CE33C8">
      <w:pPr>
        <w:pStyle w:val="PageHeading"/>
        <w:sectPr w:rsidR="00CE33C8" w:rsidRPr="002D0B5F"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567" w:footer="567" w:gutter="0"/>
          <w:cols w:space="720"/>
          <w:noEndnote/>
          <w:docGrid w:linePitch="326"/>
        </w:sectPr>
      </w:pPr>
    </w:p>
    <w:p w:rsidR="00CE33C8" w:rsidRPr="002D0B5F" w:rsidRDefault="006C1B28">
      <w:pPr>
        <w:pStyle w:val="NormalBold"/>
      </w:pPr>
      <w:r w:rsidRPr="002D0B5F">
        <w:lastRenderedPageBreak/>
        <w:t>3. Uznesenie Európskeho parlamentu z 11. apríla 2024 s poznámkami, ktoré je neoddeliteľnou súčasťou rozhodnutia o absolutóriu za plnenie rozpočtu Agentúry na podporu orgánu BEREC (Úrad BEREC) za rozpočtový rok 2022 (2023/2141(DEC))</w:t>
      </w:r>
    </w:p>
    <w:p w:rsidR="00CE33C8" w:rsidRPr="002D0B5F" w:rsidRDefault="006C1B28">
      <w:pPr>
        <w:pStyle w:val="EPComma"/>
      </w:pPr>
      <w:r w:rsidRPr="002D0B5F">
        <w:rPr>
          <w:i/>
          <w:iCs/>
        </w:rPr>
        <w:t>Európsky parlament</w:t>
      </w:r>
      <w:r w:rsidRPr="002D0B5F">
        <w:t>,</w:t>
      </w:r>
    </w:p>
    <w:p w:rsidR="00CE33C8" w:rsidRPr="002D0B5F" w:rsidRDefault="006C1B28">
      <w:pPr>
        <w:pStyle w:val="NormalHanging12a"/>
      </w:pPr>
      <w:r w:rsidRPr="002D0B5F">
        <w:t>–</w:t>
      </w:r>
      <w:r w:rsidRPr="002D0B5F">
        <w:tab/>
        <w:t>so zreteľom na svoje rozhodnutie o absolutóriu za plnenie rozpočtu Agentúry na podporu orgánu BEREC (agentúra) za rozpočtový rok 2022,</w:t>
      </w:r>
    </w:p>
    <w:p w:rsidR="00CE33C8" w:rsidRPr="002D0B5F" w:rsidRDefault="006C1B28">
      <w:pPr>
        <w:pStyle w:val="NormalHanging12a"/>
      </w:pPr>
      <w:r w:rsidRPr="002D0B5F">
        <w:t>–</w:t>
      </w:r>
      <w:r w:rsidRPr="002D0B5F">
        <w:tab/>
        <w:t>so zreteľom na článok 100 a prílohu V k rokovaciemu poriadku,</w:t>
      </w:r>
    </w:p>
    <w:p w:rsidR="00CE33C8" w:rsidRPr="002D0B5F" w:rsidRDefault="006C1B28">
      <w:pPr>
        <w:pStyle w:val="NormalHanging12a"/>
      </w:pPr>
      <w:r w:rsidRPr="002D0B5F">
        <w:t>–</w:t>
      </w:r>
      <w:r w:rsidRPr="002D0B5F">
        <w:tab/>
        <w:t>so zreteľom na správu Výboru pre kontrolu rozpočtu (A9-0123/2024),</w:t>
      </w:r>
    </w:p>
    <w:p w:rsidR="00CE33C8" w:rsidRPr="002D0B5F" w:rsidRDefault="006C1B28">
      <w:pPr>
        <w:pStyle w:val="NormalHanging12a"/>
        <w:rPr>
          <w:szCs w:val="24"/>
        </w:rPr>
      </w:pPr>
      <w:r w:rsidRPr="002D0B5F">
        <w:t>A.</w:t>
      </w:r>
      <w:r w:rsidRPr="002D0B5F">
        <w:tab/>
        <w:t>keďže podľa výkazu príjmov a výdavkov</w:t>
      </w:r>
      <w:r w:rsidRPr="002D0B5F">
        <w:rPr>
          <w:rFonts w:eastAsiaTheme="minorHAnsi"/>
          <w:szCs w:val="24"/>
          <w:vertAlign w:val="superscript"/>
          <w:lang w:eastAsia="en-US"/>
        </w:rPr>
        <w:footnoteReference w:id="11"/>
      </w:r>
      <w:r w:rsidRPr="002D0B5F">
        <w:t xml:space="preserve"> bol konečný prijatý rozpočet agentúry za rozpočtový rok 2022 na úrovni 7 428 456 EUR, čo v porovnaní s rokom 2021 predstavuje zvýšenie o 1,19 %; keďže rozpočet agentúry pochádza najmä z rozpočtu Únie;</w:t>
      </w:r>
    </w:p>
    <w:p w:rsidR="00CE33C8" w:rsidRPr="002D0B5F" w:rsidRDefault="006C1B28">
      <w:pPr>
        <w:pStyle w:val="NormalHanging12a"/>
        <w:rPr>
          <w:szCs w:val="24"/>
        </w:rPr>
      </w:pPr>
      <w:r w:rsidRPr="002D0B5F">
        <w:t>B.</w:t>
      </w:r>
      <w:r w:rsidRPr="002D0B5F">
        <w:tab/>
        <w:t>keďže Dvor audítorov vo svojej správe o overení ročnej účtovnej závierky agentúry za rozpočtový rok 2022 (ďalej len „správa Dvora audítorov“) vyhlásil, že získal primeranú istotu o tom, že ročná účtovná závierka agentúry je spoľahlivá a že príslušné operácie sú zákonné a správne;</w:t>
      </w:r>
    </w:p>
    <w:p w:rsidR="00CE33C8" w:rsidRPr="002D0B5F" w:rsidRDefault="006C1B28">
      <w:pPr>
        <w:pStyle w:val="NormalHanging12a"/>
        <w:rPr>
          <w:szCs w:val="24"/>
        </w:rPr>
      </w:pPr>
      <w:r w:rsidRPr="002D0B5F">
        <w:t>C.</w:t>
      </w:r>
      <w:r w:rsidRPr="002D0B5F">
        <w:tab/>
        <w:t>keďže pokiaľ ide o sektor verejného obstarávania agentúry, za rok 2022 neboli nahlásené žiadne problémy vyžadujúce nápravné opatrenia, ani žiadne prebiehajúce alebo nevykonané nápravné opatrenia z auditov a hodnotení z predchádzajúcich rokov;</w:t>
      </w:r>
    </w:p>
    <w:p w:rsidR="00CE33C8" w:rsidRPr="002D0B5F" w:rsidRDefault="006C1B28">
      <w:pPr>
        <w:pStyle w:val="NormalHanging12a"/>
        <w:rPr>
          <w:szCs w:val="24"/>
        </w:rPr>
      </w:pPr>
      <w:r w:rsidRPr="002D0B5F">
        <w:t>D.</w:t>
      </w:r>
      <w:r w:rsidRPr="002D0B5F">
        <w:tab/>
        <w:t>keďže pokiaľ ide o systémy vnútornej kontroly agentúry, za rok 2022 neboli nahlásené žiadne problémy vyžadujúce nápravné opatrenia, ani žiadne prebiehajúce alebo nevykonané nápravné opatrenia z auditov a hodnotení z predchádzajúcich rokov;</w:t>
      </w:r>
    </w:p>
    <w:p w:rsidR="00CE33C8" w:rsidRPr="002D0B5F" w:rsidRDefault="006C1B28">
      <w:pPr>
        <w:pStyle w:val="NormalHanging12a"/>
        <w:tabs>
          <w:tab w:val="left" w:pos="1718"/>
        </w:tabs>
        <w:rPr>
          <w:b/>
          <w:i/>
          <w:szCs w:val="24"/>
        </w:rPr>
      </w:pPr>
      <w:r w:rsidRPr="002D0B5F">
        <w:rPr>
          <w:b/>
          <w:i/>
        </w:rPr>
        <w:t>Rozpočtové a finančné riadenie</w:t>
      </w:r>
    </w:p>
    <w:p w:rsidR="00CE33C8" w:rsidRPr="002D0B5F" w:rsidRDefault="006C1B28">
      <w:pPr>
        <w:spacing w:after="240"/>
        <w:ind w:left="567" w:hanging="567"/>
        <w:rPr>
          <w:sz w:val="22"/>
          <w:szCs w:val="22"/>
        </w:rPr>
      </w:pPr>
      <w:r w:rsidRPr="002D0B5F">
        <w:t>1.</w:t>
      </w:r>
      <w:r w:rsidRPr="002D0B5F">
        <w:tab/>
        <w:t xml:space="preserve">s uspokojením konštatuje, že úsilie o monitorovanie rozpočtu v priebehu rozpočtového roka 2022 prinieslo mieru plnenia rozpočtu na úrovni 99,99 % v prípade viazaných rozpočtových prostriedkov konečného prijatého rozpočtu na daný rok, čo predstavuje zvýšenie o 0,02 % v porovnaní s rokom 2021; víta, že miera plnenia rozpočtu </w:t>
      </w:r>
      <w:r w:rsidRPr="002D0B5F">
        <w:rPr>
          <w:sz w:val="22"/>
        </w:rPr>
        <w:t xml:space="preserve">sa pohybuje nad hranicou 95 %, ktorú stanovila správna rada; </w:t>
      </w:r>
      <w:r w:rsidRPr="002D0B5F">
        <w:t>poznamenáva, že miera plnenia platobných rozpočtových prostriedkov v bežnom roku bola 82,78 %, čo v porovnaní s rokom 2021 predstavuje zvýšenie o 13,44 %;</w:t>
      </w:r>
    </w:p>
    <w:p w:rsidR="00CE33C8" w:rsidRPr="002D0B5F" w:rsidRDefault="006C1B28">
      <w:pPr>
        <w:pStyle w:val="Normal12Hanging"/>
        <w:rPr>
          <w:b/>
          <w:i/>
          <w:szCs w:val="24"/>
        </w:rPr>
      </w:pPr>
      <w:r w:rsidRPr="002D0B5F">
        <w:rPr>
          <w:b/>
          <w:i/>
        </w:rPr>
        <w:t>Výkonnosť</w:t>
      </w:r>
    </w:p>
    <w:p w:rsidR="00CE33C8" w:rsidRPr="002D0B5F" w:rsidRDefault="006C1B28">
      <w:pPr>
        <w:pStyle w:val="NormalHanging12a"/>
      </w:pPr>
      <w:r w:rsidRPr="002D0B5F">
        <w:t>2.</w:t>
      </w:r>
      <w:r w:rsidRPr="002D0B5F">
        <w:tab/>
        <w:t xml:space="preserve">poznamenáva, že agentúra používa kľúčové ukazovatele výkonnosti (ďalej len „KPI“) na hodnotenie výsledkov dosiahnutých v súvislosti s jej cieľmi, okrem iného aj v oblasti podpory pracovných skupín, komunikačných činností, centralizovaných financií a verejného obstarávania a riadenia ľudských zdrojov; poznamenáva, že väčšina cieľov bola dosiahnutá, odporúča však zaoberať sa KPI, ktoré zostávajú nesplnené alebo napredujú pomalšie, než sa očakávalo (napr. zlepšenie procesu úhrad prostredníctvom </w:t>
      </w:r>
      <w:r w:rsidRPr="002D0B5F">
        <w:lastRenderedPageBreak/>
        <w:t>nástroja Advanced Gateway for Meetings (AGM), podpísanie zmluvy na podporu vypracovania „Stratégie Úradu BEREC v oblasti IKT 2022 – 2025“); odporúča, aby agentúra pravidelne dolaďovala kľúčové ukazovatele výkonnosti s cieľom optimalizovať svoju výkonnosť;</w:t>
      </w:r>
    </w:p>
    <w:p w:rsidR="00CE33C8" w:rsidRPr="002D0B5F" w:rsidRDefault="006C1B28">
      <w:pPr>
        <w:pStyle w:val="Normal12Hanging"/>
      </w:pPr>
      <w:r w:rsidRPr="002D0B5F">
        <w:t>3.</w:t>
      </w:r>
      <w:r w:rsidRPr="002D0B5F">
        <w:tab/>
        <w:t>víta skutočnosť, že agentúra naďalej poskytovala vysokokvalitnú administratívnu a odbornú podporu rade regulačných orgánov Úradu BEREC, sieti kontaktných miest Úradu BEREC, verejným poradám, pracovným skupinám Úradu BEREC vrátane pracovných skupín ad hoc a poradnej skupine Úradu BEREC;</w:t>
      </w:r>
    </w:p>
    <w:p w:rsidR="00CE33C8" w:rsidRPr="002D0B5F" w:rsidRDefault="006C1B28">
      <w:pPr>
        <w:pStyle w:val="NormalHanging12a"/>
      </w:pPr>
      <w:r w:rsidRPr="002D0B5F">
        <w:t>4.</w:t>
      </w:r>
      <w:r w:rsidRPr="002D0B5F">
        <w:tab/>
        <w:t>víta skutočnosť, že ukrajinský telekomunikačný regulačný orgán NCEC bol prijatý do agentúry ako člen bez hlasovacích práv;</w:t>
      </w:r>
    </w:p>
    <w:p w:rsidR="00CE33C8" w:rsidRPr="002D0B5F" w:rsidRDefault="006C1B28">
      <w:pPr>
        <w:pStyle w:val="Normal12Hanging"/>
        <w:rPr>
          <w:b/>
          <w:i/>
          <w:szCs w:val="24"/>
        </w:rPr>
      </w:pPr>
      <w:r w:rsidRPr="002D0B5F">
        <w:rPr>
          <w:b/>
          <w:i/>
        </w:rPr>
        <w:t>Efektívnosť a zisky</w:t>
      </w:r>
    </w:p>
    <w:p w:rsidR="00CE33C8" w:rsidRPr="002D0B5F" w:rsidRDefault="006C1B28">
      <w:pPr>
        <w:pStyle w:val="Normal12Hanging"/>
        <w:rPr>
          <w:szCs w:val="24"/>
        </w:rPr>
      </w:pPr>
      <w:r w:rsidRPr="002D0B5F">
        <w:t>5.</w:t>
      </w:r>
      <w:r w:rsidRPr="002D0B5F">
        <w:tab/>
        <w:t>konštatuje, že opatrenia na dosiahnutie zvýšenia efektívnosti v roku 2022 boli zamerané na tieto hlavné oblasti: centralizácia niektorých funkcií, verejné obstarávanie, zvýšenie efektívnosti dosiahnuté zvýšeným využívaním IT aplikácií Komisie alebo zavedením nových aplikácií a využívanie externých zdrojov na kompenzáciu chýbajúcich personálnych kapacít alebo na úlohy technickej a pomocnej povahy;</w:t>
      </w:r>
    </w:p>
    <w:p w:rsidR="00CE33C8" w:rsidRPr="002D0B5F" w:rsidRDefault="006C1B28">
      <w:pPr>
        <w:pStyle w:val="Normal12Hanging"/>
        <w:rPr>
          <w:szCs w:val="24"/>
        </w:rPr>
      </w:pPr>
      <w:r w:rsidRPr="002D0B5F">
        <w:t>6.</w:t>
      </w:r>
      <w:r w:rsidRPr="002D0B5F">
        <w:tab/>
        <w:t>poznamenáva, že v oblasti verejného obstarávania v roku 2022 agentúra pokračovala vo využívaní medziinštitucionálnych postupov verejného obstarávania a zapojila sa do siedmich medziinštitucionálnych postupov verejného obstarávania, čo viedlo k uzavretiu šiestich rámcových zmlúv v sledovanom období;</w:t>
      </w:r>
    </w:p>
    <w:p w:rsidR="00CE33C8" w:rsidRPr="002D0B5F" w:rsidRDefault="006C1B28">
      <w:pPr>
        <w:pStyle w:val="Normal12Hanging"/>
        <w:rPr>
          <w:szCs w:val="24"/>
        </w:rPr>
      </w:pPr>
      <w:r w:rsidRPr="002D0B5F">
        <w:t>7.</w:t>
      </w:r>
      <w:r w:rsidRPr="002D0B5F">
        <w:tab/>
        <w:t>víta zvýšenie efektívnosti dosiahnuté vyšším využívaním alebo zavedením ďalších IT aplikácií Komisie; poznamenáva, že v roku 2022 agentúra v plnej miere zaviedla a aktívne využívala najmä všetky základné moduly systému Sysper2, napr. riadenie identity, riadenie organizácie, riadenie osobných údajov, pracovné podmienky, riadenie talentov a riadenie dokumentov, a tri z voliteľného súboru modulov, napr. pružný pracovný čas, telepráca a individuálne práva;</w:t>
      </w:r>
    </w:p>
    <w:p w:rsidR="00CE33C8" w:rsidRPr="002D0B5F" w:rsidRDefault="006C1B28">
      <w:pPr>
        <w:pStyle w:val="NormalHanging12a"/>
      </w:pPr>
      <w:r w:rsidRPr="002D0B5F">
        <w:t>8.</w:t>
      </w:r>
      <w:r w:rsidRPr="002D0B5F">
        <w:tab/>
        <w:t>konštatuje, že agentúra funguje od svojho zriadenia s nedostatkom ľudských zdrojov na niektorých pracovných miestach; berie na vedomie, že agentúra kompenzuje niektoré kapacitné obmedzenia, ak je to možné, uprednostňuje využívanie služieb, ktoré ponúka Komisia a iné agentúry Únie ako primárne riešenie; poznamenáva, že tento prístup zahŕňa využívanie služieb, ktoré poskytuje Úrad Komisie pre správu a úhradu individuálnych nárokov (PMO) a tím reakcie na núdzové počítačové situácie v inštitúciách, orgánoch a agentúrach Únie (CERT-EU) v oblasti IT a bezpečnosti; víta skutočnosť, že agentúra veľmi úspešne spolupracuje s Úradom Európskej únie pre duševné vlastníctvo v oblasti IT, čo zahŕňa hosting, vývoj IT, obnovu po havárii, vývoj nového návrhu webovej stránky agentúry a ďalšie IT služby;</w:t>
      </w:r>
    </w:p>
    <w:p w:rsidR="00CE33C8" w:rsidRPr="002D0B5F" w:rsidRDefault="006C1B28">
      <w:pPr>
        <w:pStyle w:val="NormalHanging12a"/>
      </w:pPr>
      <w:r w:rsidRPr="002D0B5F">
        <w:t>9.</w:t>
      </w:r>
      <w:r w:rsidRPr="002D0B5F">
        <w:tab/>
        <w:t>pripomína dôležitosť zvýšenia digitalizácie úradu, pokiaľ ide o jeho vnútornú prevádzku a riadenie, ale aj zámer urýchliť digitalizáciu postupov; zdôrazňuje, že je potrebné, aby bol inštitút v tejto súvislosti naďalej aktívny s cieľom zabrániť digitálnej priepasti medzi agentúrami; upozorňuje však na potrebu prijať všetky potrebné bezpečnostné opatrenia, aby sa zabránilo akémukoľvek ohrozeniu online bezpečnosti spracúvaných informácií, trvať na potrebe posilnenia boja proti kybernetickým útokom alebo pokusom o infiltráciu, ktoré pochádzajú najmä z Ruska alebo Číny;</w:t>
      </w:r>
    </w:p>
    <w:p w:rsidR="00CE33C8" w:rsidRPr="002D0B5F" w:rsidRDefault="006C1B28">
      <w:pPr>
        <w:pStyle w:val="Normal12Hanging"/>
        <w:rPr>
          <w:b/>
          <w:i/>
          <w:szCs w:val="24"/>
        </w:rPr>
      </w:pPr>
      <w:r w:rsidRPr="002D0B5F">
        <w:rPr>
          <w:b/>
          <w:i/>
        </w:rPr>
        <w:lastRenderedPageBreak/>
        <w:t>Personálna politika</w:t>
      </w:r>
    </w:p>
    <w:p w:rsidR="00CE33C8" w:rsidRPr="002D0B5F" w:rsidRDefault="006C1B28">
      <w:pPr>
        <w:spacing w:after="240"/>
        <w:ind w:left="567" w:hanging="567"/>
        <w:rPr>
          <w:rFonts w:eastAsia="Calibri"/>
          <w:szCs w:val="24"/>
        </w:rPr>
      </w:pPr>
      <w:r w:rsidRPr="002D0B5F">
        <w:t>10.</w:t>
      </w:r>
      <w:r w:rsidRPr="002D0B5F">
        <w:tab/>
        <w:t>konštatuje, že k 31. decembru 2022 plán pracovných miest obsahoval 16 dočasných zamestnancov povolených v rámci rozpočtu Únie (rovnaký počet povolených pracovných miest ako v roku 2021); konštatuje, že okrem toho v roku 2022 pracovalo pre agentúru 19 zmluvných zamestnancov, 8 vyslaných národných expertov a 10 dočasných zamestnancov a konzultantov;</w:t>
      </w:r>
    </w:p>
    <w:p w:rsidR="00CE33C8" w:rsidRPr="002D0B5F" w:rsidRDefault="006C1B28">
      <w:pPr>
        <w:pStyle w:val="NormalHanging12a"/>
      </w:pPr>
      <w:r w:rsidRPr="002D0B5F">
        <w:t>11.</w:t>
      </w:r>
      <w:r w:rsidRPr="002D0B5F">
        <w:tab/>
        <w:t>víta úsilie agentúry o zosúladenie jej fungovania so zásadami spoločného vyhlásenia Európskeho parlamentu, Rady Európskej únie a Európskej komisie z 19. júla 2012 o decentralizovaných agentúrach vrátane očakávanej minimálnej kritickej veľkosti;</w:t>
      </w:r>
    </w:p>
    <w:p w:rsidR="00CE33C8" w:rsidRPr="002D0B5F" w:rsidRDefault="006C1B28">
      <w:pPr>
        <w:pStyle w:val="NormalHanging12a"/>
      </w:pPr>
      <w:r w:rsidRPr="002D0B5F">
        <w:t>12.</w:t>
      </w:r>
      <w:r w:rsidRPr="002D0B5F">
        <w:tab/>
        <w:t>poznamenáva, že hlavnou výzvou v oblasti personálnej politiky bola vysoká fluktuácia zamestnancov, ktorá v roku 2022 vzrástla na 16,3 % v porovnaní so 4,6 % v roku 2021 a 5,4 % v roku 2020; berie na vedomie, že prudký nárast fluktuácie zamestnancov sa dotkol najmä administratívneho a finančného oddelenia; poznamenáva, že s cieľom obsadiť voľné pracovné miesta a zabezpečiť zamestnancov s novými kompetenciami potrebnými pre agentúru a jej administratívu v roku 2022 agentúra začala výberové konania na obsadenie piatich voľných pracovných miest (jedno miesto dočasného zamestnanca a štyri miesta zmluvných zamestnancov), na ktoré nemala vhodné zoznamy náhradníkov, zatiaľ čo na zvyšné tri voľné pracovné miesta agentúra zabezpečila rýchly nábor zo svojich zoznamov aktívnych náhradníkov; žiada však agentúru, aby analyzovala dôvody vysokej fluktuácie zamestnancov a podnikla potrebné kroky na to, aby sa jej v budúcnosti zabránilo, a aby o tom informovala orgán udeľujúci absolutórium;</w:t>
      </w:r>
    </w:p>
    <w:p w:rsidR="00CE33C8" w:rsidRPr="002D0B5F" w:rsidRDefault="006C1B28">
      <w:pPr>
        <w:spacing w:after="240"/>
        <w:ind w:left="567" w:hanging="567"/>
        <w:rPr>
          <w:rFonts w:eastAsia="Calibri"/>
          <w:szCs w:val="24"/>
        </w:rPr>
      </w:pPr>
      <w:r w:rsidRPr="002D0B5F">
        <w:t>13.</w:t>
      </w:r>
      <w:r w:rsidRPr="002D0B5F">
        <w:tab/>
        <w:t>oceňuje iniciatívy agentúry na zlepšenie podmienok pracovného a súkromného života zamestnancov vrátane právneho poradenstva v súkromných záležitostiach, finančnej podpory pre materské školy, školného pre medzinárodné školy, jazykových kurzov, tovaru oslobodeného od DPH pre vyslaných národných expertov, úvodného programu pre novoprijatých zamestnancov a pomoci pre rodinných príslušníkov, ktorí sa usadili v Lotyšsku, pričom niektoré z nich sa uskutočnili v spolupráci s lotyšskými orgánmi;</w:t>
      </w:r>
    </w:p>
    <w:p w:rsidR="00CE33C8" w:rsidRPr="002D0B5F" w:rsidRDefault="006C1B28">
      <w:pPr>
        <w:pStyle w:val="NormalHanging12a"/>
      </w:pPr>
      <w:r w:rsidRPr="002D0B5F">
        <w:t>14.</w:t>
      </w:r>
      <w:r w:rsidRPr="002D0B5F">
        <w:tab/>
        <w:t>víta skutočnosť, že v roku 2022, ako aj v roku 2021 bola v rámci zamestnancov dosiahnutá celková rodová rovnováha, pričom 52 % zamestnancov tvorili ženy a 48 % muži; trvá na zintenzívnení úsilia o zachovanie primeranej rodovej rovnováhy medzi zamestnancami agentúry; uznáva, že agentúra má len tri pozície stredného manažmentu a že aj v strednom manažmente bola dosiahnutá prijateľná rodová rovnováha, keď v ňom pôsobila jedna žena a dvaja muži;</w:t>
      </w:r>
    </w:p>
    <w:p w:rsidR="00CE33C8" w:rsidRPr="002D0B5F" w:rsidRDefault="006C1B28">
      <w:pPr>
        <w:pStyle w:val="NormalHanging12a"/>
      </w:pPr>
      <w:r w:rsidRPr="002D0B5F">
        <w:t>15.</w:t>
      </w:r>
      <w:r w:rsidRPr="002D0B5F">
        <w:tab/>
        <w:t>konštatuje, že agentúra má politiku v oblasti ochrany ľudskej dôstojnosti a predchádzania psychickému a sexuálnemu obťažovaniu a že agentúra je súčasťou medziagentúrnej pracovnej skupiny dôverných poradcov; so záujmom očakáva ich správu a odporúčania; konštatuje, že v roku 2022 neboli nahlásené žiadne prípady obťažovania, a nabáda agentúru, aby pokračovala v práci na predchádzaní prípadom aj v budúcnosti a rozvíjala ju;</w:t>
      </w:r>
    </w:p>
    <w:p w:rsidR="00CE33C8" w:rsidRPr="002D0B5F" w:rsidRDefault="006C1B28">
      <w:pPr>
        <w:pStyle w:val="NormalHanging12a"/>
      </w:pPr>
      <w:r w:rsidRPr="002D0B5F">
        <w:t>16.</w:t>
      </w:r>
      <w:r w:rsidRPr="002D0B5F">
        <w:tab/>
        <w:t xml:space="preserve">vyjadruje poľutovanie nad tým, že agentúra neprijala „Chartu rozmanitosti a začlenenia“, ktorej cieľom je podporovať rovnaké zaobchádzanie a príležitosti bez ohľadu na pohlavie, rasu, farbu pleti, etnický alebo sociálny pôvod, genetické vlastnosti, jazyk, náboženstvo alebo vieru, politické alebo iné názory, príslušnosť k národnostnej </w:t>
      </w:r>
      <w:r w:rsidRPr="002D0B5F">
        <w:lastRenderedPageBreak/>
        <w:t>menšine, majetok, narodenie, zdravotné postihnutie, vek alebo sexuálnu orientáciu; pripomína, že jedným z cieľov charty je dosiahnuť v krátkodobom až strednodobom horizonte aspoň 40 % nedostatočne zastúpeného rodu v strednom manažmente; berie na vedomie odpoveď agentúry na štandardizovaný dotazník o absolutóriu; domnieva sa, že nepárny počet pre kategóriu vyšších manažérov a stredných manažérov nebráni prijatiu charty; nabáda agentúru, aby chartu prijala a aktívne sa zúčastňovala na iniciatívach, ktoré podporujú rozmanitosť a začlenenie na pracovisku;</w:t>
      </w:r>
    </w:p>
    <w:p w:rsidR="00CE33C8" w:rsidRPr="002D0B5F" w:rsidRDefault="006C1B28">
      <w:pPr>
        <w:pStyle w:val="NormalHanging12a"/>
      </w:pPr>
      <w:r w:rsidRPr="002D0B5F">
        <w:t>17.</w:t>
      </w:r>
      <w:r w:rsidRPr="002D0B5F">
        <w:tab/>
        <w:t>víta skutočnosť, že agentúra v roku 2022 pokračovala vo svojom programe stáží; konštatuje, že do agentúry vstúpilo celkovo 7 stážistov a 15 stážistov sa zúčastnilo na programe stáží agentúry;</w:t>
      </w:r>
    </w:p>
    <w:p w:rsidR="00CE33C8" w:rsidRPr="002D0B5F" w:rsidRDefault="006C1B28">
      <w:pPr>
        <w:spacing w:after="240"/>
        <w:ind w:left="567" w:hanging="567"/>
        <w:rPr>
          <w:rFonts w:eastAsia="Calibri"/>
          <w:b/>
          <w:i/>
          <w:szCs w:val="24"/>
        </w:rPr>
      </w:pPr>
      <w:r w:rsidRPr="002D0B5F">
        <w:rPr>
          <w:b/>
          <w:i/>
        </w:rPr>
        <w:t>Prevencia, riešenie konfliktov záujmov a transparentnosť</w:t>
      </w:r>
    </w:p>
    <w:p w:rsidR="00CE33C8" w:rsidRPr="002D0B5F" w:rsidRDefault="006C1B28">
      <w:pPr>
        <w:spacing w:after="240"/>
        <w:ind w:left="567" w:hanging="567"/>
        <w:rPr>
          <w:szCs w:val="24"/>
        </w:rPr>
      </w:pPr>
      <w:r w:rsidRPr="002D0B5F">
        <w:t>18.</w:t>
      </w:r>
      <w:r w:rsidRPr="002D0B5F">
        <w:tab/>
        <w:t>konštatuje, že agentúra na svojom webovom sídle zverejňuje životopisy a vyhlásenia o konfliktoch záujmov členov správnej rady;</w:t>
      </w:r>
    </w:p>
    <w:p w:rsidR="00CE33C8" w:rsidRPr="002D0B5F" w:rsidRDefault="006C1B28">
      <w:pPr>
        <w:spacing w:after="240"/>
        <w:ind w:left="567" w:hanging="567"/>
        <w:rPr>
          <w:szCs w:val="24"/>
        </w:rPr>
      </w:pPr>
      <w:r w:rsidRPr="002D0B5F">
        <w:t>19.</w:t>
      </w:r>
      <w:r w:rsidRPr="002D0B5F">
        <w:tab/>
        <w:t>berie na vedomie skutočnosť, že štatutárni zamestnanci, vyslaní národní experti, stážisti a dočasní zamestnanci musia pred nástupom do funkcie v agentúre predložiť vyhlásenie o záujmoch, ktoré následne pred schválením pridelenia preskúma menovací orgán alebo riaditeľ; ďalej poznamenáva, že zamestnanci musia toto vyhlásenie počas zamestnania pravidelne aktualizovať, aby riešili všetky situácie konfliktu záujmov ad hoc, a musia agentúru aktívne informovať o všetkých externých aktivitách, pracovných záväzkoch počas osobného voľna, uchovávaní darov, zamestnaní manželov a potenciálnych konfliktoch prostredníctvom publikácií alebo prejavov; poznamenáva, že pri skončení pracovného pomeru sú štatutárni zamestnanci a stážisti povinní oznámiť agentúre svoje plánované budúce pracovné záväzky v stanovenom časovom rámci po skončení pracovného pomeru;</w:t>
      </w:r>
    </w:p>
    <w:p w:rsidR="00CE33C8" w:rsidRPr="002D0B5F" w:rsidRDefault="006C1B28">
      <w:pPr>
        <w:spacing w:after="240"/>
        <w:ind w:left="567" w:hanging="567"/>
        <w:rPr>
          <w:szCs w:val="24"/>
        </w:rPr>
      </w:pPr>
      <w:r w:rsidRPr="002D0B5F">
        <w:t>20.</w:t>
      </w:r>
      <w:r w:rsidRPr="002D0B5F">
        <w:tab/>
        <w:t>berie na vedomie skutočnosť, že riaditeľ agentúry prijal oznámenie o riadení konfliktov záujmov zamestnancov počas výberu a náboru, v ktorom sa vyžaduje, aby zamestnanci oznámili akékoľvek pracovné/osobné vzťahy s uchádzačmi bez ohľadu na to, či tento vzťah predstavuje konflikt záujmov alebo nie; ďalej poznamenáva, že zamestnanci by mali takisto uviesť, či môžu alebo nemôžu zachovať nestrannosť; poznamenáva, že po zverejnení mien uchádzačov musia členovia výberovej komisie predložiť vyhlásenie o konflikte záujmov v súlade s uvedeným oznámením, ako aj s usmerneniami o predchádzaní a riadení konfliktov záujmov zamestnancov zapojených do postupov výberu, náboru alebo reklasifikácie v agentúre;</w:t>
      </w:r>
    </w:p>
    <w:p w:rsidR="00CE33C8" w:rsidRPr="002D0B5F" w:rsidRDefault="006C1B28">
      <w:pPr>
        <w:spacing w:after="240"/>
        <w:ind w:left="567" w:hanging="567"/>
        <w:rPr>
          <w:szCs w:val="24"/>
        </w:rPr>
      </w:pPr>
      <w:r w:rsidRPr="002D0B5F">
        <w:t>21.</w:t>
      </w:r>
      <w:r w:rsidRPr="002D0B5F">
        <w:tab/>
        <w:t>berie na vedomie, že správna rada prijala stratégiu agentúry na boj proti podvodom na roky 2023 – 2025, ktorej cieľom je zlepšiť odhaľovanie, sankcionovanie podvodov a predchádzanie podvodom a bojovať proti akýmkoľvek iným nezákonným činnostiam, ktoré môžu mať vplyv na jej finančné záujmy; víta, že agentúra nasadila do výroby etické moduly v systéme Sysper, ktoré zahŕňajú vyhlásenie o konflikte záujmov, vyhlásenie o daroch alebo pohostinstve, vyhlásenie o zverejnení, žiadosť o povolenie externej činnosti, žiadosť o externú činnosť počas dovolenky z osobných dôvodov, vyhlásenie o zamestnaní manžela/manželky;</w:t>
      </w:r>
    </w:p>
    <w:p w:rsidR="00CE33C8" w:rsidRPr="002D0B5F" w:rsidRDefault="006C1B28">
      <w:pPr>
        <w:pStyle w:val="NormalHanging12a"/>
      </w:pPr>
      <w:r w:rsidRPr="002D0B5F">
        <w:t>22.</w:t>
      </w:r>
      <w:r w:rsidRPr="002D0B5F">
        <w:tab/>
        <w:t>pripomína, že je dôležité, aby sa agentúra viac zviditeľnila v médiách, na internete a v sociálnych médiách s cieľom informovať občanov o svojej práci;</w:t>
      </w:r>
    </w:p>
    <w:p w:rsidR="00CE33C8" w:rsidRPr="002D0B5F" w:rsidRDefault="006C1B28">
      <w:pPr>
        <w:spacing w:after="240"/>
        <w:ind w:left="567" w:hanging="567"/>
        <w:rPr>
          <w:b/>
          <w:i/>
          <w:szCs w:val="24"/>
        </w:rPr>
      </w:pPr>
      <w:r w:rsidRPr="002D0B5F">
        <w:rPr>
          <w:b/>
          <w:i/>
        </w:rPr>
        <w:lastRenderedPageBreak/>
        <w:t>Ďalšie pripomienky</w:t>
      </w:r>
    </w:p>
    <w:p w:rsidR="00CE33C8" w:rsidRPr="002D0B5F" w:rsidRDefault="006C1B28">
      <w:pPr>
        <w:spacing w:after="240"/>
        <w:ind w:left="567" w:hanging="567"/>
        <w:rPr>
          <w:b/>
          <w:i/>
          <w:szCs w:val="24"/>
        </w:rPr>
      </w:pPr>
      <w:r w:rsidRPr="002D0B5F">
        <w:t>23.</w:t>
      </w:r>
      <w:r w:rsidRPr="002D0B5F">
        <w:tab/>
        <w:t>poznamenáva, že od februára 2022 začala agentúra používať nástroj Komisie na riadenie verejného obstarávania (Public Procurement Management Tool – PPMT), ktorý ďalej zefektívnil jej procesy verejného obstarávania a zabezpečuje používanie najnovších vzorov a najlepších postupov Komisie v každom kroku procesu;</w:t>
      </w:r>
    </w:p>
    <w:p w:rsidR="00CE33C8" w:rsidRPr="002D0B5F" w:rsidRDefault="006C1B28">
      <w:pPr>
        <w:spacing w:after="240"/>
        <w:ind w:left="567" w:hanging="567"/>
        <w:rPr>
          <w:szCs w:val="24"/>
        </w:rPr>
      </w:pPr>
      <w:r w:rsidRPr="002D0B5F">
        <w:t>24.</w:t>
      </w:r>
      <w:r w:rsidRPr="002D0B5F">
        <w:tab/>
        <w:t>berie na vedomie, že na zvýšenie kybernetickej bezpečnosti a ochrany digitálnych záznamov, ktoré má agentúra v držbe, využíva dvojfaktorovú autentifikáciu, firewally webových aplikácií, automatizované zálohovanie, šifrovanie (ak je to možné) a pravidelné testy obnovy systémov, ktoré sú kriticky dôležité pre kontinuitu činností; ďalej poznamenáva, že agentúra okrem toho využíva softvérovú ochranu zariadení koncových používateľov, ako sú prenosné počítače a mobilné telefóny, a služby v oblasti bezpečnosti IKT, ktoré poskytuje CERT-EU;</w:t>
      </w:r>
    </w:p>
    <w:p w:rsidR="00CE33C8" w:rsidRPr="002D0B5F" w:rsidRDefault="006C1B28">
      <w:pPr>
        <w:pStyle w:val="NormalHanging12a"/>
      </w:pPr>
      <w:r w:rsidRPr="002D0B5F">
        <w:t>25.</w:t>
      </w:r>
      <w:r w:rsidRPr="002D0B5F">
        <w:tab/>
        <w:t>víta úsilie agentúry prioritne riešiť nové právne predpisy, ktorými sa stanovujú opatrenia v oblasti kybernetickej bezpečnosti v inštitúciách, orgánoch, úradoch a agentúrach Únie; so znepokojením berie na vedomie možnú neprimeranú záťaž nariadenia o kybernetickej bezpečnosti pre malé agentúry, ako je Úrad BEREC, ktorá by mohla ohroziť dodržiavanie predpisov; vyzýva Komisiu, aby túto skutočnosť zohľadnila v budúcich programových cykloch;</w:t>
      </w:r>
    </w:p>
    <w:p w:rsidR="00CE33C8" w:rsidRPr="002D0B5F" w:rsidRDefault="006C1B28">
      <w:pPr>
        <w:spacing w:after="240"/>
        <w:ind w:left="567" w:hanging="567"/>
        <w:rPr>
          <w:rFonts w:eastAsia="Calibri"/>
          <w:szCs w:val="24"/>
        </w:rPr>
      </w:pPr>
      <w:r w:rsidRPr="002D0B5F">
        <w:t>26.</w:t>
      </w:r>
      <w:r w:rsidRPr="002D0B5F">
        <w:tab/>
        <w:t>víta skutočnosť, že správna rada agentúry stanovila certifikáciu EMAS ako cieľ na nasledujúce tri roky; je si vedomý, že agentúra začala internú prípravu na certifikáciu, ktorá zahŕňa ďalšie aktualizácie výpočtu uhlíkovej stopy agentúry, účasť na twinningovom projekte siete ekologických agentúr EÚ a iné;</w:t>
      </w:r>
    </w:p>
    <w:p w:rsidR="00CE33C8" w:rsidRPr="002D0B5F" w:rsidRDefault="006C1B28">
      <w:pPr>
        <w:pStyle w:val="NormalHanging12a"/>
      </w:pPr>
      <w:r w:rsidRPr="002D0B5F">
        <w:t>27.</w:t>
      </w:r>
      <w:r w:rsidRPr="002D0B5F">
        <w:tab/>
        <w:t>s uznaním víta účasť ukrajinského národného regulačného orgánu na každodennej činnosti agentúry; oceňuje, že agentúra a jej členovia vytvorili rámec spolupráce na riešenie výziev v oblasti pripojenia a pripravili pôdu na harmonizáciu ukrajinských predpisov v oblasti elektronických komunikácií s európskym telekomunikačným rámcom; ďalej oceňuje, že na základe údajov, ktoré agentúra zozbierala od subjektov z Únie a Ukrajiny o uplatňovaných maloobchodných opatreniach, bolo dohodnuté spoločné vyhlásenie, ktorým sa vytvoril stabilný rámec na pomoc ľuďom utekajúcim pred vojnou na Ukrajine, aby mohli zostať v spojení so svojimi rodinami a priateľmi doma a zachovať si prístup k informáciám;</w:t>
      </w:r>
    </w:p>
    <w:p w:rsidR="00CE33C8" w:rsidRPr="002D0B5F" w:rsidRDefault="006C1B28">
      <w:pPr>
        <w:pStyle w:val="NormalHanging12a"/>
      </w:pPr>
      <w:r w:rsidRPr="002D0B5F">
        <w:t>28.</w:t>
      </w:r>
      <w:r w:rsidRPr="002D0B5F">
        <w:tab/>
        <w:t>oceňuje úsilie agentúry v roku 2022 o zvýšenie informovanosti verejnosti o jej mandáte a práci v Lotyšsku prostredníctvom malých komunikačných iniciatív, ako je napríklad prijatie návštevy študentov Rižskej univerzity Stradins, podpora partnerstva, ktoré zlepšuje ich porozumenie agentúram EÚ, najmä v Lotyšsku, účasť na podujatí naživo vysielanom pri príležitosti Dňa Európy v Lotyšsku, ktoré zorganizovalo zastúpenie Európskej komisie v tejto krajine, a ďalšie podujatia; vyzýva agentúru, aby naďalej pracovala na svojom zviditeľňovaní, najmä v hostiteľskom členskom štáte;</w:t>
      </w:r>
    </w:p>
    <w:p w:rsidR="00CE33C8" w:rsidRPr="002D0B5F" w:rsidRDefault="006C1B28">
      <w:pPr>
        <w:pStyle w:val="NormalHanging12a"/>
      </w:pPr>
      <w:r w:rsidRPr="002D0B5F">
        <w:t>29.</w:t>
      </w:r>
      <w:r w:rsidRPr="002D0B5F">
        <w:tab/>
        <w:t>víta skutočnosť, že miestne kancelárie Európskeho parlamentu a Komisie v Rige a agentúra sa spojili s cieľom spolupracovať na vytvorení spoločného Domu Európy, ktorý bude „domom“ všetkých inštitúcií Únie a agentúry v Lotyšsku;</w:t>
      </w:r>
    </w:p>
    <w:p w:rsidR="00CE33C8" w:rsidRPr="002D0B5F" w:rsidRDefault="006C1B28">
      <w:pPr>
        <w:pStyle w:val="NormalCenter12a"/>
      </w:pPr>
      <w:r w:rsidRPr="002D0B5F">
        <w:t>°</w:t>
      </w:r>
    </w:p>
    <w:p w:rsidR="00CE33C8" w:rsidRPr="002D0B5F" w:rsidRDefault="006C1B28">
      <w:pPr>
        <w:pStyle w:val="NormalCenter12a"/>
      </w:pPr>
      <w:r w:rsidRPr="002D0B5F">
        <w:lastRenderedPageBreak/>
        <w:t>°</w:t>
      </w:r>
      <w:r w:rsidRPr="002D0B5F">
        <w:tab/>
        <w:t>°</w:t>
      </w:r>
    </w:p>
    <w:p w:rsidR="00CE33C8" w:rsidRPr="002D0B5F" w:rsidRDefault="006C1B28">
      <w:pPr>
        <w:pStyle w:val="NormalHanging12a"/>
      </w:pPr>
      <w:r w:rsidRPr="002D0B5F">
        <w:t>30.</w:t>
      </w:r>
      <w:r w:rsidRPr="002D0B5F">
        <w:tab/>
        <w:t>pokiaľ ide o ďalšie poznámky prierezovej povahy, ktoré sú súčasťou rozhodnutia o absolutóriu, odvoláva sa na svoje uznesenie z 11. apríla 2024</w:t>
      </w:r>
      <w:r w:rsidRPr="002D0B5F">
        <w:rPr>
          <w:vertAlign w:val="superscript"/>
        </w:rPr>
        <w:footnoteReference w:id="12"/>
      </w:r>
      <w:r w:rsidRPr="002D0B5F">
        <w:t xml:space="preserve"> o výkonnosti, finančnom hospodárení a kontrole agentúr.</w:t>
      </w:r>
    </w:p>
    <w:p w:rsidR="00CE33C8" w:rsidRPr="002D0B5F" w:rsidRDefault="00CE33C8"/>
    <w:p w:rsidR="00CE33C8" w:rsidRPr="002D0B5F" w:rsidRDefault="00CE33C8">
      <w:bookmarkStart w:id="9" w:name="TextBodyEnd"/>
      <w:bookmarkEnd w:id="9"/>
    </w:p>
    <w:sectPr w:rsidR="00CE33C8" w:rsidRPr="002D0B5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33C8" w:rsidRDefault="006C1B28">
      <w:r>
        <w:separator/>
      </w:r>
    </w:p>
  </w:endnote>
  <w:endnote w:type="continuationSeparator" w:id="0">
    <w:p w:rsidR="00CE33C8" w:rsidRDefault="006C1B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33C8" w:rsidRDefault="006C1B28">
    <w:pPr>
      <w:pStyle w:val="EPFooter"/>
    </w:pPr>
    <w:r>
      <w:t>PE</w:t>
    </w:r>
    <w:r>
      <w:rPr>
        <w:rStyle w:val="HideTWBExt"/>
      </w:rPr>
      <w:t>&lt;NoPE&gt;</w:t>
    </w:r>
    <w:r>
      <w:t>753.507</w:t>
    </w:r>
    <w:r>
      <w:rPr>
        <w:rStyle w:val="HideTWBExt"/>
      </w:rPr>
      <w:t>&lt;/NoPE&gt;&lt;Version&gt;</w:t>
    </w:r>
    <w:r>
      <w:t>v02-00</w:t>
    </w:r>
    <w:r>
      <w:rPr>
        <w:rStyle w:val="HideTWBExt"/>
      </w:rPr>
      <w:t>&lt;/Version&gt;</w:t>
    </w:r>
    <w:r>
      <w:tab/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4</w:t>
    </w:r>
    <w:r>
      <w:fldChar w:fldCharType="end"/>
    </w:r>
    <w:r>
      <w:t>/</w:t>
    </w:r>
    <w:r w:rsidR="00C33440">
      <w:fldChar w:fldCharType="begin"/>
    </w:r>
    <w:r w:rsidR="00C33440">
      <w:instrText xml:space="preserve"> NUMPAGES  \* MERGEFORMAT </w:instrText>
    </w:r>
    <w:r w:rsidR="00C33440">
      <w:fldChar w:fldCharType="separate"/>
    </w:r>
    <w:r>
      <w:rPr>
        <w:noProof/>
      </w:rPr>
      <w:t>4</w:t>
    </w:r>
    <w:r w:rsidR="00C33440">
      <w:rPr>
        <w:noProof/>
      </w:rPr>
      <w:fldChar w:fldCharType="end"/>
    </w:r>
    <w:r>
      <w:tab/>
    </w:r>
    <w:r>
      <w:rPr>
        <w:rStyle w:val="HideTWBExt"/>
      </w:rPr>
      <w:t>&lt;PathFdR&gt;</w:t>
    </w:r>
    <w:r>
      <w:t>RR\1299071SK.docx</w:t>
    </w:r>
    <w:r>
      <w:rPr>
        <w:rStyle w:val="HideTWBExt"/>
      </w:rPr>
      <w:t>&lt;/PathFdR&gt;</w:t>
    </w:r>
  </w:p>
  <w:p w:rsidR="00CE33C8" w:rsidRDefault="006C1B28">
    <w:pPr>
      <w:pStyle w:val="EPFooter2"/>
    </w:pPr>
    <w:r>
      <w:t>SK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33C8" w:rsidRDefault="006C1B28">
    <w:pPr>
      <w:pStyle w:val="EPFooter"/>
    </w:pPr>
    <w:r>
      <w:rPr>
        <w:rStyle w:val="HideTWBExt"/>
      </w:rPr>
      <w:t>&lt;PathFdR&gt;</w:t>
    </w:r>
    <w:r>
      <w:t>RR\1299071SK.docx</w:t>
    </w:r>
    <w:r>
      <w:rPr>
        <w:rStyle w:val="HideTWBExt"/>
      </w:rPr>
      <w:t>&lt;/PathFdR&gt;</w:t>
    </w:r>
    <w:r>
      <w:tab/>
    </w:r>
    <w:r>
      <w:tab/>
      <w:t>PE</w:t>
    </w:r>
    <w:r>
      <w:rPr>
        <w:rStyle w:val="HideTWBExt"/>
      </w:rPr>
      <w:t>&lt;NoPE&gt;</w:t>
    </w:r>
    <w:r>
      <w:t>753.507</w:t>
    </w:r>
    <w:r>
      <w:rPr>
        <w:rStyle w:val="HideTWBExt"/>
      </w:rPr>
      <w:t>&lt;/NoPE&gt;&lt;Version&gt;</w:t>
    </w:r>
    <w:r>
      <w:t>v02-00</w:t>
    </w:r>
    <w:r>
      <w:rPr>
        <w:rStyle w:val="HideTWBExt"/>
      </w:rPr>
      <w:t>&lt;/Version&gt;</w:t>
    </w:r>
  </w:p>
  <w:p w:rsidR="00CE33C8" w:rsidRDefault="006C1B28">
    <w:pPr>
      <w:pStyle w:val="EPFooter2"/>
    </w:pPr>
    <w:r>
      <w:t>SK</w:t>
    </w:r>
    <w:r>
      <w:tab/>
    </w:r>
    <w:r>
      <w:rPr>
        <w:b w:val="0"/>
        <w:i/>
        <w:color w:val="C0C0C0"/>
        <w:sz w:val="22"/>
      </w:rPr>
      <w:t>Zjednotení v rozmanitosti</w:t>
    </w:r>
    <w:r>
      <w:tab/>
      <w:t>SK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33C8" w:rsidRDefault="00CE33C8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33C8" w:rsidRDefault="00CE33C8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33C8" w:rsidRDefault="00CE33C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33C8" w:rsidRDefault="006C1B28">
      <w:r>
        <w:separator/>
      </w:r>
    </w:p>
  </w:footnote>
  <w:footnote w:type="continuationSeparator" w:id="0">
    <w:p w:rsidR="00CE33C8" w:rsidRDefault="006C1B28">
      <w:r>
        <w:continuationSeparator/>
      </w:r>
    </w:p>
  </w:footnote>
  <w:footnote w:id="1">
    <w:p w:rsidR="00CE33C8" w:rsidRDefault="006C1B28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 v. EÚ C, C/2023/594, 27.10.2023.</w:t>
      </w:r>
    </w:p>
  </w:footnote>
  <w:footnote w:id="2">
    <w:p w:rsidR="00CE33C8" w:rsidRDefault="006C1B28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 v. EÚ C, C/2023/112, 12.10.2023.</w:t>
      </w:r>
    </w:p>
  </w:footnote>
  <w:footnote w:id="3">
    <w:p w:rsidR="00CE33C8" w:rsidRDefault="006C1B28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 v. EÚ L 193, 30.7.2018, s. 1.</w:t>
      </w:r>
    </w:p>
  </w:footnote>
  <w:footnote w:id="4">
    <w:p w:rsidR="00CE33C8" w:rsidRDefault="006C1B28">
      <w:pPr>
        <w:pStyle w:val="FootnoteText"/>
        <w:ind w:left="567" w:hanging="567"/>
        <w:rPr>
          <w:sz w:val="24"/>
          <w:szCs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 v. EÚ L 321, 17.12.2018, s. 1.</w:t>
      </w:r>
    </w:p>
  </w:footnote>
  <w:footnote w:id="5">
    <w:p w:rsidR="00CE33C8" w:rsidRDefault="006C1B28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 v. EÚ L 122, 10.5.2019, s. 1.</w:t>
      </w:r>
    </w:p>
  </w:footnote>
  <w:footnote w:id="6">
    <w:p w:rsidR="00CE33C8" w:rsidRDefault="006C1B28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 v. EÚ C, C/2023/594, 27.10.2023.</w:t>
      </w:r>
    </w:p>
  </w:footnote>
  <w:footnote w:id="7">
    <w:p w:rsidR="00CE33C8" w:rsidRDefault="006C1B28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 v. EÚ C, C/2023/112, 12.10.2023.</w:t>
      </w:r>
    </w:p>
  </w:footnote>
  <w:footnote w:id="8">
    <w:p w:rsidR="00CE33C8" w:rsidRDefault="006C1B28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 v. EÚ L 193, 30.7.2018, s. 1.</w:t>
      </w:r>
    </w:p>
  </w:footnote>
  <w:footnote w:id="9">
    <w:p w:rsidR="00CE33C8" w:rsidRDefault="006C1B28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 v. EÚ L 321, 17.12.2018, s. 1.</w:t>
      </w:r>
    </w:p>
  </w:footnote>
  <w:footnote w:id="10">
    <w:p w:rsidR="00CE33C8" w:rsidRDefault="006C1B28">
      <w:pPr>
        <w:pStyle w:val="FootnoteText"/>
        <w:ind w:left="567" w:hanging="567"/>
        <w:rPr>
          <w:sz w:val="24"/>
          <w:szCs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 v. EÚ L 122, 10.5.2019, s. 1.</w:t>
      </w:r>
    </w:p>
  </w:footnote>
  <w:footnote w:id="11">
    <w:p w:rsidR="00CE33C8" w:rsidRDefault="006C1B28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 v. EÚ C 119, 31.3.2023, s. 11.</w:t>
      </w:r>
    </w:p>
  </w:footnote>
  <w:footnote w:id="12">
    <w:p w:rsidR="00CE33C8" w:rsidRDefault="006C1B28">
      <w:pPr>
        <w:pStyle w:val="FootnoteText"/>
        <w:ind w:left="567" w:hanging="567"/>
        <w:rPr>
          <w:sz w:val="24"/>
          <w:szCs w:val="24"/>
          <w:lang w:val="sk-SK"/>
        </w:rPr>
      </w:pPr>
      <w:r>
        <w:rPr>
          <w:rStyle w:val="FootnoteReference"/>
          <w:sz w:val="24"/>
          <w:szCs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Prijaté texty, P9_TA(2024)0</w:t>
      </w:r>
      <w:r w:rsidR="002C0CA5">
        <w:rPr>
          <w:sz w:val="24"/>
          <w:lang w:val="sk-SK"/>
        </w:rPr>
        <w:t>280</w:t>
      </w:r>
      <w:r>
        <w:rPr>
          <w:sz w:val="24"/>
          <w:lang w:val="sk-SK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33C8" w:rsidRDefault="00CE33C8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33C8" w:rsidRDefault="00CE33C8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33C8" w:rsidRDefault="00CE33C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23/2024"/>
    <w:docVar w:name="dvlangue" w:val="SK"/>
    <w:docVar w:name="dvnumam" w:val="0"/>
    <w:docVar w:name="dvpe" w:val="753.507"/>
    <w:docVar w:name="dvrapporteur" w:val="Spravodajca: "/>
    <w:docVar w:name="dvtitre" w:val="1. Rozhodnutie Európskeho parlamentu z 11. apríla 2024 o absolutóriu za plnenie rozpočtu Agentúry na podporu orgánu BEREC (Úrad BEREC) za rozpočtový rok 2022(2023/2141(DEC))"/>
  </w:docVars>
  <w:rsids>
    <w:rsidRoot w:val="00CE33C8"/>
    <w:rsid w:val="001546FB"/>
    <w:rsid w:val="002C0CA5"/>
    <w:rsid w:val="002D0B5F"/>
    <w:rsid w:val="00656915"/>
    <w:rsid w:val="006C1B28"/>
    <w:rsid w:val="00AE0247"/>
    <w:rsid w:val="00B82637"/>
    <w:rsid w:val="00C33440"/>
    <w:rsid w:val="00CE3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E9DE701"/>
  <w15:chartTrackingRefBased/>
  <w15:docId w15:val="{86AC56DA-E953-484C-9B7A-71D5BF812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Pr>
      <w:sz w:val="22"/>
      <w:lang w:val="fr-FR" w:eastAsia="fr-FR"/>
    </w:rPr>
  </w:style>
  <w:style w:type="character" w:styleId="PageNumber">
    <w:name w:val="page number"/>
    <w:semiHidden/>
  </w:style>
  <w:style w:type="paragraph" w:styleId="TOC2">
    <w:name w:val="toc 2"/>
    <w:basedOn w:val="Normal"/>
    <w:next w:val="Normal"/>
    <w:autoRedefine/>
    <w:semiHidden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pPr>
      <w:jc w:val="right"/>
    </w:p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pPr>
      <w:spacing w:before="480" w:after="240"/>
    </w:pPr>
  </w:style>
  <w:style w:type="paragraph" w:customStyle="1" w:styleId="PageHeading">
    <w:name w:val="PageHeading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Pr>
      <w:b/>
    </w:rPr>
  </w:style>
  <w:style w:type="paragraph" w:customStyle="1" w:styleId="NormalHanging12a">
    <w:name w:val="NormalHanging12a"/>
    <w:basedOn w:val="Normal"/>
    <w:link w:val="NormalHanging12aChar"/>
    <w:pPr>
      <w:spacing w:after="240"/>
      <w:ind w:left="567" w:hanging="567"/>
    </w:pPr>
  </w:style>
  <w:style w:type="paragraph" w:customStyle="1" w:styleId="NormalCenter12a">
    <w:name w:val="NormalCenter12a"/>
    <w:basedOn w:val="Normal"/>
    <w:pPr>
      <w:spacing w:after="240"/>
      <w:jc w:val="center"/>
    </w:pPr>
  </w:style>
  <w:style w:type="paragraph" w:styleId="Header">
    <w:name w:val="header"/>
    <w:basedOn w:val="Normal"/>
    <w:link w:val="HeaderChar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Pr>
      <w:sz w:val="24"/>
      <w:lang w:val="sk-SK"/>
    </w:rPr>
  </w:style>
  <w:style w:type="paragraph" w:customStyle="1" w:styleId="EPFooter">
    <w:name w:val="EPFooter"/>
    <w:basedOn w:val="Normal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NormalHanging12aChar">
    <w:name w:val="NormalHanging12a Char"/>
    <w:link w:val="NormalHanging12a"/>
    <w:locked/>
    <w:rPr>
      <w:sz w:val="24"/>
      <w:lang w:val="sk-SK"/>
    </w:rPr>
  </w:style>
  <w:style w:type="paragraph" w:customStyle="1" w:styleId="Normal12Hanging">
    <w:name w:val="Normal12Hanging"/>
    <w:basedOn w:val="Normal"/>
    <w:pPr>
      <w:spacing w:after="240"/>
      <w:ind w:left="567" w:hanging="567"/>
    </w:pPr>
  </w:style>
  <w:style w:type="paragraph" w:styleId="Footer">
    <w:name w:val="footer"/>
    <w:basedOn w:val="Normal"/>
    <w:link w:val="FooterChar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01F02E-9A0D-4798-A284-57E597D374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10</Pages>
  <Words>3138</Words>
  <Characters>17891</Characters>
  <Application>Microsoft Office Word</Application>
  <DocSecurity>0</DocSecurity>
  <Lines>149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20988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Alexandre Zuzana</cp:lastModifiedBy>
  <cp:revision>5</cp:revision>
  <cp:lastPrinted>2004-11-19T15:42:00Z</cp:lastPrinted>
  <dcterms:created xsi:type="dcterms:W3CDTF">2024-04-11T11:36:00Z</dcterms:created>
  <dcterms:modified xsi:type="dcterms:W3CDTF">2024-04-11T14:16:00Z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A9-0123/2024</vt:lpwstr>
  </property>
  <property fmtid="{D5CDD505-2E9C-101B-9397-08002B2CF9AE}" pid="4" name="&lt;Type&gt;">
    <vt:lpwstr>RR</vt:lpwstr>
  </property>
</Properties>
</file>