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E8B" w:rsidTr="0010095E">
        <w:trPr>
          <w:trHeight w:hRule="exact" w:val="1418"/>
        </w:trPr>
        <w:tc>
          <w:tcPr>
            <w:tcW w:w="6804" w:type="dxa"/>
            <w:shd w:val="clear" w:color="auto" w:fill="auto"/>
            <w:vAlign w:val="center"/>
          </w:tcPr>
          <w:p w:rsidR="00751A4A" w:rsidRPr="001C7E8B" w:rsidRDefault="007C659A" w:rsidP="0010095E">
            <w:pPr>
              <w:pStyle w:val="EPName"/>
            </w:pPr>
            <w:bookmarkStart w:id="0" w:name="_GoBack"/>
            <w:bookmarkEnd w:id="0"/>
            <w:r w:rsidRPr="001C7E8B">
              <w:t>Evropski parlament</w:t>
            </w:r>
          </w:p>
          <w:p w:rsidR="00751A4A" w:rsidRPr="001C7E8B" w:rsidRDefault="00817416" w:rsidP="00756632">
            <w:pPr>
              <w:pStyle w:val="EPTerm"/>
              <w:rPr>
                <w:rStyle w:val="HideTWBExt"/>
                <w:noProof w:val="0"/>
                <w:vanish w:val="0"/>
                <w:color w:val="auto"/>
              </w:rPr>
            </w:pPr>
            <w:r w:rsidRPr="001C7E8B">
              <w:t>2019-2024</w:t>
            </w:r>
          </w:p>
        </w:tc>
        <w:tc>
          <w:tcPr>
            <w:tcW w:w="2268" w:type="dxa"/>
            <w:shd w:val="clear" w:color="auto" w:fill="auto"/>
          </w:tcPr>
          <w:p w:rsidR="00751A4A" w:rsidRPr="001C7E8B" w:rsidRDefault="00187494" w:rsidP="0010095E">
            <w:pPr>
              <w:pStyle w:val="EPLogo"/>
            </w:pPr>
            <w:r w:rsidRPr="001C7E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7E8B" w:rsidRDefault="00D058B8" w:rsidP="004C5D52">
      <w:pPr>
        <w:pStyle w:val="LineTop"/>
      </w:pPr>
    </w:p>
    <w:p w:rsidR="00680577" w:rsidRPr="001C7E8B" w:rsidRDefault="007C659A" w:rsidP="00680577">
      <w:pPr>
        <w:pStyle w:val="EPBodyTA1"/>
      </w:pPr>
      <w:r w:rsidRPr="001C7E8B">
        <w:t>SPREJETA BESEDILA</w:t>
      </w:r>
    </w:p>
    <w:p w:rsidR="00D058B8" w:rsidRPr="001C7E8B" w:rsidRDefault="00D058B8" w:rsidP="00D058B8">
      <w:pPr>
        <w:pStyle w:val="LineBottom"/>
      </w:pPr>
    </w:p>
    <w:p w:rsidR="007C659A" w:rsidRPr="001C7E8B" w:rsidRDefault="007C659A" w:rsidP="001C7E8B">
      <w:pPr>
        <w:pStyle w:val="ATHeading1"/>
      </w:pPr>
      <w:bookmarkStart w:id="1" w:name="TANumber"/>
      <w:r w:rsidRPr="001C7E8B">
        <w:t>P9_TA(2024)0</w:t>
      </w:r>
      <w:r w:rsidR="001C7E8B" w:rsidRPr="001C7E8B">
        <w:t>266</w:t>
      </w:r>
      <w:bookmarkEnd w:id="1"/>
    </w:p>
    <w:p w:rsidR="007C659A" w:rsidRPr="001C7E8B" w:rsidRDefault="007C659A" w:rsidP="007C659A">
      <w:pPr>
        <w:pStyle w:val="ATHeading2"/>
      </w:pPr>
      <w:bookmarkStart w:id="2" w:name="title"/>
      <w:r w:rsidRPr="001C7E8B">
        <w:t>Razrešnica za leto 2022: Agencija za podporo BEREC-u (Urad BEREC)</w:t>
      </w:r>
      <w:bookmarkEnd w:id="2"/>
    </w:p>
    <w:p w:rsidR="007C659A" w:rsidRPr="001C7E8B" w:rsidRDefault="007C659A" w:rsidP="007C659A">
      <w:pPr>
        <w:rPr>
          <w:i/>
          <w:vanish/>
        </w:rPr>
      </w:pPr>
      <w:r w:rsidRPr="001C7E8B">
        <w:rPr>
          <w:i/>
        </w:rPr>
        <w:fldChar w:fldCharType="begin"/>
      </w:r>
      <w:r w:rsidRPr="001C7E8B">
        <w:rPr>
          <w:i/>
        </w:rPr>
        <w:instrText xml:space="preserve"> TC"(</w:instrText>
      </w:r>
      <w:bookmarkStart w:id="3" w:name="DocNumber"/>
      <w:r w:rsidRPr="001C7E8B">
        <w:rPr>
          <w:i/>
        </w:rPr>
        <w:instrText>A9-0123/2024</w:instrText>
      </w:r>
      <w:bookmarkEnd w:id="3"/>
      <w:r w:rsidRPr="001C7E8B">
        <w:rPr>
          <w:i/>
        </w:rPr>
        <w:instrText xml:space="preserve"> - Poročevalec: Petri Sarvamaa)"\l3 \n&gt; \* MERGEFORMAT </w:instrText>
      </w:r>
      <w:r w:rsidRPr="001C7E8B">
        <w:rPr>
          <w:i/>
        </w:rPr>
        <w:fldChar w:fldCharType="end"/>
      </w:r>
    </w:p>
    <w:p w:rsidR="007C659A" w:rsidRPr="001C7E8B" w:rsidRDefault="007C659A" w:rsidP="007C659A">
      <w:pPr>
        <w:rPr>
          <w:vanish/>
        </w:rPr>
      </w:pPr>
      <w:bookmarkStart w:id="4" w:name="Commission"/>
      <w:r w:rsidRPr="001C7E8B">
        <w:rPr>
          <w:vanish/>
        </w:rPr>
        <w:t>Odbor za proračunski nadzor</w:t>
      </w:r>
      <w:bookmarkEnd w:id="4"/>
    </w:p>
    <w:p w:rsidR="007C659A" w:rsidRPr="001C7E8B" w:rsidRDefault="007C659A" w:rsidP="007C659A">
      <w:pPr>
        <w:rPr>
          <w:vanish/>
        </w:rPr>
      </w:pPr>
      <w:bookmarkStart w:id="5" w:name="PE"/>
      <w:r w:rsidRPr="001C7E8B">
        <w:rPr>
          <w:vanish/>
        </w:rPr>
        <w:t>PE753.507</w:t>
      </w:r>
      <w:bookmarkEnd w:id="5"/>
    </w:p>
    <w:p w:rsidR="007C659A" w:rsidRPr="001C7E8B" w:rsidRDefault="007C659A" w:rsidP="009D47A8">
      <w:pPr>
        <w:pStyle w:val="ATHeading3"/>
      </w:pPr>
      <w:bookmarkStart w:id="6" w:name="Sujet"/>
      <w:r w:rsidRPr="001C7E8B">
        <w:t xml:space="preserve">1. Sklep Evropskega parlamenta z dne </w:t>
      </w:r>
      <w:r w:rsidR="009D47A8" w:rsidRPr="001C7E8B">
        <w:t>11</w:t>
      </w:r>
      <w:r w:rsidRPr="001C7E8B">
        <w:t>. aprila 2024 o razrešnici glede izvrševanja proračuna Agencije za podporo BEREC-u (Urad BEREC) za proračunsko leto 2022</w:t>
      </w:r>
      <w:bookmarkEnd w:id="6"/>
      <w:r w:rsidRPr="001C7E8B">
        <w:t xml:space="preserve"> </w:t>
      </w:r>
      <w:bookmarkStart w:id="7" w:name="References"/>
      <w:r w:rsidRPr="001C7E8B">
        <w:t>(2023/2141(DEC))</w:t>
      </w:r>
      <w:bookmarkEnd w:id="7"/>
    </w:p>
    <w:p w:rsidR="00A6555F" w:rsidRPr="001C7E8B" w:rsidRDefault="00A6555F" w:rsidP="00A6555F">
      <w:pPr>
        <w:pStyle w:val="EPComma"/>
      </w:pPr>
      <w:bookmarkStart w:id="8" w:name="TextBodyBegin"/>
      <w:bookmarkEnd w:id="8"/>
      <w:r w:rsidRPr="001C7E8B">
        <w:rPr>
          <w:i/>
        </w:rPr>
        <w:t>Evropski parlament</w:t>
      </w:r>
      <w:r w:rsidRPr="001C7E8B">
        <w:t>,</w:t>
      </w:r>
    </w:p>
    <w:p w:rsidR="00A6555F" w:rsidRPr="001C7E8B" w:rsidRDefault="00A6555F" w:rsidP="00A6555F">
      <w:pPr>
        <w:pStyle w:val="NormalHanging12a"/>
      </w:pPr>
      <w:r w:rsidRPr="001C7E8B">
        <w:t>–</w:t>
      </w:r>
      <w:r w:rsidRPr="001C7E8B">
        <w:tab/>
        <w:t>ob upoštevanju končnega zaključnega računa Agencije za podporo BEREC-u (Urad BEREC) za proračunsko leto 2022,</w:t>
      </w:r>
    </w:p>
    <w:p w:rsidR="00A6555F" w:rsidRPr="001C7E8B" w:rsidRDefault="00A6555F" w:rsidP="00A6555F">
      <w:pPr>
        <w:pStyle w:val="NormalHanging12a"/>
      </w:pPr>
      <w:r w:rsidRPr="001C7E8B">
        <w:t>–</w:t>
      </w:r>
      <w:r w:rsidRPr="001C7E8B">
        <w:tab/>
        <w:t>ob upoštevanju letnega poročila Računskega sodišča o agencijah EU za proračunsko leto 2022 skupaj z odgovori agencij</w:t>
      </w:r>
      <w:r w:rsidRPr="001C7E8B">
        <w:rPr>
          <w:rStyle w:val="FootnoteReference"/>
        </w:rPr>
        <w:footnoteReference w:id="1"/>
      </w:r>
      <w:r w:rsidRPr="001C7E8B">
        <w:t>,</w:t>
      </w:r>
    </w:p>
    <w:p w:rsidR="00A6555F" w:rsidRPr="001C7E8B" w:rsidRDefault="00A6555F" w:rsidP="00A6555F">
      <w:pPr>
        <w:pStyle w:val="NormalHanging12a"/>
      </w:pPr>
      <w:r w:rsidRPr="001C7E8B">
        <w:t>–</w:t>
      </w:r>
      <w:r w:rsidRPr="001C7E8B">
        <w:tab/>
        <w:t>ob upoštevanju izjave o zanesljivosti</w:t>
      </w:r>
      <w:r w:rsidRPr="001C7E8B">
        <w:rPr>
          <w:rStyle w:val="FootnoteReference"/>
        </w:rPr>
        <w:footnoteReference w:id="2"/>
      </w:r>
      <w:r w:rsidRPr="001C7E8B">
        <w:t xml:space="preserve"> računovodskih izkazov ter zakonitosti in pravilnosti z njimi povezanih transakcij, ki jo je za proračunsko leto 2022 v skladu s členom 287 Pogodbe o delovanju Evropske unije pripravilo Računsko sodišče,</w:t>
      </w:r>
    </w:p>
    <w:p w:rsidR="00A6555F" w:rsidRPr="001C7E8B" w:rsidRDefault="00A6555F" w:rsidP="000B4572">
      <w:pPr>
        <w:pStyle w:val="NormalHanging12a"/>
      </w:pPr>
      <w:r w:rsidRPr="001C7E8B">
        <w:t>–</w:t>
      </w:r>
      <w:r w:rsidRPr="001C7E8B">
        <w:tab/>
        <w:t>ob upoštevanju priporočila Sveta z dne 22. februarja 2024 o podelitvi razrešnice agenciji glede izvrševanja proračuna za proračunsko leto 2022 (</w:t>
      </w:r>
      <w:r w:rsidR="000B4572" w:rsidRPr="001C7E8B">
        <w:t>06180</w:t>
      </w:r>
      <w:r w:rsidRPr="001C7E8B">
        <w:t>/2024 – C9</w:t>
      </w:r>
      <w:r w:rsidRPr="001C7E8B">
        <w:noBreakHyphen/>
        <w:t>00</w:t>
      </w:r>
      <w:r w:rsidR="000B4572" w:rsidRPr="001C7E8B">
        <w:t>79</w:t>
      </w:r>
      <w:r w:rsidRPr="001C7E8B">
        <w:t>/2024),</w:t>
      </w:r>
    </w:p>
    <w:p w:rsidR="00A6555F" w:rsidRPr="001C7E8B" w:rsidRDefault="00A6555F" w:rsidP="00A6555F">
      <w:pPr>
        <w:pStyle w:val="NormalHanging12a"/>
      </w:pPr>
      <w:r w:rsidRPr="001C7E8B">
        <w:t>–</w:t>
      </w:r>
      <w:r w:rsidRPr="001C7E8B">
        <w:tab/>
        <w:t>ob upoštevanju člena 319 Pogodbe o delovanju Evropske unije,</w:t>
      </w:r>
    </w:p>
    <w:p w:rsidR="00A6555F" w:rsidRPr="001C7E8B" w:rsidRDefault="00A6555F" w:rsidP="00A6555F">
      <w:pPr>
        <w:pStyle w:val="NormalHanging12a"/>
      </w:pPr>
      <w:r w:rsidRPr="001C7E8B">
        <w:t>–</w:t>
      </w:r>
      <w:r w:rsidRPr="001C7E8B">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1C7E8B">
        <w:rPr>
          <w:rStyle w:val="FootnoteReference"/>
        </w:rPr>
        <w:footnoteReference w:id="3"/>
      </w:r>
      <w:r w:rsidRPr="001C7E8B">
        <w:t xml:space="preserve"> in zlasti člena 70,</w:t>
      </w:r>
    </w:p>
    <w:p w:rsidR="00A6555F" w:rsidRPr="001C7E8B" w:rsidRDefault="00A6555F" w:rsidP="00A6555F">
      <w:pPr>
        <w:pStyle w:val="NormalHanging12a"/>
      </w:pPr>
      <w:r w:rsidRPr="001C7E8B">
        <w:t>–</w:t>
      </w:r>
      <w:r w:rsidRPr="001C7E8B">
        <w:tab/>
        <w:t xml:space="preserve">ob upoštevanju Uredbe (EU) 2018/1971 Evropskega parlamenta in Sveta z dne 11. decembra 2018 o ustanovitvi Organa evropskih regulatorjev za elektronske </w:t>
      </w:r>
      <w:r w:rsidRPr="001C7E8B">
        <w:lastRenderedPageBreak/>
        <w:t>komunikacije (BEREC) in Agencije za podporo BEREC-u (Urad BEREC), spremembi Uredbe (EU) 2015/2120 ter razveljavitvi Uredbe (ES) št. 1211/2009</w:t>
      </w:r>
      <w:r w:rsidRPr="001C7E8B">
        <w:rPr>
          <w:rStyle w:val="FootnoteReference"/>
        </w:rPr>
        <w:footnoteReference w:id="4"/>
      </w:r>
      <w:r w:rsidRPr="001C7E8B">
        <w:t xml:space="preserve"> in zlasti člena 28,</w:t>
      </w:r>
    </w:p>
    <w:p w:rsidR="00A6555F" w:rsidRPr="001C7E8B" w:rsidRDefault="00A6555F" w:rsidP="00A6555F">
      <w:pPr>
        <w:pStyle w:val="NormalHanging12a"/>
      </w:pPr>
      <w:r w:rsidRPr="001C7E8B">
        <w:t>–</w:t>
      </w:r>
      <w:r w:rsidRPr="001C7E8B">
        <w:tab/>
        <w:t>ob upoštevanju Delegirane uredbe Komisije (EU) 2019/715 z dne 18. decembra 2018 o okvirni finančni uredbi za organe, ustanovljene na podlagi PDEU in Pogodbe Euratom, iz člena 70 Uredbe (EU, Euratom) 2018/1046 Evropskega parlamenta in Sveta</w:t>
      </w:r>
      <w:r w:rsidRPr="001C7E8B">
        <w:rPr>
          <w:rStyle w:val="FootnoteReference"/>
        </w:rPr>
        <w:footnoteReference w:id="5"/>
      </w:r>
      <w:r w:rsidRPr="001C7E8B">
        <w:t xml:space="preserve"> in zlasti člena 105,</w:t>
      </w:r>
    </w:p>
    <w:p w:rsidR="00A6555F" w:rsidRPr="001C7E8B" w:rsidRDefault="00A6555F" w:rsidP="00A6555F">
      <w:pPr>
        <w:pStyle w:val="NormalHanging12a"/>
      </w:pPr>
      <w:r w:rsidRPr="001C7E8B">
        <w:t>–</w:t>
      </w:r>
      <w:r w:rsidRPr="001C7E8B">
        <w:tab/>
        <w:t>ob upoštevanju člena 100 in Priloge V Poslovnika,</w:t>
      </w:r>
    </w:p>
    <w:p w:rsidR="00A6555F" w:rsidRPr="001C7E8B" w:rsidRDefault="00A6555F" w:rsidP="00A6555F">
      <w:pPr>
        <w:pStyle w:val="NormalHanging12a"/>
      </w:pPr>
      <w:r w:rsidRPr="001C7E8B">
        <w:t>–</w:t>
      </w:r>
      <w:r w:rsidRPr="001C7E8B">
        <w:tab/>
        <w:t>ob upoštevanju poročila Odbora za proračunski nadzor (A9</w:t>
      </w:r>
      <w:r w:rsidRPr="001C7E8B">
        <w:noBreakHyphen/>
        <w:t>0123/2024),</w:t>
      </w:r>
    </w:p>
    <w:p w:rsidR="00A6555F" w:rsidRPr="001C7E8B" w:rsidRDefault="00A6555F" w:rsidP="00A6555F">
      <w:pPr>
        <w:pStyle w:val="NormalHanging12a"/>
      </w:pPr>
      <w:r w:rsidRPr="001C7E8B">
        <w:t>1.</w:t>
      </w:r>
      <w:r w:rsidRPr="001C7E8B">
        <w:tab/>
        <w:t>podeli razrešnico direktorju Agencije za podporo BEREC-u (Urad BEREC) glede izvrševanja proračuna agencije za proračunsko leto 2022;</w:t>
      </w:r>
    </w:p>
    <w:p w:rsidR="00A6555F" w:rsidRPr="001C7E8B" w:rsidRDefault="00A6555F" w:rsidP="00A6555F">
      <w:pPr>
        <w:pStyle w:val="NormalHanging12a"/>
      </w:pPr>
      <w:r w:rsidRPr="001C7E8B">
        <w:t>2.</w:t>
      </w:r>
      <w:r w:rsidRPr="001C7E8B">
        <w:tab/>
        <w:t>navaja svoje pripombe v spodnji resoluciji;</w:t>
      </w:r>
    </w:p>
    <w:p w:rsidR="00A6555F" w:rsidRPr="001C7E8B" w:rsidRDefault="00A6555F" w:rsidP="00A6555F">
      <w:pPr>
        <w:pStyle w:val="NormalHanging12a"/>
      </w:pPr>
      <w:r w:rsidRPr="001C7E8B">
        <w:t>3.</w:t>
      </w:r>
      <w:r w:rsidRPr="001C7E8B">
        <w:tab/>
        <w:t xml:space="preserve">naroči svoji predsednici, naj ta sklep in resolucijo, ki je del sklepa, posreduje direktorju Agencije za podporo BEREC-u (Urad BEREC), Svetu, Komisiji in Računskemu sodišču in poskrbi za objavo v </w:t>
      </w:r>
      <w:r w:rsidRPr="001C7E8B">
        <w:rPr>
          <w:i/>
        </w:rPr>
        <w:t>Uradnem listu Evropske unije</w:t>
      </w:r>
      <w:r w:rsidRPr="001C7E8B">
        <w:t xml:space="preserve"> (serija L).</w:t>
      </w:r>
    </w:p>
    <w:p w:rsidR="00A6555F" w:rsidRPr="001C7E8B" w:rsidRDefault="00A6555F" w:rsidP="00A6555F">
      <w:pPr>
        <w:pStyle w:val="PageHeading"/>
        <w:rPr>
          <w:rFonts w:ascii="Times New Roman" w:hAnsi="Times New Roman" w:cs="Times New Roman"/>
          <w:b w:val="0"/>
        </w:rPr>
      </w:pPr>
      <w:r w:rsidRPr="001C7E8B">
        <w:br w:type="page"/>
      </w:r>
    </w:p>
    <w:p w:rsidR="00A6555F" w:rsidRPr="001C7E8B" w:rsidRDefault="00827608" w:rsidP="009D47A8">
      <w:pPr>
        <w:pStyle w:val="ATHeading3"/>
      </w:pPr>
      <w:r w:rsidRPr="001C7E8B">
        <w:lastRenderedPageBreak/>
        <w:t xml:space="preserve">2. Sklep Evropskega parlamenta z dne 11. aprila 2024 </w:t>
      </w:r>
      <w:r w:rsidR="00A6555F" w:rsidRPr="001C7E8B">
        <w:t>o zaključnem računu Agencije za podporo BEREC-u (Urad BEREC) za proračunsko leto 2022</w:t>
      </w:r>
      <w:r w:rsidRPr="001C7E8B">
        <w:t xml:space="preserve"> </w:t>
      </w:r>
      <w:r w:rsidR="00A6555F" w:rsidRPr="001C7E8B">
        <w:t>(2023/2141(DEC))</w:t>
      </w:r>
    </w:p>
    <w:p w:rsidR="00A6555F" w:rsidRPr="001C7E8B" w:rsidRDefault="00A6555F" w:rsidP="00A6555F">
      <w:pPr>
        <w:pStyle w:val="EPComma"/>
      </w:pPr>
      <w:r w:rsidRPr="001C7E8B">
        <w:rPr>
          <w:i/>
        </w:rPr>
        <w:t>Evropski parlament</w:t>
      </w:r>
      <w:r w:rsidRPr="001C7E8B">
        <w:t>,</w:t>
      </w:r>
    </w:p>
    <w:p w:rsidR="00A6555F" w:rsidRPr="001C7E8B" w:rsidRDefault="00A6555F" w:rsidP="00A6555F">
      <w:pPr>
        <w:pStyle w:val="NormalHanging12a"/>
      </w:pPr>
      <w:r w:rsidRPr="001C7E8B">
        <w:t>–</w:t>
      </w:r>
      <w:r w:rsidRPr="001C7E8B">
        <w:tab/>
        <w:t>ob upoštevanju končnega zaključnega računa Agencije za podporo BEREC-u (Urad BEREC) za proračunsko leto 2022,</w:t>
      </w:r>
    </w:p>
    <w:p w:rsidR="00A6555F" w:rsidRPr="001C7E8B" w:rsidRDefault="00A6555F" w:rsidP="00A6555F">
      <w:pPr>
        <w:pStyle w:val="NormalHanging12a"/>
      </w:pPr>
      <w:r w:rsidRPr="001C7E8B">
        <w:t>–</w:t>
      </w:r>
      <w:r w:rsidRPr="001C7E8B">
        <w:tab/>
        <w:t>ob upoštevanju letnega poročila Računskega sodišča o agencijah EU za proračunsko leto 2022 skupaj z odgovori agencij</w:t>
      </w:r>
      <w:r w:rsidRPr="001C7E8B">
        <w:rPr>
          <w:rStyle w:val="FootnoteReference"/>
        </w:rPr>
        <w:footnoteReference w:id="6"/>
      </w:r>
      <w:r w:rsidRPr="001C7E8B">
        <w:t>,</w:t>
      </w:r>
    </w:p>
    <w:p w:rsidR="00A6555F" w:rsidRPr="001C7E8B" w:rsidRDefault="00A6555F" w:rsidP="00A6555F">
      <w:pPr>
        <w:pStyle w:val="NormalHanging12a"/>
      </w:pPr>
      <w:r w:rsidRPr="001C7E8B">
        <w:t>–</w:t>
      </w:r>
      <w:r w:rsidRPr="001C7E8B">
        <w:tab/>
        <w:t>ob upoštevanju izjave o zanesljivosti</w:t>
      </w:r>
      <w:r w:rsidRPr="001C7E8B">
        <w:rPr>
          <w:rStyle w:val="FootnoteReference"/>
        </w:rPr>
        <w:footnoteReference w:id="7"/>
      </w:r>
      <w:r w:rsidRPr="001C7E8B">
        <w:t xml:space="preserve"> računovodskih izkazov ter zakonitosti in pravilnosti z njimi povezanih transakcij, ki jo je za proračunsko leto 2022 v skladu s členom 287 Pogodbe o delovanju Evropske unije pripravilo Računsko sodišče,</w:t>
      </w:r>
    </w:p>
    <w:p w:rsidR="00A6555F" w:rsidRPr="001C7E8B" w:rsidRDefault="00A6555F" w:rsidP="000B4572">
      <w:pPr>
        <w:pStyle w:val="NormalHanging12a"/>
      </w:pPr>
      <w:r w:rsidRPr="001C7E8B">
        <w:t>–</w:t>
      </w:r>
      <w:r w:rsidRPr="001C7E8B">
        <w:tab/>
        <w:t>ob upoštevanju priporočila Sveta z dne 22. februarja 2024 o podelitvi razrešnice agenciji glede izvrševanja proračuna za proračunsko leto 2022 (</w:t>
      </w:r>
      <w:r w:rsidR="000B4572" w:rsidRPr="001C7E8B">
        <w:t>06180</w:t>
      </w:r>
      <w:r w:rsidRPr="001C7E8B">
        <w:t>/2024 – C9</w:t>
      </w:r>
      <w:r w:rsidRPr="001C7E8B">
        <w:noBreakHyphen/>
        <w:t>00</w:t>
      </w:r>
      <w:r w:rsidR="000B4572" w:rsidRPr="001C7E8B">
        <w:t>79</w:t>
      </w:r>
      <w:r w:rsidRPr="001C7E8B">
        <w:t>/2024),</w:t>
      </w:r>
    </w:p>
    <w:p w:rsidR="00A6555F" w:rsidRPr="001C7E8B" w:rsidRDefault="00A6555F" w:rsidP="00A6555F">
      <w:pPr>
        <w:pStyle w:val="NormalHanging12a"/>
      </w:pPr>
      <w:r w:rsidRPr="001C7E8B">
        <w:t>–</w:t>
      </w:r>
      <w:r w:rsidRPr="001C7E8B">
        <w:tab/>
        <w:t>ob upoštevanju člena 319 Pogodbe o delovanju Evropske unije,</w:t>
      </w:r>
    </w:p>
    <w:p w:rsidR="00A6555F" w:rsidRPr="001C7E8B" w:rsidRDefault="00A6555F" w:rsidP="00A6555F">
      <w:pPr>
        <w:pStyle w:val="NormalHanging12a"/>
      </w:pPr>
      <w:r w:rsidRPr="001C7E8B">
        <w:t>–</w:t>
      </w:r>
      <w:r w:rsidRPr="001C7E8B">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1C7E8B">
        <w:rPr>
          <w:rStyle w:val="FootnoteReference"/>
        </w:rPr>
        <w:footnoteReference w:id="8"/>
      </w:r>
      <w:r w:rsidRPr="001C7E8B">
        <w:t xml:space="preserve"> in zlasti člena 70,</w:t>
      </w:r>
    </w:p>
    <w:p w:rsidR="00A6555F" w:rsidRPr="001C7E8B" w:rsidRDefault="00A6555F" w:rsidP="00A6555F">
      <w:pPr>
        <w:pStyle w:val="NormalHanging12a"/>
      </w:pPr>
      <w:r w:rsidRPr="001C7E8B">
        <w:t>–</w:t>
      </w:r>
      <w:r w:rsidRPr="001C7E8B">
        <w:tab/>
        <w:t>ob upoštevanju Uredbe (EU) 2018/1971 Evropskega parlamenta in Sveta z dne 11. decembra 2018 o ustanovitvi Organa evropskih regulatorjev za elektronske komunikacije (BEREC) in Agencije za podporo BEREC-u (Urad BEREC), spremembi Uredbe (EU) 2015/2120 ter razveljavitvi Uredbe (ES) št. 1211/2009</w:t>
      </w:r>
      <w:r w:rsidRPr="001C7E8B">
        <w:rPr>
          <w:rStyle w:val="FootnoteReference"/>
        </w:rPr>
        <w:footnoteReference w:id="9"/>
      </w:r>
      <w:r w:rsidRPr="001C7E8B">
        <w:t xml:space="preserve"> in zlasti člena 28,</w:t>
      </w:r>
    </w:p>
    <w:p w:rsidR="00A6555F" w:rsidRPr="001C7E8B" w:rsidRDefault="00A6555F" w:rsidP="00A6555F">
      <w:pPr>
        <w:pStyle w:val="NormalHanging12a"/>
      </w:pPr>
      <w:r w:rsidRPr="001C7E8B">
        <w:t>–</w:t>
      </w:r>
      <w:r w:rsidRPr="001C7E8B">
        <w:tab/>
        <w:t>ob upoštevanju Delegirane uredbe Komisije (EU) 2019/715 z dne 18. decembra 2018 o okvirni finančni uredbi za organe, ustanovljene na podlagi PDEU in Pogodbe Euratom, iz člena 70 Uredbe (EU, Euratom) 2018/1046 Evropskega parlamenta in Sveta</w:t>
      </w:r>
      <w:r w:rsidRPr="001C7E8B">
        <w:rPr>
          <w:rStyle w:val="FootnoteReference"/>
        </w:rPr>
        <w:footnoteReference w:id="10"/>
      </w:r>
      <w:r w:rsidRPr="001C7E8B">
        <w:t xml:space="preserve"> in zlasti člena 105,</w:t>
      </w:r>
    </w:p>
    <w:p w:rsidR="00A6555F" w:rsidRPr="001C7E8B" w:rsidRDefault="00A6555F" w:rsidP="00A6555F">
      <w:pPr>
        <w:pStyle w:val="NormalHanging12a"/>
      </w:pPr>
      <w:r w:rsidRPr="001C7E8B">
        <w:t>–</w:t>
      </w:r>
      <w:r w:rsidRPr="001C7E8B">
        <w:tab/>
        <w:t>ob upoštevanju člena 100 in Priloge V Poslovnika,</w:t>
      </w:r>
    </w:p>
    <w:p w:rsidR="00A6555F" w:rsidRPr="001C7E8B" w:rsidRDefault="00A6555F" w:rsidP="00A6555F">
      <w:pPr>
        <w:pStyle w:val="NormalHanging12a"/>
      </w:pPr>
      <w:r w:rsidRPr="001C7E8B">
        <w:t>–</w:t>
      </w:r>
      <w:r w:rsidRPr="001C7E8B">
        <w:tab/>
        <w:t>ob upoštevanju poročila Odbora za proračunski nadzor (A9</w:t>
      </w:r>
      <w:r w:rsidRPr="001C7E8B">
        <w:noBreakHyphen/>
        <w:t>0123/2024),</w:t>
      </w:r>
    </w:p>
    <w:p w:rsidR="00A6555F" w:rsidRPr="001C7E8B" w:rsidRDefault="00A6555F" w:rsidP="00A6555F">
      <w:pPr>
        <w:pStyle w:val="NormalHanging12a"/>
      </w:pPr>
      <w:r w:rsidRPr="001C7E8B">
        <w:t>1.</w:t>
      </w:r>
      <w:r w:rsidRPr="001C7E8B">
        <w:tab/>
        <w:t>odobri zaključni račun Agencije za podporo BEREC-u (Urad BEREC) za proračunsko leto 2022;</w:t>
      </w:r>
    </w:p>
    <w:p w:rsidR="00A6555F" w:rsidRPr="001C7E8B" w:rsidRDefault="00A6555F" w:rsidP="00A6555F">
      <w:pPr>
        <w:pStyle w:val="NormalHanging12a"/>
      </w:pPr>
      <w:r w:rsidRPr="001C7E8B">
        <w:lastRenderedPageBreak/>
        <w:t>2.</w:t>
      </w:r>
      <w:r w:rsidRPr="001C7E8B">
        <w:tab/>
        <w:t xml:space="preserve">naroči svoji predsednici, naj ta sklep posreduje direktorju Agencije za podporo BEREC-u (Urad BEREC), Svetu, Komisiji in Računskemu sodišču in poskrbi za objavo v </w:t>
      </w:r>
      <w:r w:rsidRPr="001C7E8B">
        <w:rPr>
          <w:i/>
        </w:rPr>
        <w:t>Uradnem listu Evropske unije</w:t>
      </w:r>
      <w:r w:rsidRPr="001C7E8B">
        <w:t xml:space="preserve"> (serija L).</w:t>
      </w:r>
    </w:p>
    <w:p w:rsidR="00A6555F" w:rsidRPr="001C7E8B" w:rsidRDefault="00A6555F" w:rsidP="00A6555F">
      <w:pPr>
        <w:pStyle w:val="PageHeading"/>
        <w:rPr>
          <w:rFonts w:ascii="Times New Roman" w:hAnsi="Times New Roman" w:cs="Times New Roman"/>
          <w:b w:val="0"/>
        </w:rPr>
      </w:pPr>
      <w:r w:rsidRPr="001C7E8B">
        <w:br w:type="page"/>
      </w:r>
    </w:p>
    <w:p w:rsidR="00A6555F" w:rsidRPr="001C7E8B" w:rsidRDefault="009D47A8" w:rsidP="009D47A8">
      <w:pPr>
        <w:pStyle w:val="ATHeading3"/>
      </w:pPr>
      <w:r w:rsidRPr="001C7E8B">
        <w:lastRenderedPageBreak/>
        <w:t xml:space="preserve">3. Resolucija Evropskega parlamenta z dne 11. aprila 2024 </w:t>
      </w:r>
      <w:r w:rsidR="00A6555F" w:rsidRPr="001C7E8B">
        <w:t>s pripombami, ki so del sklepa o razrešnici glede izvrševanja proračuna Agencije za podporo BEREC-u (Urad BEREC) za proračunsko leto 2022</w:t>
      </w:r>
      <w:r w:rsidR="00827608" w:rsidRPr="001C7E8B">
        <w:t xml:space="preserve"> </w:t>
      </w:r>
      <w:r w:rsidR="00A6555F" w:rsidRPr="001C7E8B">
        <w:t>(2023/2141(DEC))</w:t>
      </w:r>
    </w:p>
    <w:p w:rsidR="00A6555F" w:rsidRPr="001C7E8B" w:rsidRDefault="00A6555F" w:rsidP="00A6555F">
      <w:pPr>
        <w:pStyle w:val="EPComma"/>
      </w:pPr>
      <w:r w:rsidRPr="001C7E8B">
        <w:rPr>
          <w:i/>
        </w:rPr>
        <w:t>Evropski parlament</w:t>
      </w:r>
      <w:r w:rsidRPr="001C7E8B">
        <w:t>,</w:t>
      </w:r>
    </w:p>
    <w:p w:rsidR="00A6555F" w:rsidRPr="001C7E8B" w:rsidRDefault="00A6555F" w:rsidP="00A6555F">
      <w:pPr>
        <w:pStyle w:val="NormalHanging12a"/>
      </w:pPr>
      <w:r w:rsidRPr="001C7E8B">
        <w:t>–</w:t>
      </w:r>
      <w:r w:rsidRPr="001C7E8B">
        <w:tab/>
        <w:t>ob upoštevanju sklepa o razrešnici glede izvrševanja proračuna Agencije za podporo BEREC-u (Urad BEREC) za proračunsko leto 2022,</w:t>
      </w:r>
    </w:p>
    <w:p w:rsidR="00A6555F" w:rsidRPr="001C7E8B" w:rsidRDefault="00A6555F" w:rsidP="00A6555F">
      <w:pPr>
        <w:pStyle w:val="NormalHanging12a"/>
      </w:pPr>
      <w:r w:rsidRPr="001C7E8B">
        <w:t>–</w:t>
      </w:r>
      <w:r w:rsidRPr="001C7E8B">
        <w:tab/>
        <w:t>ob upoštevanju člena 100 in Priloge V Poslovnika,</w:t>
      </w:r>
    </w:p>
    <w:p w:rsidR="00A6555F" w:rsidRPr="001C7E8B" w:rsidRDefault="00A6555F" w:rsidP="00A6555F">
      <w:pPr>
        <w:pStyle w:val="NormalHanging12a"/>
      </w:pPr>
      <w:r w:rsidRPr="001C7E8B">
        <w:t>–</w:t>
      </w:r>
      <w:r w:rsidRPr="001C7E8B">
        <w:tab/>
        <w:t>ob upoštevanju poročila Odbora za proračunski nadzor (A9</w:t>
      </w:r>
      <w:r w:rsidRPr="001C7E8B">
        <w:noBreakHyphen/>
        <w:t>0123/2024),</w:t>
      </w:r>
    </w:p>
    <w:p w:rsidR="00A6555F" w:rsidRPr="001C7E8B" w:rsidRDefault="00A6555F" w:rsidP="00A6555F">
      <w:pPr>
        <w:pStyle w:val="NormalHanging12a"/>
        <w:rPr>
          <w:szCs w:val="24"/>
        </w:rPr>
      </w:pPr>
      <w:r w:rsidRPr="001C7E8B">
        <w:t>A.</w:t>
      </w:r>
      <w:r w:rsidRPr="001C7E8B">
        <w:tab/>
        <w:t>ker je na podlagi poročila o prihodkih in odhodkih</w:t>
      </w:r>
      <w:r w:rsidRPr="001C7E8B">
        <w:rPr>
          <w:rFonts w:eastAsiaTheme="minorHAnsi"/>
          <w:szCs w:val="24"/>
          <w:vertAlign w:val="superscript"/>
          <w:lang w:eastAsia="en-US"/>
        </w:rPr>
        <w:footnoteReference w:id="11"/>
      </w:r>
      <w:r w:rsidRPr="001C7E8B">
        <w:t xml:space="preserve"> končni sprejeti proračun agencije v proračunskem letu 2022 znašal 7.428.456 EUR, kar je 1,19 % več kot leta 2021; ker proračun agencije izvira predvsem iz proračuna Unije;</w:t>
      </w:r>
    </w:p>
    <w:p w:rsidR="00A6555F" w:rsidRPr="001C7E8B" w:rsidRDefault="00A6555F" w:rsidP="00A6555F">
      <w:pPr>
        <w:pStyle w:val="NormalHanging12a"/>
        <w:rPr>
          <w:szCs w:val="24"/>
        </w:rPr>
      </w:pPr>
      <w:r w:rsidRPr="001C7E8B">
        <w:t>B.</w:t>
      </w:r>
      <w:r w:rsidRPr="001C7E8B">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w:t>
      </w:r>
    </w:p>
    <w:p w:rsidR="00A6555F" w:rsidRPr="001C7E8B" w:rsidRDefault="00A6555F" w:rsidP="00A6555F">
      <w:pPr>
        <w:pStyle w:val="NormalHanging12a"/>
        <w:rPr>
          <w:szCs w:val="24"/>
        </w:rPr>
      </w:pPr>
      <w:r w:rsidRPr="001C7E8B">
        <w:t>C.</w:t>
      </w:r>
      <w:r w:rsidRPr="001C7E8B">
        <w:tab/>
        <w:t>ker v zvezi z javnimi naročili agencije za leto 2022 niso bile sporočene nobene težave, zaradi katerih bi bili potrebni popravni ukrepi, in ker ni tekočih ali zapadlih popravnih ukrepov iz revizij in ocen iz prejšnjih let;</w:t>
      </w:r>
    </w:p>
    <w:p w:rsidR="00A6555F" w:rsidRPr="001C7E8B" w:rsidRDefault="00A6555F" w:rsidP="00A6555F">
      <w:pPr>
        <w:pStyle w:val="NormalHanging12a"/>
        <w:rPr>
          <w:szCs w:val="24"/>
        </w:rPr>
      </w:pPr>
      <w:r w:rsidRPr="001C7E8B">
        <w:t>D.</w:t>
      </w:r>
      <w:r w:rsidRPr="001C7E8B">
        <w:tab/>
        <w:t>ker v zvezi s sistemi notranje kontrole agencije za leto 2022 niso bile sporočene nobene težave, zaradi katerih bi bili potrebni popravni ukrepi, in ker ni tekočih ali zapadlih popravnih ukrepov iz revizij in ocen iz prejšnjih let;</w:t>
      </w:r>
    </w:p>
    <w:p w:rsidR="00A6555F" w:rsidRPr="001C7E8B" w:rsidRDefault="00A6555F" w:rsidP="00A6555F">
      <w:pPr>
        <w:pStyle w:val="NormalHanging12a"/>
        <w:tabs>
          <w:tab w:val="left" w:pos="1718"/>
        </w:tabs>
        <w:rPr>
          <w:b/>
          <w:i/>
          <w:szCs w:val="24"/>
        </w:rPr>
      </w:pPr>
      <w:r w:rsidRPr="001C7E8B">
        <w:rPr>
          <w:b/>
          <w:i/>
        </w:rPr>
        <w:t>Upravljanje proračuna in finančno poslovodenje</w:t>
      </w:r>
    </w:p>
    <w:p w:rsidR="00A6555F" w:rsidRPr="001C7E8B" w:rsidRDefault="00A6555F" w:rsidP="00A6555F">
      <w:pPr>
        <w:spacing w:after="240"/>
        <w:ind w:left="567" w:hanging="567"/>
        <w:rPr>
          <w:sz w:val="22"/>
          <w:szCs w:val="22"/>
        </w:rPr>
      </w:pPr>
      <w:r w:rsidRPr="001C7E8B">
        <w:t>1.</w:t>
      </w:r>
      <w:r w:rsidRPr="001C7E8B">
        <w:tab/>
        <w:t>z zadovoljstvom ugotavlja, da je zaradi proračunskega spremljanja v proračunskem letu 2022 stopnja izvrševanja proračuna znašala 99,99 % za odobritve za prevzem obveznosti iz končnega sprejetega proračuna, kar je 0,02 % več kot leta 2021; pozdravlja, da je stopnja izvrševanja proračuna nad pragom 95 %, ki ga je določil upravni odbor;</w:t>
      </w:r>
      <w:r w:rsidRPr="001C7E8B">
        <w:rPr>
          <w:sz w:val="22"/>
        </w:rPr>
        <w:t xml:space="preserve"> </w:t>
      </w:r>
      <w:r w:rsidRPr="001C7E8B">
        <w:t>ugotavlja tudi, da je stopnja izvrševanja sredstev za plačila v letu 2022 znašala 82,78 %, kar je 13,44 % več kot leta 2021;</w:t>
      </w:r>
    </w:p>
    <w:p w:rsidR="00A6555F" w:rsidRPr="001C7E8B" w:rsidRDefault="00A6555F" w:rsidP="00A6555F">
      <w:pPr>
        <w:pStyle w:val="Normal12Hanging"/>
        <w:rPr>
          <w:b/>
          <w:i/>
          <w:szCs w:val="24"/>
        </w:rPr>
      </w:pPr>
      <w:r w:rsidRPr="001C7E8B">
        <w:rPr>
          <w:b/>
          <w:i/>
        </w:rPr>
        <w:t>Uspešnost</w:t>
      </w:r>
    </w:p>
    <w:p w:rsidR="00A6555F" w:rsidRPr="001C7E8B" w:rsidRDefault="00A6555F" w:rsidP="00A6555F">
      <w:pPr>
        <w:pStyle w:val="NormalHanging12a"/>
      </w:pPr>
      <w:r w:rsidRPr="001C7E8B">
        <w:t>2.</w:t>
      </w:r>
      <w:r w:rsidRPr="001C7E8B">
        <w:tab/>
        <w:t xml:space="preserve">ugotavlja, da agencija uporablja ključne kazalnike uspešnosti za ocenjevanje rezultatov, doseženih v zvezi s svojimi cilji, med drugim v zvezi s podporo delovnim skupinam, komunikacijskimi dejavnostmi, centraliziranim financiranjem ter javnimi naročili in upravljanjem človeških virov; ugotavlja, da je bila dosežena večina ciljev, vendar priporoča, naj se obravnavajo ključni kazalniki uspešnosti, ki ostajajo neizpolnjeni ali napredujejo počasneje od pričakovanj (npr. izboljšanje procesa povračil z orodjem naprednega portala za sestanke, podpis pogodbe v podporo razvoju strategije BEREC za IKT za obdobje 2022–2025); priporoča, naj agencija redno prilagaja ključne kazalnike </w:t>
      </w:r>
      <w:r w:rsidRPr="001C7E8B">
        <w:lastRenderedPageBreak/>
        <w:t>uspešnosti, da bi optimizirala svojo uspešnost;</w:t>
      </w:r>
    </w:p>
    <w:p w:rsidR="00A6555F" w:rsidRPr="001C7E8B" w:rsidRDefault="00A6555F" w:rsidP="00A6555F">
      <w:pPr>
        <w:pStyle w:val="Normal12Hanging"/>
      </w:pPr>
      <w:r w:rsidRPr="001C7E8B">
        <w:t>3.</w:t>
      </w:r>
      <w:r w:rsidRPr="001C7E8B">
        <w:tab/>
        <w:t xml:space="preserve">pozdravlja, da je agencija še naprej zagotavljala visokokakovostno upravno in strokovno podporo odboru regulatorjev BEREC, kontaktni mreži BEREC, javnemu poročanju, delovnim skupinam BEREC, vključno z </w:t>
      </w:r>
      <w:r w:rsidRPr="001C7E8B">
        <w:rPr>
          <w:i/>
          <w:iCs/>
        </w:rPr>
        <w:t>ad hoc</w:t>
      </w:r>
      <w:r w:rsidRPr="001C7E8B">
        <w:t xml:space="preserve"> delovnimi skupinami in svetovalno skupino Urada BEREC;</w:t>
      </w:r>
    </w:p>
    <w:p w:rsidR="00A6555F" w:rsidRPr="001C7E8B" w:rsidRDefault="00A6555F" w:rsidP="00A6555F">
      <w:pPr>
        <w:pStyle w:val="NormalHanging12a"/>
      </w:pPr>
      <w:r w:rsidRPr="001C7E8B">
        <w:t>4.</w:t>
      </w:r>
      <w:r w:rsidRPr="001C7E8B">
        <w:tab/>
        <w:t>pozdravlja dejstvo, da je bil ukrajinski regulativni organ za telekomunikacije NCEC vključen v agencijo kot član brez glasovalne pravice;</w:t>
      </w:r>
    </w:p>
    <w:p w:rsidR="00A6555F" w:rsidRPr="001C7E8B" w:rsidRDefault="00A6555F" w:rsidP="00A6555F">
      <w:pPr>
        <w:pStyle w:val="Normal12Hanging"/>
        <w:rPr>
          <w:b/>
          <w:i/>
          <w:szCs w:val="24"/>
        </w:rPr>
      </w:pPr>
      <w:r w:rsidRPr="001C7E8B">
        <w:rPr>
          <w:b/>
          <w:i/>
        </w:rPr>
        <w:t>Učinkovitost in dosežki</w:t>
      </w:r>
    </w:p>
    <w:p w:rsidR="00A6555F" w:rsidRPr="001C7E8B" w:rsidRDefault="00A6555F" w:rsidP="00A6555F">
      <w:pPr>
        <w:pStyle w:val="Normal12Hanging"/>
        <w:rPr>
          <w:szCs w:val="24"/>
        </w:rPr>
      </w:pPr>
      <w:r w:rsidRPr="001C7E8B">
        <w:t>5.</w:t>
      </w:r>
      <w:r w:rsidRPr="001C7E8B">
        <w:tab/>
        <w:t>ugotavlja, da so bili ukrepi za povečanje učinkovitosti v letu 2022 usmerjeni na naslednja glavna področja: centralizacija nekaterih funkcij, javna naročila, večja učinkovitost, dosežena s povečanjem uporabe aplikacij IT Komisije ali uvedbo novih, in uporaba zunanjih virov, s katerimi se nadoknadi pomanjkanje človeških virov ali opravljajo naloge tehnične in pomožne narave;</w:t>
      </w:r>
    </w:p>
    <w:p w:rsidR="00A6555F" w:rsidRPr="001C7E8B" w:rsidRDefault="00A6555F" w:rsidP="00A6555F">
      <w:pPr>
        <w:pStyle w:val="Normal12Hanging"/>
        <w:rPr>
          <w:szCs w:val="24"/>
        </w:rPr>
      </w:pPr>
      <w:r w:rsidRPr="001C7E8B">
        <w:t>6.</w:t>
      </w:r>
      <w:r w:rsidRPr="001C7E8B">
        <w:tab/>
        <w:t>ugotavlja, da je agencija na področju javnih naročil v letu 2022 še naprej uporabljala medinstitucionalne postopke javnih naročil in se pridružila sedmim tovrstnim postopkom, ki so pripeljali do sklenitve šestih okvirnih pogodb v obdobju poročanja;</w:t>
      </w:r>
    </w:p>
    <w:p w:rsidR="00A6555F" w:rsidRPr="001C7E8B" w:rsidRDefault="00A6555F" w:rsidP="00A6555F">
      <w:pPr>
        <w:pStyle w:val="Normal12Hanging"/>
        <w:rPr>
          <w:szCs w:val="24"/>
        </w:rPr>
      </w:pPr>
      <w:r w:rsidRPr="001C7E8B">
        <w:t>7.</w:t>
      </w:r>
      <w:r w:rsidRPr="001C7E8B">
        <w:tab/>
        <w:t>pozdravlja povečanje učinkovitosti, doseženo z večjo uporabo ali uvedbo dodatnih aplikacij IT Komisije; ugotavlja zlasti, da je agencija v letu 2022 v celoti prevzela in dejavno uporabljala vse osnovne module sistema Sysper2, in sicer upravljanje identitete, upravljanje organizacij, upravljanje osebnih podatkov, delovne pogoje, upravljanje talentov in upravljanje dokumentov, ter tri module iz izbirnega sklopa, in sicer prilagodljiv delovni čas, delo na daljavo in pravice posameznikov;</w:t>
      </w:r>
    </w:p>
    <w:p w:rsidR="00A6555F" w:rsidRPr="001C7E8B" w:rsidRDefault="00A6555F" w:rsidP="00A6555F">
      <w:pPr>
        <w:pStyle w:val="NormalHanging12a"/>
      </w:pPr>
      <w:r w:rsidRPr="001C7E8B">
        <w:t>8.</w:t>
      </w:r>
      <w:r w:rsidRPr="001C7E8B">
        <w:tab/>
        <w:t>ugotavlja, da agencija od svoje ustanovitve deluje brez človeških virov za nekatera delovna mesta; ugotavlja, da agencija nadomešča nekatere omejitve zmogljivosti, kjer je to izvedljivo, in kot glavno rešitev prednostno uporablja storitve, ki jih ponujajo Komisija in druge agencije Unije; opaža, da ta pristop vključuje uporabo storitev, ki jih zagotavljata Urad Komisije za vodenje in plačevanje posameznih pravic (PMO) in skupina za odzivanje na računalniške grožnje za evropske institucije, organe in agencije (CERT-EU), za storitve IT in varnostne storitve; pozdravlja, da agencija zelo uspešno sodeluje z Uradom Evropske unije za intelektualno lastnino na področju IT, kar vključuje gostovanje, razvoj IT, ponovno vzpostavitev delovanja po nesreči, razvoj nove zasnove spletne strani agencije in druge storitve IT;</w:t>
      </w:r>
    </w:p>
    <w:p w:rsidR="00A6555F" w:rsidRPr="001C7E8B" w:rsidRDefault="00A6555F" w:rsidP="00A6555F">
      <w:pPr>
        <w:pStyle w:val="NormalHanging12a"/>
      </w:pPr>
      <w:r w:rsidRPr="001C7E8B">
        <w:t>9.</w:t>
      </w:r>
      <w:r w:rsidRPr="001C7E8B">
        <w:tab/>
        <w:t>poudarja, kako pomembno je dodatno digitalizirati notranje delovanje in upravljanje agencije, pa tudi pospešiti digitalizacijo postopkov; poudarja, da mora biti agencija na tem področju še naprej proaktivna, da bi preprečili digitalno vrzel med agencijami; vendar opozarja, da je treba sprejeti vse potrebne varnostne ukrepe, da bi preprečili tveganje za spletno varnost obdelanih informacij, in vztraja, da je treba okrepiti ukrepe proti kibernetskim napadom ali poskusom infiltracije, ki izvirajo zlasti iz Rusije ali Kitajske;</w:t>
      </w:r>
    </w:p>
    <w:p w:rsidR="00A6555F" w:rsidRPr="001C7E8B" w:rsidRDefault="00A6555F" w:rsidP="00A6555F">
      <w:pPr>
        <w:pStyle w:val="Normal12Hanging"/>
        <w:rPr>
          <w:b/>
          <w:i/>
          <w:szCs w:val="24"/>
        </w:rPr>
      </w:pPr>
      <w:r w:rsidRPr="001C7E8B">
        <w:rPr>
          <w:b/>
          <w:i/>
        </w:rPr>
        <w:t>Kadrovska politika</w:t>
      </w:r>
    </w:p>
    <w:p w:rsidR="00A6555F" w:rsidRPr="001C7E8B" w:rsidRDefault="00A6555F" w:rsidP="00A6555F">
      <w:pPr>
        <w:spacing w:after="240"/>
        <w:ind w:left="567" w:hanging="567"/>
        <w:rPr>
          <w:rFonts w:eastAsia="Calibri"/>
          <w:szCs w:val="24"/>
        </w:rPr>
      </w:pPr>
      <w:r w:rsidRPr="001C7E8B">
        <w:t>10.</w:t>
      </w:r>
      <w:r w:rsidRPr="001C7E8B">
        <w:tab/>
        <w:t xml:space="preserve">ugotavlja, da je bilo 31. decembra 2022 po kadrovskem načrtu v agenciji zaposlenih 16 začasnih uslužbencev, odobrenih v proračunu Unije (enako število odobrenih </w:t>
      </w:r>
      <w:r w:rsidRPr="001C7E8B">
        <w:lastRenderedPageBreak/>
        <w:t>delovnih mest kot v letu 2021); ugotavlja tudi, da je za agencijo v letu 2022 delalo 19 pogodbenih uslužbencev, 8 napotenih nacionalnih strokovnjakov ter 10 agencijskih delavcev in svetovalcev;</w:t>
      </w:r>
    </w:p>
    <w:p w:rsidR="00A6555F" w:rsidRPr="001C7E8B" w:rsidRDefault="00A6555F" w:rsidP="00A6555F">
      <w:pPr>
        <w:pStyle w:val="NormalHanging12a"/>
      </w:pPr>
      <w:r w:rsidRPr="001C7E8B">
        <w:t>11.</w:t>
      </w:r>
      <w:r w:rsidRPr="001C7E8B">
        <w:tab/>
        <w:t>pozdravlja prizadevanja agencije, da bi svoje delovanje uskladila z načeli skupne izjave Evropskega parlamenta, Sveta EU in Evropske komisije z dne 19. julija 2012 o decentraliziranih agencijah, vključno s pričakovano najmanjšo kritično velikostjo;</w:t>
      </w:r>
    </w:p>
    <w:p w:rsidR="00A6555F" w:rsidRPr="001C7E8B" w:rsidRDefault="00A6555F" w:rsidP="00A6555F">
      <w:pPr>
        <w:pStyle w:val="NormalHanging12a"/>
      </w:pPr>
      <w:r w:rsidRPr="001C7E8B">
        <w:t>12.</w:t>
      </w:r>
      <w:r w:rsidRPr="001C7E8B">
        <w:tab/>
        <w:t>ugotavlja, da je bil glavni izziv na področju kadrovske politike velika fluktuacija zaposlenih, ki se je leta 2022 dvignila na 16,3 % v primerjavi s 4,6 % leta 2021 in 5,4 % leta 2020; ugotavlja, da je močno povečanje fluktuacije zaposlenih prizadelo zlasti upravo in oddelek za finance; ugotavlja, da je agencija za zapolnitev izpraznjenih delovnih mest in zagotavljanje novih kompetenc zaposlenih, ki jih potrebujeta agencija in njena uprava, leta 2022 začela izbirne postopke za pet prostih delovnih mest (en začasni in štirje pogodbeni uslužbenci), za katera ni imela ustreznih rezervnih seznamov, za preostala tri izpraznjena delovna mesta pa je agencija poskrbela za hitro zaposlitev kandidatov z veljavnih rezervnih seznamov; vendar poziva agencijo, naj analizira razloge za veliko fluktuacijo zaposlenih in sprejme potrebne ukrepe, da bi se temu v prihodnje izognila, ter o tem poroča organu za podelitev razrešnice;</w:t>
      </w:r>
    </w:p>
    <w:p w:rsidR="00A6555F" w:rsidRPr="001C7E8B" w:rsidRDefault="00A6555F" w:rsidP="00A6555F">
      <w:pPr>
        <w:spacing w:after="240"/>
        <w:ind w:left="567" w:hanging="567"/>
        <w:rPr>
          <w:rFonts w:eastAsia="Calibri"/>
          <w:szCs w:val="24"/>
        </w:rPr>
      </w:pPr>
      <w:r w:rsidRPr="001C7E8B">
        <w:t>13.</w:t>
      </w:r>
      <w:r w:rsidRPr="001C7E8B">
        <w:tab/>
        <w:t>pozdravlja pobude agencije za izboljšanje pogojev poklicnega in zasebnega življenja uslužbencev, vključno s pravnim svetovanjem v zasebnih zadevah, finančno podporo za vrtec, šolnino za mednarodne šole, jezikovnimi tečaji, oprostitvijo plačila DDV na blago za napotene nacionalne strokovnjake, uvajalnim programom za nove zaposlene in pomočjo družinskim članom, ki se naselijo v Latviji, deloma v sodelovanju z tamkajšnjimi oblastmi;</w:t>
      </w:r>
    </w:p>
    <w:p w:rsidR="00A6555F" w:rsidRPr="001C7E8B" w:rsidRDefault="00A6555F" w:rsidP="00A6555F">
      <w:pPr>
        <w:pStyle w:val="NormalHanging12a"/>
      </w:pPr>
      <w:r w:rsidRPr="001C7E8B">
        <w:t>14.</w:t>
      </w:r>
      <w:r w:rsidRPr="001C7E8B">
        <w:tab/>
        <w:t>pozdravlja, da je bila leta 2022 kot že leta 2021 na splošno dosežena uravnotežena zastopanost spolov med zaposlenimi, in sicer 52 % žensk in 48 % moških; vztraja, da je treba okrepiti prizadevanja za ohranitev razumnega ravnotežja v zastopanosti spolov med zaposlenimi v agenciji; priznava, da ima agencija le tri delovna mesta na ravni srednjega vodstva in da je bilo z eno žensko in dvema moškima doseženo sprejemljivo ravnotežje v zastopanosti spolov tudi na tej ravni;</w:t>
      </w:r>
    </w:p>
    <w:p w:rsidR="00A6555F" w:rsidRPr="001C7E8B" w:rsidRDefault="00A6555F" w:rsidP="00A6555F">
      <w:pPr>
        <w:pStyle w:val="NormalHanging12a"/>
      </w:pPr>
      <w:r w:rsidRPr="001C7E8B">
        <w:t>15.</w:t>
      </w:r>
      <w:r w:rsidRPr="001C7E8B">
        <w:tab/>
        <w:t>ugotavlja, da je agencija uvedla politiko za zaščito človekovega dostojanstva ter preprečevanje psihičnega in spolnega nadlegovanja, prav tako pa sodeluje pri medagencijski projektni skupini zaupnih svetovalcev; z zanimanjem pričakuje njihovo poročilo in priporočila; ugotavlja, da v letu 2022 ni bilo prijavljenih primerov nadlegovanja, in spodbuja agencijo, naj tudi v prihodnje oblikuje in izvaja dejavnosti za preprečevanje teh primerov;</w:t>
      </w:r>
    </w:p>
    <w:p w:rsidR="00A6555F" w:rsidRPr="001C7E8B" w:rsidRDefault="00A6555F" w:rsidP="00A6555F">
      <w:pPr>
        <w:pStyle w:val="NormalHanging12a"/>
      </w:pPr>
      <w:r w:rsidRPr="001C7E8B">
        <w:t>16.</w:t>
      </w:r>
      <w:r w:rsidRPr="001C7E8B">
        <w:tab/>
        <w:t>obžaluje, da agencija ni sprejela Listine o raznolikosti in vključevanju, katere cilj je spodbujanje enakega obravnavanja in možnosti, ne glede na spol, raso, barvo, etnično ali socialno poreklo, genetske značilnosti, jezik, vero ali prepričanje, politično ali drugo mnenje, pripadnost narodnostni manjšini, premoženje, rojstvo, invalidnost, starost ali spolno usmerjenost; opozarja na enega od ciljev listine, da se na kratki oziroma srednji rok doseže, da bo vsaj 40 % položajev srednjega vodstva zasedal premalo zastopani spol; je seznanjen z odgovorom agencije na standardni vprašalnik o razrešnici; meni, da liho število delovnih mesta na ravni višjega in na ravni srednjega vodstva ne preprečuje sprejetja listine; spodbuja agencijo, naj sprejme listino ter dejavno sodeluje v pobudah, ki spodbujajo raznolikost in vključevanje na delovnem mestu;</w:t>
      </w:r>
    </w:p>
    <w:p w:rsidR="00A6555F" w:rsidRPr="001C7E8B" w:rsidRDefault="00A6555F" w:rsidP="00A6555F">
      <w:pPr>
        <w:pStyle w:val="NormalHanging12a"/>
      </w:pPr>
      <w:r w:rsidRPr="001C7E8B">
        <w:lastRenderedPageBreak/>
        <w:t>17.</w:t>
      </w:r>
      <w:r w:rsidRPr="001C7E8B">
        <w:tab/>
        <w:t>pozdravlja, da je agencija v letu 2022 nadaljevala program pripravništva; ugotavlja, da se je agenciji pridružilo skupno 7 praktikantov, 15 praktikantov pa je sodelovalo v programu pripravništva agencije;</w:t>
      </w:r>
    </w:p>
    <w:p w:rsidR="00A6555F" w:rsidRPr="001C7E8B" w:rsidRDefault="00A6555F" w:rsidP="00A6555F">
      <w:pPr>
        <w:spacing w:after="240"/>
        <w:ind w:left="567" w:hanging="567"/>
        <w:rPr>
          <w:rFonts w:eastAsia="Calibri"/>
          <w:b/>
          <w:i/>
          <w:szCs w:val="24"/>
        </w:rPr>
      </w:pPr>
      <w:r w:rsidRPr="001C7E8B">
        <w:rPr>
          <w:b/>
          <w:i/>
        </w:rPr>
        <w:t>Preprečevanje in obvladovanje nasprotij interesov ter preglednost</w:t>
      </w:r>
    </w:p>
    <w:p w:rsidR="00A6555F" w:rsidRPr="001C7E8B" w:rsidRDefault="00A6555F" w:rsidP="00A6555F">
      <w:pPr>
        <w:spacing w:after="240"/>
        <w:ind w:left="567" w:hanging="567"/>
        <w:rPr>
          <w:szCs w:val="24"/>
        </w:rPr>
      </w:pPr>
      <w:r w:rsidRPr="001C7E8B">
        <w:t>18.</w:t>
      </w:r>
      <w:r w:rsidRPr="001C7E8B">
        <w:tab/>
        <w:t>ugotavlja, da agencija na svojem spletnem mestu objavlja življenjepise in izjave o nasprotju interesov članov upravnega odbora;</w:t>
      </w:r>
    </w:p>
    <w:p w:rsidR="00A6555F" w:rsidRPr="001C7E8B" w:rsidRDefault="00A6555F" w:rsidP="00A6555F">
      <w:pPr>
        <w:spacing w:after="240"/>
        <w:ind w:left="567" w:hanging="567"/>
        <w:rPr>
          <w:szCs w:val="24"/>
        </w:rPr>
      </w:pPr>
      <w:r w:rsidRPr="001C7E8B">
        <w:t>19.</w:t>
      </w:r>
      <w:r w:rsidRPr="001C7E8B">
        <w:tab/>
        <w:t xml:space="preserve">je seznanjen, da morajo statutarni uslužbenci, napoteni nacionalni strokovnjaki, praktikanti in agencijski delavci pred začetkom opravljanja svojega dela v agenciji predložiti izjavo o interesih, ki jo nato pred odobritvijo imenovanja pregleda organ za imenovanje ali direktor; ugotavlja tudi, da morajo zaposleni med zaposlitvijo redno posodabljati to izjavo in obravnavati morebitne </w:t>
      </w:r>
      <w:r w:rsidRPr="001C7E8B">
        <w:rPr>
          <w:i/>
          <w:iCs/>
        </w:rPr>
        <w:t>ad hoc</w:t>
      </w:r>
      <w:r w:rsidRPr="001C7E8B">
        <w:t xml:space="preserve"> primere nasprotja interesov ter proaktivno obveščati agencijo o vseh zunanjih dejavnostih, poklicnih dejavnostih med osebnim dopustom, zadržanih darilih, zaposlitvah zakoncev in morebitnih konfliktih prek publikacij ali govorov; ugotavlja, da morajo statutarni uslužbenci in praktikanti ob prenehanju delovnega razmerja v določenem časovnem okviru po zaposlitvi agenciji razkriti svoje načrtovane prihodnje poklicne obveznosti;</w:t>
      </w:r>
    </w:p>
    <w:p w:rsidR="00A6555F" w:rsidRPr="001C7E8B" w:rsidRDefault="00A6555F" w:rsidP="00A6555F">
      <w:pPr>
        <w:spacing w:after="240"/>
        <w:ind w:left="567" w:hanging="567"/>
        <w:rPr>
          <w:szCs w:val="24"/>
        </w:rPr>
      </w:pPr>
      <w:r w:rsidRPr="001C7E8B">
        <w:t>20.</w:t>
      </w:r>
      <w:r w:rsidRPr="001C7E8B">
        <w:tab/>
        <w:t>je seznanjen, da je direktor agencije sprejel obvestilo o obvladovanju nasprotij interesov zaposlenih med izborom in zaposlitvijo, v katerem zahteva prijavo vseh poklicnih/osebnih odnosov s kandidati, ne glede na to, ali to razmerje pomeni nasprotje interesov ali ne; poleg tega ugotavlja, da bi morali zaposleni navesti tudi, ali lahko ohranijo nepristranskost ali ne; ugotavlja, da morajo člani izbirne komisije po razkritju imen kandidatov predložiti izjavo o nasprotjih interesov v skladu z omenjenim obvestilom in smernicami za preprečevanje in obvladovanje nasprotij interesov v zvezi z zaposlenimi, ki sodelujejo v postopkih izbora, zaposlitve ali prerazvrstitve v agenciji;</w:t>
      </w:r>
    </w:p>
    <w:p w:rsidR="00A6555F" w:rsidRPr="001C7E8B" w:rsidRDefault="00A6555F" w:rsidP="00A6555F">
      <w:pPr>
        <w:spacing w:after="240"/>
        <w:ind w:left="567" w:hanging="567"/>
        <w:rPr>
          <w:szCs w:val="24"/>
        </w:rPr>
      </w:pPr>
      <w:r w:rsidRPr="001C7E8B">
        <w:t>21.</w:t>
      </w:r>
      <w:r w:rsidRPr="001C7E8B">
        <w:tab/>
        <w:t>ugotavlja, da je upravni odbor sprejel strategijo agencije za boj proti goljufijam za obdobje 2023–2025, katere cilj je izboljšati odkrivanje, sankcioniranje in preprečevanje goljufij ter preprečiti vse druge nezakonite dejavnosti, ki bi lahko vplivale na njene finančne interese; pozdravlja, da je agencija v produkcijo uvedla module za etiko v sistemu Sysper, ki zajemajo izjavo o nasprotju interesov, izjavo o darilu ali gostoljubnosti, izjavo o objavi, prošnjo za odobritev zunanje dejavnosti, prošnjo za opravljanje zunanje dejavnosti med dopustom iz osebnih razlogov, izjavo o zaposlitvi zakonca;</w:t>
      </w:r>
    </w:p>
    <w:p w:rsidR="00A6555F" w:rsidRPr="001C7E8B" w:rsidRDefault="00A6555F" w:rsidP="00A6555F">
      <w:pPr>
        <w:pStyle w:val="NormalHanging12a"/>
      </w:pPr>
      <w:r w:rsidRPr="001C7E8B">
        <w:t>22.</w:t>
      </w:r>
      <w:r w:rsidRPr="001C7E8B">
        <w:tab/>
        <w:t>opozarja, kako pomembno je, da agencija poveča prepoznavnost v medijih, na spletu in v družbenih medijih, da bi bila javnost seznanjena z njenim delom;</w:t>
      </w:r>
    </w:p>
    <w:p w:rsidR="00A6555F" w:rsidRPr="001C7E8B" w:rsidRDefault="00A6555F" w:rsidP="00A6555F">
      <w:pPr>
        <w:spacing w:after="240"/>
        <w:ind w:left="567" w:hanging="567"/>
        <w:rPr>
          <w:b/>
          <w:i/>
          <w:szCs w:val="24"/>
        </w:rPr>
      </w:pPr>
      <w:r w:rsidRPr="001C7E8B">
        <w:rPr>
          <w:b/>
          <w:i/>
        </w:rPr>
        <w:t>Druge pripombe</w:t>
      </w:r>
    </w:p>
    <w:p w:rsidR="00A6555F" w:rsidRPr="001C7E8B" w:rsidRDefault="00A6555F" w:rsidP="00A6555F">
      <w:pPr>
        <w:spacing w:after="240"/>
        <w:ind w:left="567" w:hanging="567"/>
        <w:rPr>
          <w:b/>
          <w:i/>
          <w:szCs w:val="24"/>
        </w:rPr>
      </w:pPr>
      <w:r w:rsidRPr="001C7E8B">
        <w:t>23.</w:t>
      </w:r>
      <w:r w:rsidRPr="001C7E8B">
        <w:tab/>
        <w:t>ugotavlja, da je agencija februarja 2022 začela uporabljati orodje služb Komisije za upravljanje javnih naročil, s katerim je dodatno racionalizirala svoje postopke javnih naročil in zagotovila uporabo najnovejših predlog in dobrih praks Komisije v vseh fazah postopka;</w:t>
      </w:r>
    </w:p>
    <w:p w:rsidR="00A6555F" w:rsidRPr="001C7E8B" w:rsidRDefault="00A6555F" w:rsidP="00A6555F">
      <w:pPr>
        <w:spacing w:after="240"/>
        <w:ind w:left="567" w:hanging="567"/>
        <w:rPr>
          <w:szCs w:val="24"/>
        </w:rPr>
      </w:pPr>
      <w:r w:rsidRPr="001C7E8B">
        <w:t>24.</w:t>
      </w:r>
      <w:r w:rsidRPr="001C7E8B">
        <w:tab/>
        <w:t xml:space="preserve">priznava, da agencija za izboljšanje kibernetske varnosti in zaščito digitalnih evidenc v njeni posesti uporablja dvofaktorsko avtentikacijo, požarne zidove spletnih aplikacij, avtomatizirane varnostne kopije in šifriranje (če je ustrezno/možno) ter redno testira </w:t>
      </w:r>
      <w:r w:rsidRPr="001C7E8B">
        <w:lastRenderedPageBreak/>
        <w:t>okrevanje sistemov, ki so kritični za poslovanje; ugotavlja tudi, da agencija poleg tega uporablja zaščito, ki temelji na programski opremi, za naprave končnih uporabnikov, kot so prenosni računalniki in mobilni telefoni, ter storitve za varnost IKT, ki jih zagotavlja CERT-EU;</w:t>
      </w:r>
    </w:p>
    <w:p w:rsidR="00A6555F" w:rsidRPr="001C7E8B" w:rsidRDefault="00A6555F" w:rsidP="00A6555F">
      <w:pPr>
        <w:pStyle w:val="NormalHanging12a"/>
      </w:pPr>
      <w:r w:rsidRPr="001C7E8B">
        <w:t>25.</w:t>
      </w:r>
      <w:r w:rsidRPr="001C7E8B">
        <w:tab/>
        <w:t>pozdravlja prizadevanja agencije, da bi novo zakonodajo, ki določa ukrepe za kibernetsko varnost v institucijah, organih, uradih in agencijah Unije, obravnavala prednostno; z zaskrbljenostjo ugotavlja, da bi lahko uredba o kibernetski varnosti nesorazmerno obremenila majhne agencije, kot je urad BEREC, kar bi lahko ogrozilo skladnost; poziva Komisijo, naj to upošteva v programskih ciklih naslednjih let;</w:t>
      </w:r>
    </w:p>
    <w:p w:rsidR="00A6555F" w:rsidRPr="001C7E8B" w:rsidRDefault="00A6555F" w:rsidP="00A6555F">
      <w:pPr>
        <w:spacing w:after="240"/>
        <w:ind w:left="567" w:hanging="567"/>
        <w:rPr>
          <w:rFonts w:eastAsia="Calibri"/>
          <w:szCs w:val="24"/>
        </w:rPr>
      </w:pPr>
      <w:r w:rsidRPr="001C7E8B">
        <w:t>26.</w:t>
      </w:r>
      <w:r w:rsidRPr="001C7E8B">
        <w:tab/>
        <w:t>pozdravlja dejstvo, da je upravni odbor agencije določil certifikat EMAS kot cilj za naslednja tri leta; se zaveda, da je agencija začela notranje priprave za certificiranje, ki vključujejo nadaljnje posodobitve izračuna ogljičnega odtisa agencije, sodelovanje pri tesnem medinstitucionalnem sodelovanju v okviru mreže agencij EU za ozelenitev in drugo;</w:t>
      </w:r>
    </w:p>
    <w:p w:rsidR="00A6555F" w:rsidRPr="001C7E8B" w:rsidRDefault="00A6555F" w:rsidP="00A6555F">
      <w:pPr>
        <w:pStyle w:val="NormalHanging12a"/>
      </w:pPr>
      <w:r w:rsidRPr="001C7E8B">
        <w:t>27.</w:t>
      </w:r>
      <w:r w:rsidRPr="001C7E8B">
        <w:tab/>
        <w:t>z zadovoljstvom pozdravlja sodelovanje ukrajinskega nacionalnega regulativnega organa pri vsakodnevnem delovanju agencije; izreka pohvalo agenciji in njenim članom za vzpostavitev okvira sodelovanja za obravnavanje izzivov povezljivosti in utiranje poti za uskladitev ukrajinskih predpisov o elektronskih komunikacijah z evropskim okvirom za telekomunikacije; ceni tudi, da je bila na podlagi podatkov o uporabljenih ukrepih v maloprodaji, ki jih je agencija pridobila od operaterjev iz Unije in Ukrajine, dosežen dogovor o skupni izjavi, s katero je bil vzpostavljen stabilen okvir za pomoč ljudem, ki bežijo pred vojno v Ukrajini, da ostanejo povezani s svojimi družinami in prijatelji doma ter ohranijo dostop do informacij;</w:t>
      </w:r>
    </w:p>
    <w:p w:rsidR="00A6555F" w:rsidRPr="001C7E8B" w:rsidRDefault="00A6555F" w:rsidP="00A6555F">
      <w:pPr>
        <w:pStyle w:val="NormalHanging12a"/>
      </w:pPr>
      <w:r w:rsidRPr="001C7E8B">
        <w:t>28.</w:t>
      </w:r>
      <w:r w:rsidRPr="001C7E8B">
        <w:tab/>
        <w:t>izreka pohvalo prizadevanjem agencije v letu 2022 za povečanje ozaveščenosti javnosti o njenem mandatu in delu v Latviji z manjšimi pobudami za obveščanje, kot je na primer organizacija obiska študentov Univerze Stradiņš iz Rige, spodbujanje partnerstva za krepitev njihovega razumevanja agencij EU, zlasti v Latviji, sodelovanje na praznovanju dneva Evrope v Latviji, ki se je prenašalo v živo prek spleta in ga je organiziralo predstavništvo Evropske komisije v državi, in pri drugih prireditvah; poziva agencijo, naj si še naprej prizadeva za svojo večjo prepoznavnost, zlasti v državi članici gostiteljici;</w:t>
      </w:r>
    </w:p>
    <w:p w:rsidR="00A6555F" w:rsidRPr="001C7E8B" w:rsidRDefault="00A6555F" w:rsidP="00A6555F">
      <w:pPr>
        <w:pStyle w:val="NormalHanging12a"/>
      </w:pPr>
      <w:r w:rsidRPr="001C7E8B">
        <w:t>29.</w:t>
      </w:r>
      <w:r w:rsidRPr="001C7E8B">
        <w:tab/>
        <w:t>pozdravlja dejstvo, da so lokalni uradi Parlamenta in Komisije v Rigi ter agencija združili svoja prizadevanja za sodelovanje pri ustanovitvi skupne evropske hiše, ki bo „dom“ vseh institucij Unije in agencije v Latviji;</w:t>
      </w:r>
    </w:p>
    <w:p w:rsidR="00A6555F" w:rsidRPr="001C7E8B" w:rsidRDefault="00A6555F" w:rsidP="00A6555F">
      <w:pPr>
        <w:pStyle w:val="NormalCenter12a"/>
      </w:pPr>
      <w:r w:rsidRPr="001C7E8B">
        <w:t>°</w:t>
      </w:r>
    </w:p>
    <w:p w:rsidR="00A6555F" w:rsidRPr="001C7E8B" w:rsidRDefault="00A6555F" w:rsidP="00A6555F">
      <w:pPr>
        <w:pStyle w:val="NormalCenter12a"/>
      </w:pPr>
      <w:r w:rsidRPr="001C7E8B">
        <w:t>°</w:t>
      </w:r>
      <w:r w:rsidRPr="001C7E8B">
        <w:tab/>
        <w:t>°</w:t>
      </w:r>
    </w:p>
    <w:p w:rsidR="00E365E1" w:rsidRPr="001C7E8B" w:rsidRDefault="00A6555F" w:rsidP="00827608">
      <w:pPr>
        <w:ind w:left="567" w:hanging="567"/>
      </w:pPr>
      <w:r w:rsidRPr="001C7E8B">
        <w:t>30.</w:t>
      </w:r>
      <w:r w:rsidRPr="001C7E8B">
        <w:tab/>
        <w:t xml:space="preserve">sporoča, da so druge ugotovitve horizontalne narave, ki spremljajo sklep o razrešnici, zbrane v resoluciji z dne </w:t>
      </w:r>
      <w:r w:rsidR="00827608" w:rsidRPr="001C7E8B">
        <w:t>11. aprila 2024</w:t>
      </w:r>
      <w:r w:rsidRPr="001C7E8B">
        <w:rPr>
          <w:vertAlign w:val="superscript"/>
        </w:rPr>
        <w:footnoteReference w:id="12"/>
      </w:r>
      <w:r w:rsidRPr="001C7E8B">
        <w:t xml:space="preserve"> o uspešnosti, finančnem poslovodenju in nadzoru agencij.</w:t>
      </w:r>
      <w:bookmarkStart w:id="9" w:name="TextBodyEnd"/>
      <w:bookmarkEnd w:id="9"/>
    </w:p>
    <w:sectPr w:rsidR="00E365E1" w:rsidRPr="001C7E8B" w:rsidSect="001246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59A" w:rsidRPr="00124607" w:rsidRDefault="007C659A">
      <w:r w:rsidRPr="00124607">
        <w:separator/>
      </w:r>
    </w:p>
  </w:endnote>
  <w:endnote w:type="continuationSeparator" w:id="0">
    <w:p w:rsidR="007C659A" w:rsidRPr="00124607" w:rsidRDefault="007C659A">
      <w:r w:rsidRPr="001246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59A" w:rsidRPr="00124607" w:rsidRDefault="007C659A">
      <w:r w:rsidRPr="00124607">
        <w:separator/>
      </w:r>
    </w:p>
  </w:footnote>
  <w:footnote w:type="continuationSeparator" w:id="0">
    <w:p w:rsidR="007C659A" w:rsidRPr="00124607" w:rsidRDefault="007C659A">
      <w:r w:rsidRPr="00124607">
        <w:continuationSeparator/>
      </w:r>
    </w:p>
  </w:footnote>
  <w:footnote w:id="1">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C, C/2023/594, 27.10.2023.</w:t>
      </w:r>
    </w:p>
  </w:footnote>
  <w:footnote w:id="2">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C, C/2023/112, 12.10.2023.</w:t>
      </w:r>
    </w:p>
  </w:footnote>
  <w:footnote w:id="3">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193, 30.7.2018, str. 1.</w:t>
      </w:r>
    </w:p>
  </w:footnote>
  <w:footnote w:id="4">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321, 17.12.2018, str. 1.</w:t>
      </w:r>
    </w:p>
  </w:footnote>
  <w:footnote w:id="5">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122, 10.5.2019, str. 1.</w:t>
      </w:r>
    </w:p>
  </w:footnote>
  <w:footnote w:id="6">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C, C/2023/594, 27.10.2023.</w:t>
      </w:r>
    </w:p>
  </w:footnote>
  <w:footnote w:id="7">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C, C/2023/112, 12.10.2023.</w:t>
      </w:r>
    </w:p>
  </w:footnote>
  <w:footnote w:id="8">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193, 30.7.2018, str. 1.</w:t>
      </w:r>
    </w:p>
  </w:footnote>
  <w:footnote w:id="9">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321, 17.12.2018, str. 1.</w:t>
      </w:r>
    </w:p>
  </w:footnote>
  <w:footnote w:id="10">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L 122, 10.5.2019, str. 1.</w:t>
      </w:r>
    </w:p>
  </w:footnote>
  <w:footnote w:id="11">
    <w:p w:rsidR="00A6555F" w:rsidRPr="00124607" w:rsidRDefault="00A6555F" w:rsidP="00124607">
      <w:pPr>
        <w:pStyle w:val="FootnoteText"/>
        <w:ind w:left="567" w:hanging="567"/>
        <w:rPr>
          <w:sz w:val="24"/>
          <w:lang w:val="sl-SI"/>
        </w:rPr>
      </w:pPr>
      <w:r w:rsidRPr="00124607">
        <w:rPr>
          <w:rStyle w:val="FootnoteReference"/>
          <w:sz w:val="24"/>
          <w:lang w:val="sl-SI"/>
        </w:rPr>
        <w:footnoteRef/>
      </w:r>
      <w:r w:rsidR="00124607" w:rsidRPr="00124607">
        <w:rPr>
          <w:sz w:val="24"/>
          <w:lang w:val="sl-SI"/>
        </w:rPr>
        <w:t xml:space="preserve"> </w:t>
      </w:r>
      <w:r w:rsidR="00124607" w:rsidRPr="00124607">
        <w:rPr>
          <w:sz w:val="24"/>
          <w:lang w:val="sl-SI"/>
        </w:rPr>
        <w:tab/>
      </w:r>
      <w:r w:rsidRPr="00124607">
        <w:rPr>
          <w:sz w:val="24"/>
          <w:lang w:val="sl-SI"/>
        </w:rPr>
        <w:t>UL C 119, 31.3.2023, str. 11.</w:t>
      </w:r>
    </w:p>
  </w:footnote>
  <w:footnote w:id="12">
    <w:p w:rsidR="00A6555F" w:rsidRPr="00124607" w:rsidRDefault="00A6555F" w:rsidP="001C7E8B">
      <w:pPr>
        <w:pStyle w:val="FootnoteText"/>
        <w:ind w:left="567" w:hanging="567"/>
        <w:rPr>
          <w:sz w:val="24"/>
          <w:szCs w:val="24"/>
          <w:lang w:val="sl-SI"/>
        </w:rPr>
      </w:pPr>
      <w:r w:rsidRPr="00124607">
        <w:rPr>
          <w:rStyle w:val="FootnoteReference"/>
          <w:sz w:val="24"/>
          <w:szCs w:val="24"/>
          <w:lang w:val="sl-SI"/>
        </w:rPr>
        <w:footnoteRef/>
      </w:r>
      <w:r w:rsidR="00124607" w:rsidRPr="00124607">
        <w:rPr>
          <w:sz w:val="24"/>
          <w:lang w:val="sl-SI"/>
        </w:rPr>
        <w:t xml:space="preserve"> </w:t>
      </w:r>
      <w:r w:rsidR="00124607" w:rsidRPr="00124607">
        <w:rPr>
          <w:sz w:val="24"/>
          <w:lang w:val="sl-SI"/>
        </w:rPr>
        <w:tab/>
      </w:r>
      <w:r w:rsidRPr="00124607">
        <w:rPr>
          <w:sz w:val="24"/>
          <w:lang w:val="sl-SI"/>
        </w:rPr>
        <w:t>Sprejeta besedila, P9_TA(2024)0</w:t>
      </w:r>
      <w:r w:rsidR="001C7E8B">
        <w:rPr>
          <w:sz w:val="24"/>
          <w:lang w:val="sl-SI"/>
        </w:rPr>
        <w:t>280</w:t>
      </w:r>
      <w:r w:rsidRPr="00124607">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46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SL"/>
    <w:docVar w:name="dvnumam" w:val="0"/>
    <w:docVar w:name="dvpe" w:val="753.507"/>
    <w:docVar w:name="dvrapporteur" w:val="Poročevalec: "/>
    <w:docVar w:name="dvtitre" w:val="1. Sklep Evropskega parlamenta z dne xx. aprila 2024 o razrešnici glede izvrševanja proračuna Agencije za podporo BEREC-u (Urad BEREC) za proračunsko leto 2022(2023/2141(DEC))"/>
  </w:docVars>
  <w:rsids>
    <w:rsidRoot w:val="007C659A"/>
    <w:rsid w:val="00002272"/>
    <w:rsid w:val="00064002"/>
    <w:rsid w:val="000677B9"/>
    <w:rsid w:val="000831BA"/>
    <w:rsid w:val="000A42CC"/>
    <w:rsid w:val="000B4572"/>
    <w:rsid w:val="000E7DD9"/>
    <w:rsid w:val="0010095E"/>
    <w:rsid w:val="00124607"/>
    <w:rsid w:val="00125B37"/>
    <w:rsid w:val="00187494"/>
    <w:rsid w:val="001C7E8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659A"/>
    <w:rsid w:val="007D1690"/>
    <w:rsid w:val="007E22AD"/>
    <w:rsid w:val="00817416"/>
    <w:rsid w:val="00827608"/>
    <w:rsid w:val="00842779"/>
    <w:rsid w:val="00865F67"/>
    <w:rsid w:val="00881A7B"/>
    <w:rsid w:val="008840E5"/>
    <w:rsid w:val="00887B3E"/>
    <w:rsid w:val="008C2AC6"/>
    <w:rsid w:val="00930C23"/>
    <w:rsid w:val="0093193B"/>
    <w:rsid w:val="009509D8"/>
    <w:rsid w:val="00950B64"/>
    <w:rsid w:val="00981893"/>
    <w:rsid w:val="009D47A8"/>
    <w:rsid w:val="00A1687D"/>
    <w:rsid w:val="00A43E52"/>
    <w:rsid w:val="00A4678D"/>
    <w:rsid w:val="00A6555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B1D13"/>
  <w15:chartTrackingRefBased/>
  <w15:docId w15:val="{8030BBC0-F777-400A-8848-61FB9421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555F"/>
    <w:pPr>
      <w:spacing w:before="480" w:after="240"/>
    </w:pPr>
  </w:style>
  <w:style w:type="paragraph" w:customStyle="1" w:styleId="PageHeading">
    <w:name w:val="PageHeading"/>
    <w:basedOn w:val="Normal"/>
    <w:rsid w:val="00A6555F"/>
    <w:pPr>
      <w:keepNext/>
      <w:spacing w:after="480"/>
      <w:jc w:val="center"/>
    </w:pPr>
    <w:rPr>
      <w:rFonts w:ascii="Arial" w:hAnsi="Arial" w:cs="Arial"/>
      <w:b/>
    </w:rPr>
  </w:style>
  <w:style w:type="paragraph" w:customStyle="1" w:styleId="NormalBold">
    <w:name w:val="NormalBold"/>
    <w:basedOn w:val="Normal"/>
    <w:rsid w:val="00A6555F"/>
    <w:rPr>
      <w:b/>
    </w:rPr>
  </w:style>
  <w:style w:type="paragraph" w:customStyle="1" w:styleId="NormalHanging12a">
    <w:name w:val="NormalHanging12a"/>
    <w:basedOn w:val="Normal"/>
    <w:link w:val="NormalHanging12aChar"/>
    <w:rsid w:val="00A6555F"/>
    <w:pPr>
      <w:spacing w:after="240"/>
      <w:ind w:left="567" w:hanging="567"/>
    </w:pPr>
  </w:style>
  <w:style w:type="paragraph" w:customStyle="1" w:styleId="NormalCenter12a">
    <w:name w:val="NormalCenter12a"/>
    <w:basedOn w:val="Normal"/>
    <w:rsid w:val="00A6555F"/>
    <w:pPr>
      <w:spacing w:after="240"/>
      <w:jc w:val="center"/>
    </w:pPr>
  </w:style>
  <w:style w:type="character" w:customStyle="1" w:styleId="NormalHanging12aChar">
    <w:name w:val="NormalHanging12a Char"/>
    <w:link w:val="NormalHanging12a"/>
    <w:locked/>
    <w:rsid w:val="00A6555F"/>
    <w:rPr>
      <w:sz w:val="24"/>
      <w:lang w:val="sl-SI"/>
    </w:rPr>
  </w:style>
  <w:style w:type="paragraph" w:customStyle="1" w:styleId="Normal12Hanging">
    <w:name w:val="Normal12Hanging"/>
    <w:basedOn w:val="Normal"/>
    <w:rsid w:val="00A6555F"/>
    <w:pPr>
      <w:spacing w:after="240"/>
      <w:ind w:left="567" w:hanging="567"/>
    </w:pPr>
  </w:style>
  <w:style w:type="paragraph" w:styleId="BalloonText">
    <w:name w:val="Balloon Text"/>
    <w:basedOn w:val="Normal"/>
    <w:link w:val="BalloonTextChar"/>
    <w:rsid w:val="000B4572"/>
    <w:rPr>
      <w:rFonts w:ascii="Segoe UI" w:hAnsi="Segoe UI" w:cs="Segoe UI"/>
      <w:sz w:val="18"/>
      <w:szCs w:val="18"/>
    </w:rPr>
  </w:style>
  <w:style w:type="character" w:customStyle="1" w:styleId="BalloonTextChar">
    <w:name w:val="Balloon Text Char"/>
    <w:basedOn w:val="DefaultParagraphFont"/>
    <w:link w:val="BalloonText"/>
    <w:rsid w:val="000B457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7CC51-CD43-4FFA-865F-BFB86A587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2903</Words>
  <Characters>17628</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2024-04-11T13:50:00Z</dcterms:created>
  <dcterms:modified xsi:type="dcterms:W3CDTF">2024-04-11T13:50:00Z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A9-0123/2024</vt:lpwstr>
  </property>
  <property fmtid="{D5CDD505-2E9C-101B-9397-08002B2CF9AE}" pid="4" name="&lt;Type&gt;">
    <vt:lpwstr>RR</vt:lpwstr>
  </property>
</Properties>
</file>