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811B3" w:rsidTr="0010095E">
        <w:trPr>
          <w:trHeight w:hRule="exact" w:val="1418"/>
        </w:trPr>
        <w:tc>
          <w:tcPr>
            <w:tcW w:w="6804" w:type="dxa"/>
            <w:shd w:val="clear" w:color="auto" w:fill="auto"/>
            <w:vAlign w:val="center"/>
          </w:tcPr>
          <w:p w:rsidR="00751A4A" w:rsidRPr="007811B3" w:rsidRDefault="00E908CE" w:rsidP="0010095E">
            <w:pPr>
              <w:pStyle w:val="EPName"/>
            </w:pPr>
            <w:r w:rsidRPr="007811B3">
              <w:t>Europaparlamentet</w:t>
            </w:r>
          </w:p>
          <w:p w:rsidR="00751A4A" w:rsidRPr="007811B3" w:rsidRDefault="00817416" w:rsidP="00756632">
            <w:pPr>
              <w:pStyle w:val="EPTerm"/>
              <w:rPr>
                <w:rStyle w:val="HideTWBExt"/>
                <w:noProof w:val="0"/>
                <w:vanish w:val="0"/>
                <w:color w:val="auto"/>
              </w:rPr>
            </w:pPr>
            <w:r w:rsidRPr="007811B3">
              <w:t>2019-2024</w:t>
            </w:r>
          </w:p>
        </w:tc>
        <w:tc>
          <w:tcPr>
            <w:tcW w:w="2268" w:type="dxa"/>
            <w:shd w:val="clear" w:color="auto" w:fill="auto"/>
          </w:tcPr>
          <w:p w:rsidR="00751A4A" w:rsidRPr="007811B3" w:rsidRDefault="00187494" w:rsidP="0010095E">
            <w:pPr>
              <w:pStyle w:val="EPLogo"/>
            </w:pPr>
            <w:r w:rsidRPr="007811B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811B3" w:rsidRDefault="00D058B8" w:rsidP="004C5D52">
      <w:pPr>
        <w:pStyle w:val="LineTop"/>
      </w:pPr>
    </w:p>
    <w:p w:rsidR="00680577" w:rsidRPr="007811B3" w:rsidRDefault="00E908CE" w:rsidP="00680577">
      <w:pPr>
        <w:pStyle w:val="EPBodyTA1"/>
      </w:pPr>
      <w:r w:rsidRPr="007811B3">
        <w:t>ANTAGNA TEXTER</w:t>
      </w:r>
    </w:p>
    <w:p w:rsidR="00D058B8" w:rsidRPr="007811B3" w:rsidRDefault="00D058B8" w:rsidP="00D058B8">
      <w:pPr>
        <w:pStyle w:val="LineBottom"/>
      </w:pPr>
    </w:p>
    <w:p w:rsidR="00E908CE" w:rsidRPr="007811B3" w:rsidRDefault="00E908CE" w:rsidP="00E908CE">
      <w:pPr>
        <w:pStyle w:val="ATHeading1"/>
      </w:pPr>
      <w:bookmarkStart w:id="0" w:name="TANumber"/>
      <w:r w:rsidRPr="007811B3">
        <w:t>P9_TA(2024)0</w:t>
      </w:r>
      <w:r w:rsidR="00AE085B" w:rsidRPr="007811B3">
        <w:t>266</w:t>
      </w:r>
      <w:bookmarkEnd w:id="0"/>
    </w:p>
    <w:p w:rsidR="00E908CE" w:rsidRPr="007811B3" w:rsidRDefault="00E908CE" w:rsidP="00E908CE">
      <w:pPr>
        <w:pStyle w:val="ATHeading2"/>
      </w:pPr>
      <w:bookmarkStart w:id="1" w:name="title"/>
      <w:r w:rsidRPr="007811B3">
        <w:t xml:space="preserve">Ansvarsfrihet 2022: Byrån för stöd till </w:t>
      </w:r>
      <w:proofErr w:type="spellStart"/>
      <w:r w:rsidRPr="007811B3">
        <w:t>Berec</w:t>
      </w:r>
      <w:proofErr w:type="spellEnd"/>
      <w:r w:rsidRPr="007811B3">
        <w:t xml:space="preserve"> (</w:t>
      </w:r>
      <w:proofErr w:type="spellStart"/>
      <w:r w:rsidRPr="007811B3">
        <w:t>Berecbyrån</w:t>
      </w:r>
      <w:proofErr w:type="spellEnd"/>
      <w:r w:rsidRPr="007811B3">
        <w:t>)</w:t>
      </w:r>
      <w:bookmarkEnd w:id="1"/>
    </w:p>
    <w:p w:rsidR="00E908CE" w:rsidRPr="007811B3" w:rsidRDefault="00E908CE" w:rsidP="00E908CE">
      <w:pPr>
        <w:rPr>
          <w:i/>
          <w:vanish/>
        </w:rPr>
      </w:pPr>
      <w:r w:rsidRPr="007811B3">
        <w:rPr>
          <w:i/>
        </w:rPr>
        <w:fldChar w:fldCharType="begin"/>
      </w:r>
      <w:r w:rsidRPr="007811B3">
        <w:rPr>
          <w:i/>
        </w:rPr>
        <w:instrText xml:space="preserve"> TC"(</w:instrText>
      </w:r>
      <w:bookmarkStart w:id="2" w:name="DocNumber"/>
      <w:r w:rsidRPr="007811B3">
        <w:rPr>
          <w:i/>
        </w:rPr>
        <w:instrText>A9-0123/2024</w:instrText>
      </w:r>
      <w:bookmarkEnd w:id="2"/>
      <w:r w:rsidRPr="007811B3">
        <w:rPr>
          <w:i/>
        </w:rPr>
        <w:instrText xml:space="preserve"> - Föredragande: Petri Sarvamaa)"\l3 \n&gt; \* MERGEFORMAT </w:instrText>
      </w:r>
      <w:r w:rsidRPr="007811B3">
        <w:rPr>
          <w:i/>
        </w:rPr>
        <w:fldChar w:fldCharType="end"/>
      </w:r>
    </w:p>
    <w:p w:rsidR="00E908CE" w:rsidRPr="007811B3" w:rsidRDefault="00E908CE" w:rsidP="00E908CE">
      <w:pPr>
        <w:rPr>
          <w:vanish/>
        </w:rPr>
      </w:pPr>
      <w:bookmarkStart w:id="3" w:name="Commission"/>
      <w:r w:rsidRPr="007811B3">
        <w:rPr>
          <w:vanish/>
        </w:rPr>
        <w:t>Budgetkontrollutskottet</w:t>
      </w:r>
      <w:bookmarkEnd w:id="3"/>
    </w:p>
    <w:p w:rsidR="00E908CE" w:rsidRPr="007811B3" w:rsidRDefault="00E908CE" w:rsidP="00E908CE">
      <w:pPr>
        <w:rPr>
          <w:vanish/>
        </w:rPr>
      </w:pPr>
      <w:bookmarkStart w:id="4" w:name="PE"/>
      <w:r w:rsidRPr="007811B3">
        <w:rPr>
          <w:vanish/>
        </w:rPr>
        <w:t>PE753.507</w:t>
      </w:r>
      <w:bookmarkEnd w:id="4"/>
    </w:p>
    <w:p w:rsidR="00E908CE" w:rsidRPr="007811B3" w:rsidRDefault="007934DC" w:rsidP="00E908CE">
      <w:pPr>
        <w:pStyle w:val="ATHeading3"/>
      </w:pPr>
      <w:bookmarkStart w:id="5" w:name="Sujet"/>
      <w:r w:rsidRPr="007811B3">
        <w:t>1. E</w:t>
      </w:r>
      <w:r w:rsidR="00E908CE" w:rsidRPr="007811B3">
        <w:t>uropa</w:t>
      </w:r>
      <w:r w:rsidRPr="007811B3">
        <w:t>parlamentets beslut av den 11 april</w:t>
      </w:r>
      <w:r w:rsidR="00E908CE" w:rsidRPr="007811B3">
        <w:t xml:space="preserve"> 2024 om ansvarsfrihet för genomförandet av budgeten för Byrån för stöd till </w:t>
      </w:r>
      <w:proofErr w:type="spellStart"/>
      <w:r w:rsidR="00E908CE" w:rsidRPr="007811B3">
        <w:t>Berec</w:t>
      </w:r>
      <w:proofErr w:type="spellEnd"/>
      <w:r w:rsidR="00E908CE" w:rsidRPr="007811B3">
        <w:t> (</w:t>
      </w:r>
      <w:proofErr w:type="spellStart"/>
      <w:r w:rsidR="00E908CE" w:rsidRPr="007811B3">
        <w:t>Berecbyrån</w:t>
      </w:r>
      <w:proofErr w:type="spellEnd"/>
      <w:r w:rsidR="00E908CE" w:rsidRPr="007811B3">
        <w:t>) för budgetåret 2022</w:t>
      </w:r>
      <w:bookmarkEnd w:id="5"/>
      <w:r w:rsidR="00E908CE" w:rsidRPr="007811B3">
        <w:t xml:space="preserve"> </w:t>
      </w:r>
      <w:bookmarkStart w:id="6" w:name="References"/>
      <w:r w:rsidR="00E908CE" w:rsidRPr="007811B3">
        <w:t>(2023/2141(DEC))</w:t>
      </w:r>
      <w:bookmarkEnd w:id="6"/>
    </w:p>
    <w:p w:rsidR="000C5550" w:rsidRPr="007811B3" w:rsidRDefault="000C5550" w:rsidP="000C5550">
      <w:pPr>
        <w:pStyle w:val="EPComma"/>
      </w:pPr>
      <w:bookmarkStart w:id="7" w:name="TextBodyBegin"/>
      <w:bookmarkStart w:id="8" w:name="_Toc26759888"/>
      <w:bookmarkStart w:id="9" w:name="_Toc86200285"/>
      <w:bookmarkEnd w:id="7"/>
      <w:r w:rsidRPr="007811B3">
        <w:rPr>
          <w:i/>
          <w:iCs/>
        </w:rPr>
        <w:t>Europaparlamentet fattar detta beslut</w:t>
      </w:r>
    </w:p>
    <w:p w:rsidR="000C5550" w:rsidRPr="007811B3" w:rsidRDefault="000C5550" w:rsidP="000C5550">
      <w:pPr>
        <w:pStyle w:val="NormalHanging12a"/>
      </w:pPr>
      <w:r w:rsidRPr="007811B3">
        <w:t>–</w:t>
      </w:r>
      <w:r w:rsidRPr="007811B3">
        <w:tab/>
        <w:t xml:space="preserve">med beaktande av den slutliga årsredovisningen för Byrån för stöd till </w:t>
      </w:r>
      <w:proofErr w:type="spellStart"/>
      <w:r w:rsidRPr="007811B3">
        <w:t>Berec</w:t>
      </w:r>
      <w:proofErr w:type="spellEnd"/>
      <w:r w:rsidRPr="007811B3">
        <w:t xml:space="preserve"> (</w:t>
      </w:r>
      <w:proofErr w:type="spellStart"/>
      <w:r w:rsidRPr="007811B3">
        <w:t>Berecbyrån</w:t>
      </w:r>
      <w:proofErr w:type="spellEnd"/>
      <w:r w:rsidRPr="007811B3">
        <w:t>) för budgetåret 2022,</w:t>
      </w:r>
    </w:p>
    <w:p w:rsidR="000C5550" w:rsidRPr="007811B3" w:rsidRDefault="000C5550" w:rsidP="000C5550">
      <w:pPr>
        <w:pStyle w:val="NormalHanging12a"/>
      </w:pPr>
      <w:r w:rsidRPr="007811B3">
        <w:t>–</w:t>
      </w:r>
      <w:r w:rsidRPr="007811B3">
        <w:tab/>
        <w:t>med beaktande av revisionsrättens årsrapport om EU:s byråer för budgetåret 2022, med byråernas svar</w:t>
      </w:r>
      <w:r w:rsidRPr="007811B3">
        <w:rPr>
          <w:rStyle w:val="FootnoteReference"/>
        </w:rPr>
        <w:footnoteReference w:id="1"/>
      </w:r>
      <w:r w:rsidRPr="007811B3">
        <w:t>,</w:t>
      </w:r>
    </w:p>
    <w:p w:rsidR="000C5550" w:rsidRPr="007811B3" w:rsidRDefault="000C5550" w:rsidP="000C5550">
      <w:pPr>
        <w:pStyle w:val="NormalHanging12a"/>
      </w:pPr>
      <w:r w:rsidRPr="007811B3">
        <w:t>–</w:t>
      </w:r>
      <w:r w:rsidRPr="007811B3">
        <w:tab/>
        <w:t>med beaktande av förklaringen om räkenskapernas tillförlitlighet och de underliggande transaktionernas laglighet och korrekthet</w:t>
      </w:r>
      <w:r w:rsidRPr="007811B3">
        <w:rPr>
          <w:rStyle w:val="FootnoteReference"/>
        </w:rPr>
        <w:footnoteReference w:id="2"/>
      </w:r>
      <w:r w:rsidRPr="007811B3">
        <w:t>, som avgetts av revisionsrätten för budgetåret 2022 i enlighet med artikel 287 i fördraget om Europeiska unionens funktionssätt,</w:t>
      </w:r>
    </w:p>
    <w:p w:rsidR="000C5550" w:rsidRPr="007811B3" w:rsidRDefault="000C5550" w:rsidP="000C5550">
      <w:pPr>
        <w:pStyle w:val="NormalHanging12a"/>
      </w:pPr>
      <w:r w:rsidRPr="007811B3">
        <w:t>–</w:t>
      </w:r>
      <w:r w:rsidRPr="007811B3">
        <w:tab/>
        <w:t>med beaktande av rådets rekommendation av den 22 februari 2024 om att bevilja byrån ansvarsfrihet för genomförandet av budgeten för budgetåret 2022 (</w:t>
      </w:r>
      <w:r w:rsidR="006D7905" w:rsidRPr="006D7905">
        <w:t>06180/2024 - C9-0079/2024</w:t>
      </w:r>
      <w:r w:rsidRPr="007811B3">
        <w:t>),</w:t>
      </w:r>
    </w:p>
    <w:p w:rsidR="000C5550" w:rsidRPr="007811B3" w:rsidRDefault="000C5550" w:rsidP="000C5550">
      <w:pPr>
        <w:pStyle w:val="NormalHanging12a"/>
      </w:pPr>
      <w:r w:rsidRPr="007811B3">
        <w:t>–</w:t>
      </w:r>
      <w:r w:rsidRPr="007811B3">
        <w:tab/>
        <w:t>med beaktande av artikel 319 i fördraget om Europeiska unionens funktionssätt,</w:t>
      </w:r>
    </w:p>
    <w:p w:rsidR="000C5550" w:rsidRPr="007811B3" w:rsidRDefault="000C5550" w:rsidP="000C5550">
      <w:pPr>
        <w:pStyle w:val="NormalHanging12a"/>
      </w:pPr>
      <w:r w:rsidRPr="007811B3">
        <w:t>–</w:t>
      </w:r>
      <w:r w:rsidRPr="007811B3">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7811B3">
        <w:rPr>
          <w:rStyle w:val="FootnoteReference"/>
        </w:rPr>
        <w:footnoteReference w:id="3"/>
      </w:r>
      <w:r w:rsidRPr="007811B3">
        <w:t>, särskilt artikel 70,</w:t>
      </w:r>
    </w:p>
    <w:p w:rsidR="000C5550" w:rsidRPr="007811B3" w:rsidRDefault="000C5550" w:rsidP="000C5550">
      <w:pPr>
        <w:pStyle w:val="NormalHanging12a"/>
      </w:pPr>
      <w:r w:rsidRPr="007811B3">
        <w:t>–</w:t>
      </w:r>
      <w:r w:rsidRPr="007811B3">
        <w:tab/>
        <w:t>med beaktande av Europaparlamentets och rådets förordning (EU) 2018/1971 av den 11 december 2018 om inrättande av Organet för europeiska regleringsmyndigheter för elektronisk kommunikation (</w:t>
      </w:r>
      <w:proofErr w:type="spellStart"/>
      <w:r w:rsidRPr="007811B3">
        <w:t>Berec</w:t>
      </w:r>
      <w:proofErr w:type="spellEnd"/>
      <w:r w:rsidRPr="007811B3">
        <w:t xml:space="preserve">) och Byrån för stöd till </w:t>
      </w:r>
      <w:proofErr w:type="spellStart"/>
      <w:r w:rsidRPr="007811B3">
        <w:t>Berec</w:t>
      </w:r>
      <w:proofErr w:type="spellEnd"/>
      <w:r w:rsidRPr="007811B3">
        <w:t xml:space="preserve"> (</w:t>
      </w:r>
      <w:proofErr w:type="spellStart"/>
      <w:r w:rsidRPr="007811B3">
        <w:t>Berecbyrån</w:t>
      </w:r>
      <w:proofErr w:type="spellEnd"/>
      <w:r w:rsidRPr="007811B3">
        <w:t xml:space="preserve">), om ändring av förordning (EU) 2015/2120 och om upphävande av förordning (EG) </w:t>
      </w:r>
      <w:r w:rsidRPr="007811B3">
        <w:lastRenderedPageBreak/>
        <w:t>nr 1211/2009</w:t>
      </w:r>
      <w:r w:rsidRPr="007811B3">
        <w:rPr>
          <w:rStyle w:val="FootnoteReference"/>
        </w:rPr>
        <w:footnoteReference w:id="4"/>
      </w:r>
      <w:r w:rsidRPr="007811B3">
        <w:t>, särskilt artikel 28,</w:t>
      </w:r>
    </w:p>
    <w:p w:rsidR="000C5550" w:rsidRPr="007811B3" w:rsidRDefault="000C5550" w:rsidP="000C5550">
      <w:pPr>
        <w:pStyle w:val="NormalHanging12a"/>
      </w:pPr>
      <w:r w:rsidRPr="007811B3">
        <w:t>–</w:t>
      </w:r>
      <w:r w:rsidRPr="007811B3">
        <w:tab/>
        <w:t>med beaktande av kommissionens delegerade förordning (EU) 2019/715 av den 18 december 2018 med rambudgetförordning för de organ som inrättats enligt EUF</w:t>
      </w:r>
      <w:r w:rsidRPr="007811B3">
        <w:noBreakHyphen/>
        <w:t>fördraget och Euratomfördraget och som avses i artikel 70 i Europaparlamentets och rådets förordning (EU, Euratom) 2018/1046</w:t>
      </w:r>
      <w:r w:rsidRPr="007811B3">
        <w:rPr>
          <w:rStyle w:val="FootnoteReference"/>
        </w:rPr>
        <w:footnoteReference w:id="5"/>
      </w:r>
      <w:r w:rsidRPr="007811B3">
        <w:t>, särskilt artikel 105,</w:t>
      </w:r>
    </w:p>
    <w:p w:rsidR="000C5550" w:rsidRPr="007811B3" w:rsidRDefault="000C5550" w:rsidP="000C5550">
      <w:pPr>
        <w:pStyle w:val="NormalHanging12a"/>
      </w:pPr>
      <w:r w:rsidRPr="007811B3">
        <w:t>–</w:t>
      </w:r>
      <w:r w:rsidRPr="007811B3">
        <w:tab/>
        <w:t>med beaktande av artikel 100 och bilaga V i arbetsordningen,</w:t>
      </w:r>
    </w:p>
    <w:p w:rsidR="000C5550" w:rsidRPr="007811B3" w:rsidRDefault="000C5550" w:rsidP="000C5550">
      <w:pPr>
        <w:pStyle w:val="NormalHanging12a"/>
      </w:pPr>
      <w:r w:rsidRPr="007811B3">
        <w:t>–</w:t>
      </w:r>
      <w:r w:rsidRPr="007811B3">
        <w:tab/>
        <w:t>med beaktande av betänkandet från budgetkontrollutskottet (A9-0123/2024).</w:t>
      </w:r>
    </w:p>
    <w:p w:rsidR="000C5550" w:rsidRPr="007811B3" w:rsidRDefault="000C5550" w:rsidP="000C5550">
      <w:pPr>
        <w:pStyle w:val="NormalHanging12a"/>
      </w:pPr>
      <w:r w:rsidRPr="007811B3">
        <w:t>1.</w:t>
      </w:r>
      <w:r w:rsidRPr="007811B3">
        <w:tab/>
        <w:t xml:space="preserve">Europaparlamentet beviljar direktören för Byrån för stöd till </w:t>
      </w:r>
      <w:proofErr w:type="spellStart"/>
      <w:r w:rsidRPr="007811B3">
        <w:t>Berec</w:t>
      </w:r>
      <w:proofErr w:type="spellEnd"/>
      <w:r w:rsidRPr="007811B3">
        <w:t xml:space="preserve"> (</w:t>
      </w:r>
      <w:proofErr w:type="spellStart"/>
      <w:r w:rsidRPr="007811B3">
        <w:t>Berecbyrån</w:t>
      </w:r>
      <w:proofErr w:type="spellEnd"/>
      <w:r w:rsidRPr="007811B3">
        <w:t>) ansvarsfrihet för genomförandet av byråns budget för budgetåret 2022.</w:t>
      </w:r>
    </w:p>
    <w:p w:rsidR="000C5550" w:rsidRPr="007811B3" w:rsidRDefault="000C5550" w:rsidP="000C5550">
      <w:pPr>
        <w:pStyle w:val="NormalHanging12a"/>
      </w:pPr>
      <w:r w:rsidRPr="007811B3">
        <w:t>2.</w:t>
      </w:r>
      <w:r w:rsidRPr="007811B3">
        <w:tab/>
        <w:t>Europaparlamentet redovisar sina iakttagelser i resolutionen nedan.</w:t>
      </w:r>
    </w:p>
    <w:p w:rsidR="000C5550" w:rsidRPr="007811B3" w:rsidRDefault="000C5550" w:rsidP="000C5550">
      <w:pPr>
        <w:pStyle w:val="NormalHanging12a"/>
      </w:pPr>
      <w:r w:rsidRPr="007811B3">
        <w:t>3.</w:t>
      </w:r>
      <w:r w:rsidRPr="007811B3">
        <w:tab/>
        <w:t xml:space="preserve">Europaparlamentet uppdrar åt talmannen att översända detta beslut och den resolution som utgör en del av beslutet till direktören för Byrån för stöd till </w:t>
      </w:r>
      <w:proofErr w:type="spellStart"/>
      <w:r w:rsidRPr="007811B3">
        <w:t>Berec</w:t>
      </w:r>
      <w:proofErr w:type="spellEnd"/>
      <w:r w:rsidRPr="007811B3">
        <w:t xml:space="preserve"> (</w:t>
      </w:r>
      <w:proofErr w:type="spellStart"/>
      <w:r w:rsidRPr="007811B3">
        <w:t>Berecbyrån</w:t>
      </w:r>
      <w:proofErr w:type="spellEnd"/>
      <w:r w:rsidRPr="007811B3">
        <w:t>), rådet, kommissionen och revisionsrätten samt att se till att de offentliggörs i </w:t>
      </w:r>
      <w:r w:rsidRPr="007811B3">
        <w:rPr>
          <w:i/>
          <w:iCs/>
        </w:rPr>
        <w:t>Europeiska unionens officiella tidning</w:t>
      </w:r>
      <w:r w:rsidRPr="007811B3">
        <w:t xml:space="preserve"> (L-serien).</w:t>
      </w:r>
    </w:p>
    <w:p w:rsidR="000C5550" w:rsidRPr="007811B3" w:rsidRDefault="000C5550" w:rsidP="000C5550"/>
    <w:p w:rsidR="000C5550" w:rsidRPr="007811B3" w:rsidRDefault="000C5550" w:rsidP="000C5550">
      <w:pPr>
        <w:pStyle w:val="PageHeading"/>
        <w:sectPr w:rsidR="000C5550" w:rsidRPr="007811B3" w:rsidSect="00C319D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0C5550" w:rsidRPr="007811B3" w:rsidRDefault="007934DC" w:rsidP="007934DC">
      <w:pPr>
        <w:pStyle w:val="ATHeading3"/>
      </w:pPr>
      <w:r w:rsidRPr="007811B3">
        <w:lastRenderedPageBreak/>
        <w:t xml:space="preserve">2. Europaparlamentets beslut av den 11 april 2024 </w:t>
      </w:r>
      <w:r w:rsidR="000C5550" w:rsidRPr="007811B3">
        <w:t xml:space="preserve">om avslutande av räkenskaperna för Byrån för stöd till </w:t>
      </w:r>
      <w:proofErr w:type="spellStart"/>
      <w:r w:rsidR="000C5550" w:rsidRPr="007811B3">
        <w:t>Berec</w:t>
      </w:r>
      <w:proofErr w:type="spellEnd"/>
      <w:r w:rsidR="000C5550" w:rsidRPr="007811B3">
        <w:t xml:space="preserve"> (</w:t>
      </w:r>
      <w:proofErr w:type="spellStart"/>
      <w:r w:rsidR="000C5550" w:rsidRPr="007811B3">
        <w:t>Berecbyrån</w:t>
      </w:r>
      <w:proofErr w:type="spellEnd"/>
      <w:r w:rsidR="000C5550" w:rsidRPr="007811B3">
        <w:t>) för budgetåret 2022</w:t>
      </w:r>
      <w:r w:rsidRPr="007811B3">
        <w:t xml:space="preserve"> </w:t>
      </w:r>
      <w:r w:rsidR="000C5550" w:rsidRPr="007811B3">
        <w:t>(2023/2141(DEC))</w:t>
      </w:r>
    </w:p>
    <w:p w:rsidR="000C5550" w:rsidRPr="007811B3" w:rsidRDefault="000C5550" w:rsidP="000C5550">
      <w:pPr>
        <w:pStyle w:val="EPComma"/>
      </w:pPr>
      <w:r w:rsidRPr="007811B3">
        <w:rPr>
          <w:i/>
          <w:iCs/>
        </w:rPr>
        <w:t>Europaparlamentet fattar detta beslut</w:t>
      </w:r>
    </w:p>
    <w:p w:rsidR="000C5550" w:rsidRPr="007811B3" w:rsidRDefault="000C5550" w:rsidP="000C5550">
      <w:pPr>
        <w:pStyle w:val="NormalHanging12a"/>
      </w:pPr>
      <w:r w:rsidRPr="007811B3">
        <w:t>–</w:t>
      </w:r>
      <w:r w:rsidRPr="007811B3">
        <w:tab/>
        <w:t xml:space="preserve">med beaktande av den slutliga årsredovisningen för Byrån för stöd till </w:t>
      </w:r>
      <w:proofErr w:type="spellStart"/>
      <w:r w:rsidRPr="007811B3">
        <w:t>Berec</w:t>
      </w:r>
      <w:proofErr w:type="spellEnd"/>
      <w:r w:rsidRPr="007811B3">
        <w:t xml:space="preserve"> (</w:t>
      </w:r>
      <w:proofErr w:type="spellStart"/>
      <w:r w:rsidRPr="007811B3">
        <w:t>Berecbyrån</w:t>
      </w:r>
      <w:proofErr w:type="spellEnd"/>
      <w:r w:rsidRPr="007811B3">
        <w:t>) för budgetåret 2022,</w:t>
      </w:r>
    </w:p>
    <w:p w:rsidR="000C5550" w:rsidRPr="007811B3" w:rsidRDefault="000C5550" w:rsidP="000C5550">
      <w:pPr>
        <w:pStyle w:val="NormalHanging12a"/>
      </w:pPr>
      <w:r w:rsidRPr="007811B3">
        <w:t>–</w:t>
      </w:r>
      <w:r w:rsidRPr="007811B3">
        <w:tab/>
        <w:t>med beaktande av revisionsrättens årsrapport om EU:s byråer för budgetåret 2022, med byråernas svar</w:t>
      </w:r>
      <w:r w:rsidRPr="007811B3">
        <w:rPr>
          <w:rStyle w:val="FootnoteReference"/>
        </w:rPr>
        <w:footnoteReference w:id="6"/>
      </w:r>
      <w:r w:rsidRPr="007811B3">
        <w:t>,</w:t>
      </w:r>
    </w:p>
    <w:p w:rsidR="000C5550" w:rsidRPr="007811B3" w:rsidRDefault="000C5550" w:rsidP="000C5550">
      <w:pPr>
        <w:pStyle w:val="NormalHanging12a"/>
      </w:pPr>
      <w:r w:rsidRPr="007811B3">
        <w:t>–</w:t>
      </w:r>
      <w:r w:rsidRPr="007811B3">
        <w:tab/>
        <w:t>med beaktande av förklaringen om räkenskapernas tillförlitlighet och de underliggande transaktionernas laglighet och korrekthet</w:t>
      </w:r>
      <w:r w:rsidRPr="007811B3">
        <w:rPr>
          <w:rStyle w:val="FootnoteReference"/>
        </w:rPr>
        <w:footnoteReference w:id="7"/>
      </w:r>
      <w:r w:rsidRPr="007811B3">
        <w:t>, som avgetts av revisionsrätten för budgetåret 2022 i enlighet med artikel 287 i fördraget om Europeiska unionens funktionssätt,</w:t>
      </w:r>
    </w:p>
    <w:p w:rsidR="000C5550" w:rsidRPr="007811B3" w:rsidRDefault="000C5550" w:rsidP="000C5550">
      <w:pPr>
        <w:pStyle w:val="NormalHanging12a"/>
      </w:pPr>
      <w:r w:rsidRPr="007811B3">
        <w:t>–</w:t>
      </w:r>
      <w:r w:rsidRPr="007811B3">
        <w:tab/>
        <w:t>med beaktande av rådets rekommendation av den 22 februari 2024 om att bevilja byrån ansvarsfrihet för genomförandet av budgeten för budgetåret 2022 (</w:t>
      </w:r>
      <w:r w:rsidR="006D7905" w:rsidRPr="006D7905">
        <w:t>06180/2024 - C9-0079/2024</w:t>
      </w:r>
      <w:bookmarkStart w:id="10" w:name="_GoBack"/>
      <w:bookmarkEnd w:id="10"/>
      <w:r w:rsidRPr="007811B3">
        <w:t>),</w:t>
      </w:r>
    </w:p>
    <w:p w:rsidR="000C5550" w:rsidRPr="007811B3" w:rsidRDefault="000C5550" w:rsidP="000C5550">
      <w:pPr>
        <w:pStyle w:val="NormalHanging12a"/>
      </w:pPr>
      <w:r w:rsidRPr="007811B3">
        <w:t>–</w:t>
      </w:r>
      <w:r w:rsidRPr="007811B3">
        <w:tab/>
        <w:t>med beaktande av artikel 319 i fördraget om Europeiska unionens funktionssätt,</w:t>
      </w:r>
    </w:p>
    <w:p w:rsidR="000C5550" w:rsidRPr="007811B3" w:rsidRDefault="000C5550" w:rsidP="000C5550">
      <w:pPr>
        <w:pStyle w:val="NormalHanging12a"/>
      </w:pPr>
      <w:r w:rsidRPr="007811B3">
        <w:t>–</w:t>
      </w:r>
      <w:r w:rsidRPr="007811B3">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7811B3">
        <w:rPr>
          <w:rStyle w:val="FootnoteReference"/>
        </w:rPr>
        <w:footnoteReference w:id="8"/>
      </w:r>
      <w:r w:rsidRPr="007811B3">
        <w:t>, särskilt artikel 70,</w:t>
      </w:r>
    </w:p>
    <w:p w:rsidR="000C5550" w:rsidRPr="007811B3" w:rsidRDefault="000C5550" w:rsidP="000C5550">
      <w:pPr>
        <w:pStyle w:val="NormalHanging12a"/>
      </w:pPr>
      <w:r w:rsidRPr="007811B3">
        <w:t>–</w:t>
      </w:r>
      <w:r w:rsidRPr="007811B3">
        <w:tab/>
        <w:t>med beaktande av Europaparlamentets och rådets förordning (EU) 2018/1971 av den 11 december 2018 om inrättande av Organet för europeiska regleringsmyndigheter för elektronisk kommunikation (</w:t>
      </w:r>
      <w:proofErr w:type="spellStart"/>
      <w:r w:rsidRPr="007811B3">
        <w:t>Berec</w:t>
      </w:r>
      <w:proofErr w:type="spellEnd"/>
      <w:r w:rsidRPr="007811B3">
        <w:t xml:space="preserve">) och Byrån för stöd till </w:t>
      </w:r>
      <w:proofErr w:type="spellStart"/>
      <w:r w:rsidRPr="007811B3">
        <w:t>Berec</w:t>
      </w:r>
      <w:proofErr w:type="spellEnd"/>
      <w:r w:rsidRPr="007811B3">
        <w:t xml:space="preserve"> (</w:t>
      </w:r>
      <w:proofErr w:type="spellStart"/>
      <w:r w:rsidRPr="007811B3">
        <w:t>Berecbyrån</w:t>
      </w:r>
      <w:proofErr w:type="spellEnd"/>
      <w:r w:rsidRPr="007811B3">
        <w:t>), om ändring av förordning (EU) 2015/2120 och om upphävande av förordning (EG) nr 1211/2009</w:t>
      </w:r>
      <w:r w:rsidRPr="007811B3">
        <w:rPr>
          <w:rStyle w:val="FootnoteReference"/>
        </w:rPr>
        <w:footnoteReference w:id="9"/>
      </w:r>
      <w:r w:rsidRPr="007811B3">
        <w:t>, särskilt artikel 28,</w:t>
      </w:r>
    </w:p>
    <w:p w:rsidR="000C5550" w:rsidRPr="007811B3" w:rsidRDefault="000C5550" w:rsidP="000C5550">
      <w:pPr>
        <w:pStyle w:val="NormalHanging12a"/>
      </w:pPr>
      <w:r w:rsidRPr="007811B3">
        <w:t>–</w:t>
      </w:r>
      <w:r w:rsidRPr="007811B3">
        <w:tab/>
        <w:t>med beaktande av kommissionens delegerade förordning (EU) 2019/715 av den 18 december 2018 med rambudgetförordning för de organ som inrättats enligt EUF</w:t>
      </w:r>
      <w:r w:rsidRPr="007811B3">
        <w:noBreakHyphen/>
        <w:t>fördraget och Euratomfördraget och som avses i artikel 70 i Europaparlamentets och rådets förordning (EU, Euratom) 2018/1046</w:t>
      </w:r>
      <w:r w:rsidRPr="007811B3">
        <w:rPr>
          <w:rStyle w:val="FootnoteReference"/>
        </w:rPr>
        <w:footnoteReference w:id="10"/>
      </w:r>
      <w:r w:rsidRPr="007811B3">
        <w:t>, särskilt artikel 105,</w:t>
      </w:r>
    </w:p>
    <w:p w:rsidR="000C5550" w:rsidRPr="007811B3" w:rsidRDefault="000C5550" w:rsidP="000C5550">
      <w:pPr>
        <w:pStyle w:val="NormalHanging12a"/>
      </w:pPr>
      <w:r w:rsidRPr="007811B3">
        <w:t>–</w:t>
      </w:r>
      <w:r w:rsidRPr="007811B3">
        <w:tab/>
        <w:t>med beaktande av artikel 100 och bilaga V i arbetsordningen,</w:t>
      </w:r>
    </w:p>
    <w:p w:rsidR="000C5550" w:rsidRPr="007811B3" w:rsidRDefault="000C5550" w:rsidP="000C5550">
      <w:pPr>
        <w:pStyle w:val="NormalHanging12a"/>
      </w:pPr>
      <w:r w:rsidRPr="007811B3">
        <w:t>–</w:t>
      </w:r>
      <w:r w:rsidRPr="007811B3">
        <w:tab/>
        <w:t>med beaktande av betänkandet från budgetkontrollutskottet (A9-0123/2024).</w:t>
      </w:r>
    </w:p>
    <w:p w:rsidR="000C5550" w:rsidRPr="007811B3" w:rsidRDefault="000C5550" w:rsidP="000C5550">
      <w:pPr>
        <w:pStyle w:val="NormalHanging12a"/>
      </w:pPr>
      <w:r w:rsidRPr="007811B3">
        <w:t>1.</w:t>
      </w:r>
      <w:r w:rsidRPr="007811B3">
        <w:tab/>
        <w:t xml:space="preserve">Europaparlamentet godkänner avslutandet av räkenskaperna för Byrån för stöd till </w:t>
      </w:r>
      <w:proofErr w:type="spellStart"/>
      <w:r w:rsidRPr="007811B3">
        <w:lastRenderedPageBreak/>
        <w:t>Berec</w:t>
      </w:r>
      <w:proofErr w:type="spellEnd"/>
      <w:r w:rsidRPr="007811B3">
        <w:t xml:space="preserve"> (</w:t>
      </w:r>
      <w:proofErr w:type="spellStart"/>
      <w:r w:rsidRPr="007811B3">
        <w:t>Berecbyrån</w:t>
      </w:r>
      <w:proofErr w:type="spellEnd"/>
      <w:r w:rsidRPr="007811B3">
        <w:t>) för budgetåret 2022.</w:t>
      </w:r>
    </w:p>
    <w:p w:rsidR="000C5550" w:rsidRPr="007811B3" w:rsidRDefault="000C5550" w:rsidP="000C5550">
      <w:pPr>
        <w:pStyle w:val="NormalHanging12a"/>
      </w:pPr>
      <w:r w:rsidRPr="007811B3">
        <w:t>2.</w:t>
      </w:r>
      <w:r w:rsidRPr="007811B3">
        <w:tab/>
        <w:t xml:space="preserve">Europaparlamentet uppdrar åt talmannen att översända detta beslut till direktören för Byrån för stöd till </w:t>
      </w:r>
      <w:proofErr w:type="spellStart"/>
      <w:r w:rsidRPr="007811B3">
        <w:t>Berec</w:t>
      </w:r>
      <w:proofErr w:type="spellEnd"/>
      <w:r w:rsidRPr="007811B3">
        <w:t xml:space="preserve"> (</w:t>
      </w:r>
      <w:proofErr w:type="spellStart"/>
      <w:r w:rsidRPr="007811B3">
        <w:t>Berecbyrån</w:t>
      </w:r>
      <w:proofErr w:type="spellEnd"/>
      <w:r w:rsidRPr="007811B3">
        <w:t xml:space="preserve">), rådet, kommissionen och revisionsrätten samt att se till att det offentliggörs i </w:t>
      </w:r>
      <w:r w:rsidRPr="007811B3">
        <w:rPr>
          <w:i/>
          <w:iCs/>
        </w:rPr>
        <w:t>Europeiska unionens officiella tidning</w:t>
      </w:r>
      <w:r w:rsidRPr="007811B3">
        <w:t xml:space="preserve"> (L-serien).</w:t>
      </w:r>
    </w:p>
    <w:p w:rsidR="000C5550" w:rsidRPr="007811B3" w:rsidRDefault="000C5550" w:rsidP="000C5550"/>
    <w:p w:rsidR="000C5550" w:rsidRPr="007811B3" w:rsidRDefault="000C5550" w:rsidP="000C5550">
      <w:pPr>
        <w:pStyle w:val="PageHeading"/>
        <w:sectPr w:rsidR="000C5550" w:rsidRPr="007811B3" w:rsidSect="00C319D4">
          <w:footnotePr>
            <w:numRestart w:val="eachPage"/>
          </w:footnotePr>
          <w:endnotePr>
            <w:numFmt w:val="decimal"/>
          </w:endnotePr>
          <w:pgSz w:w="11906" w:h="16838" w:code="9"/>
          <w:pgMar w:top="1134" w:right="1418" w:bottom="1418" w:left="1418" w:header="567" w:footer="567" w:gutter="0"/>
          <w:cols w:space="720"/>
          <w:noEndnote/>
          <w:docGrid w:linePitch="326"/>
        </w:sectPr>
      </w:pPr>
    </w:p>
    <w:bookmarkEnd w:id="8"/>
    <w:bookmarkEnd w:id="9"/>
    <w:p w:rsidR="000C5550" w:rsidRPr="007811B3" w:rsidRDefault="007934DC" w:rsidP="007934DC">
      <w:pPr>
        <w:pStyle w:val="ATHeading3"/>
      </w:pPr>
      <w:r w:rsidRPr="007811B3">
        <w:lastRenderedPageBreak/>
        <w:t xml:space="preserve">3. Europaparlamentets </w:t>
      </w:r>
      <w:r w:rsidR="008664F8" w:rsidRPr="007811B3">
        <w:t>resolution</w:t>
      </w:r>
      <w:r w:rsidRPr="007811B3">
        <w:t xml:space="preserve"> av den 11 april 2024 </w:t>
      </w:r>
      <w:r w:rsidR="000C5550" w:rsidRPr="007811B3">
        <w:t xml:space="preserve">med de iakttagelser som utgör en del av beslutet om ansvarsfrihet för genomförandet av budgeten för Byrån för stöd till </w:t>
      </w:r>
      <w:proofErr w:type="spellStart"/>
      <w:r w:rsidR="000C5550" w:rsidRPr="007811B3">
        <w:t>Berec</w:t>
      </w:r>
      <w:proofErr w:type="spellEnd"/>
      <w:r w:rsidR="000C5550" w:rsidRPr="007811B3">
        <w:t xml:space="preserve"> (</w:t>
      </w:r>
      <w:proofErr w:type="spellStart"/>
      <w:r w:rsidR="000C5550" w:rsidRPr="007811B3">
        <w:t>Berecbyrån</w:t>
      </w:r>
      <w:proofErr w:type="spellEnd"/>
      <w:r w:rsidR="000C5550" w:rsidRPr="007811B3">
        <w:t>) för budgetåret 2022</w:t>
      </w:r>
      <w:r w:rsidRPr="007811B3">
        <w:t xml:space="preserve"> </w:t>
      </w:r>
      <w:r w:rsidR="000C5550" w:rsidRPr="007811B3">
        <w:t>(2023/2141(DEC))</w:t>
      </w:r>
    </w:p>
    <w:p w:rsidR="000C5550" w:rsidRPr="007811B3" w:rsidRDefault="000C5550" w:rsidP="000C5550">
      <w:pPr>
        <w:pStyle w:val="EPComma"/>
      </w:pPr>
      <w:r w:rsidRPr="007811B3">
        <w:rPr>
          <w:i/>
          <w:iCs/>
        </w:rPr>
        <w:t>Europaparlamentet utfärdar denna resolution</w:t>
      </w:r>
    </w:p>
    <w:p w:rsidR="000C5550" w:rsidRPr="007811B3" w:rsidRDefault="000C5550" w:rsidP="000C5550">
      <w:pPr>
        <w:pStyle w:val="NormalHanging12a"/>
      </w:pPr>
      <w:r w:rsidRPr="007811B3">
        <w:t>–</w:t>
      </w:r>
      <w:r w:rsidRPr="007811B3">
        <w:tab/>
        <w:t xml:space="preserve">med beaktande av sitt beslut om ansvarsfrihet för genomförandet av budgeten för Byrån för stöd till </w:t>
      </w:r>
      <w:proofErr w:type="spellStart"/>
      <w:r w:rsidRPr="007811B3">
        <w:t>Berec</w:t>
      </w:r>
      <w:proofErr w:type="spellEnd"/>
      <w:r w:rsidRPr="007811B3">
        <w:t xml:space="preserve"> (</w:t>
      </w:r>
      <w:proofErr w:type="spellStart"/>
      <w:r w:rsidRPr="007811B3">
        <w:t>Berecbyrån</w:t>
      </w:r>
      <w:proofErr w:type="spellEnd"/>
      <w:r w:rsidRPr="007811B3">
        <w:t>) för budgetåret 2022,</w:t>
      </w:r>
    </w:p>
    <w:p w:rsidR="000C5550" w:rsidRPr="007811B3" w:rsidRDefault="000C5550" w:rsidP="000C5550">
      <w:pPr>
        <w:pStyle w:val="NormalHanging12a"/>
      </w:pPr>
      <w:r w:rsidRPr="007811B3">
        <w:t>–</w:t>
      </w:r>
      <w:r w:rsidRPr="007811B3">
        <w:tab/>
        <w:t>med beaktande av artikel 100 och bilaga V i arbetsordningen,</w:t>
      </w:r>
    </w:p>
    <w:p w:rsidR="000C5550" w:rsidRPr="007811B3" w:rsidRDefault="000C5550" w:rsidP="000C5550">
      <w:pPr>
        <w:pStyle w:val="NormalHanging12a"/>
      </w:pPr>
      <w:r w:rsidRPr="007811B3">
        <w:t>–</w:t>
      </w:r>
      <w:r w:rsidRPr="007811B3">
        <w:tab/>
        <w:t>med beaktande av betänkandet från budgetkontrollutskottet (A9-0123/2024), och av följande skäl:</w:t>
      </w:r>
    </w:p>
    <w:p w:rsidR="000C5550" w:rsidRPr="007811B3" w:rsidRDefault="000C5550" w:rsidP="000C5550">
      <w:pPr>
        <w:pStyle w:val="NormalHanging12a"/>
        <w:rPr>
          <w:szCs w:val="24"/>
        </w:rPr>
      </w:pPr>
      <w:r w:rsidRPr="007811B3">
        <w:t>A.</w:t>
      </w:r>
      <w:r w:rsidRPr="007811B3">
        <w:tab/>
        <w:t>Enligt sammanställningen över inkomster och utgifter</w:t>
      </w:r>
      <w:r w:rsidRPr="007811B3">
        <w:rPr>
          <w:rFonts w:eastAsiaTheme="minorHAnsi"/>
          <w:szCs w:val="24"/>
          <w:vertAlign w:val="superscript"/>
          <w:lang w:eastAsia="en-US"/>
        </w:rPr>
        <w:footnoteReference w:id="11"/>
      </w:r>
      <w:r w:rsidRPr="007811B3">
        <w:t xml:space="preserve"> för byrån uppgick den slutliga antagna budgeten för budgetåret 2022 till 7 428 456 EUR, vilket innebär en ökning med 1,19 % jämfört med 2021. Byråns budget kommer huvudsakligen från unionens budget.</w:t>
      </w:r>
    </w:p>
    <w:p w:rsidR="000C5550" w:rsidRPr="007811B3" w:rsidRDefault="000C5550" w:rsidP="000C5550">
      <w:pPr>
        <w:pStyle w:val="NormalHanging12a"/>
        <w:rPr>
          <w:szCs w:val="24"/>
        </w:rPr>
      </w:pPr>
      <w:r w:rsidRPr="007811B3">
        <w:t>B.</w:t>
      </w:r>
      <w:r w:rsidRPr="007811B3">
        <w:tab/>
        <w:t>Revisionsrätten förklarar i sin rapport om byråns årsredovisning för budgetåret 2022 att man har uppnått rimlig säkerhet om att byråns räkenskaper är tillförlitliga och att de underliggande transaktionerna är lagliga och korrekta.</w:t>
      </w:r>
    </w:p>
    <w:p w:rsidR="000C5550" w:rsidRPr="007811B3" w:rsidRDefault="000C5550" w:rsidP="000C5550">
      <w:pPr>
        <w:pStyle w:val="NormalHanging12a"/>
        <w:rPr>
          <w:szCs w:val="24"/>
        </w:rPr>
      </w:pPr>
      <w:r w:rsidRPr="007811B3">
        <w:t>C.</w:t>
      </w:r>
      <w:r w:rsidRPr="007811B3">
        <w:tab/>
        <w:t>När det gäller byråns upphandlingssektor rapporterades inga problem som krävde korrigerande åtgärder för 2022, och det finns inte heller några pågående eller ej genomförda korrigerande åtgärder från tidigare års revisioner och bedömningar.</w:t>
      </w:r>
    </w:p>
    <w:p w:rsidR="000C5550" w:rsidRPr="007811B3" w:rsidRDefault="000C5550" w:rsidP="000C5550">
      <w:pPr>
        <w:pStyle w:val="NormalHanging12a"/>
        <w:rPr>
          <w:szCs w:val="24"/>
        </w:rPr>
      </w:pPr>
      <w:r w:rsidRPr="007811B3">
        <w:t>D.</w:t>
      </w:r>
      <w:r w:rsidRPr="007811B3">
        <w:tab/>
        <w:t>När det gäller byråns interna kontrollsystem rapporterades inga problem som krävde korrigerande åtgärder för 2022, och det finns inte heller några pågående eller ej genomförda korrigerande åtgärder från tidigare års revisioner och bedömningar.</w:t>
      </w:r>
    </w:p>
    <w:p w:rsidR="000C5550" w:rsidRPr="007811B3" w:rsidRDefault="000C5550" w:rsidP="000C5550">
      <w:pPr>
        <w:pStyle w:val="NormalHanging12a"/>
        <w:tabs>
          <w:tab w:val="left" w:pos="1718"/>
        </w:tabs>
        <w:rPr>
          <w:b/>
          <w:i/>
          <w:szCs w:val="24"/>
        </w:rPr>
      </w:pPr>
      <w:r w:rsidRPr="007811B3">
        <w:rPr>
          <w:b/>
          <w:i/>
        </w:rPr>
        <w:t>Budgetförvaltning och ekonomisk förvaltning</w:t>
      </w:r>
    </w:p>
    <w:p w:rsidR="000C5550" w:rsidRPr="007811B3" w:rsidRDefault="000C5550" w:rsidP="000C5550">
      <w:pPr>
        <w:spacing w:after="240"/>
        <w:ind w:left="567" w:hanging="567"/>
        <w:rPr>
          <w:sz w:val="22"/>
          <w:szCs w:val="22"/>
        </w:rPr>
      </w:pPr>
      <w:r w:rsidRPr="007811B3">
        <w:t>1.</w:t>
      </w:r>
      <w:r w:rsidRPr="007811B3">
        <w:tab/>
        <w:t>Europaparlamentet noterar med tillfredsställelse att insatserna för budgetövervakning under budgetåret 2022 resulterade i en budgetgenomförandegrad på 99,99 % för åtagandebemyndigandena i den slutligt antagna budgeten för året, vilket innebär en ökning med 0,02 % jämfört med 2021. Parlamentet välkomnar att budgetgenomförandegraden ligger inom det tröskelvärde på över 95 % som fastställts av styrelsen.</w:t>
      </w:r>
      <w:r w:rsidRPr="007811B3">
        <w:rPr>
          <w:sz w:val="22"/>
        </w:rPr>
        <w:t xml:space="preserve"> </w:t>
      </w:r>
      <w:r w:rsidRPr="007811B3">
        <w:t>Parlamentet noterar att genomförandegraden för betalningsbemyndigandena under innevarande år var 82,78 %, vilket är en ökning med 13,44 % jämfört med 2021.</w:t>
      </w:r>
    </w:p>
    <w:p w:rsidR="000C5550" w:rsidRPr="007811B3" w:rsidRDefault="000C5550" w:rsidP="000C5550">
      <w:pPr>
        <w:pStyle w:val="Normal12Hanging"/>
        <w:keepNext/>
        <w:keepLines/>
        <w:widowControl/>
        <w:rPr>
          <w:b/>
          <w:i/>
          <w:szCs w:val="24"/>
        </w:rPr>
      </w:pPr>
      <w:r w:rsidRPr="007811B3">
        <w:rPr>
          <w:b/>
          <w:i/>
        </w:rPr>
        <w:lastRenderedPageBreak/>
        <w:t>Verksamhetsresultat</w:t>
      </w:r>
    </w:p>
    <w:p w:rsidR="000C5550" w:rsidRPr="007811B3" w:rsidRDefault="000C5550" w:rsidP="000C5550">
      <w:pPr>
        <w:pStyle w:val="NormalHanging12a"/>
        <w:keepNext/>
        <w:keepLines/>
        <w:widowControl/>
      </w:pPr>
      <w:r w:rsidRPr="007811B3">
        <w:t>2.</w:t>
      </w:r>
      <w:r w:rsidRPr="007811B3">
        <w:tab/>
        <w:t>Europaparlamentet noterar att byrån använder centrala resultatindikatorer för att bedöma uppnåendet av sina mål, bland annat när det gäller stöd till arbetsgrupper, kommunikationsverksamhet, centraliserad finansiering och upphandling samt personalförvaltning. Parlamentet noterar att de flesta mål har uppnåtts, men rekommenderar att åtgärder vidtas med avseende på de centrala resultatindikatorer som fortfarande inte har uppfyllts eller som uppvisar långsammare framsteg än väntat (t.ex. förbättring av ersättningsprocessen genom mötesverktyget AGM (</w:t>
      </w:r>
      <w:proofErr w:type="spellStart"/>
      <w:r w:rsidRPr="007811B3">
        <w:rPr>
          <w:i/>
          <w:iCs/>
        </w:rPr>
        <w:t>Advanced</w:t>
      </w:r>
      <w:proofErr w:type="spellEnd"/>
      <w:r w:rsidRPr="007811B3">
        <w:rPr>
          <w:i/>
          <w:iCs/>
        </w:rPr>
        <w:t xml:space="preserve"> </w:t>
      </w:r>
      <w:proofErr w:type="spellStart"/>
      <w:r w:rsidRPr="007811B3">
        <w:rPr>
          <w:i/>
          <w:iCs/>
        </w:rPr>
        <w:t>Gateway</w:t>
      </w:r>
      <w:proofErr w:type="spellEnd"/>
      <w:r w:rsidRPr="007811B3">
        <w:rPr>
          <w:i/>
          <w:iCs/>
        </w:rPr>
        <w:t xml:space="preserve"> for Meetings</w:t>
      </w:r>
      <w:r w:rsidRPr="007811B3">
        <w:t xml:space="preserve">), undertecknande av avtal till stöd för utvecklingen av </w:t>
      </w:r>
      <w:proofErr w:type="spellStart"/>
      <w:r w:rsidRPr="007811B3">
        <w:t>Berecs</w:t>
      </w:r>
      <w:proofErr w:type="spellEnd"/>
      <w:r w:rsidRPr="007811B3">
        <w:t xml:space="preserve"> IKT-strategi 2022–2025). Parlamentet rekommenderar att byrån regelbundet finjusterar centrala resultatindikatorer för att optimera sina resultat.</w:t>
      </w:r>
    </w:p>
    <w:p w:rsidR="000C5550" w:rsidRPr="007811B3" w:rsidRDefault="000C5550" w:rsidP="000C5550">
      <w:pPr>
        <w:pStyle w:val="Normal12Hanging"/>
      </w:pPr>
      <w:r w:rsidRPr="007811B3">
        <w:t>3.</w:t>
      </w:r>
      <w:r w:rsidRPr="007811B3">
        <w:tab/>
        <w:t xml:space="preserve">Europaparlamentet välkomnar att byrån fortsatte att tillhandahålla administrativt och sakkunnigt stöd av hög kvalitet till </w:t>
      </w:r>
      <w:proofErr w:type="spellStart"/>
      <w:r w:rsidRPr="007811B3">
        <w:t>Berecs</w:t>
      </w:r>
      <w:proofErr w:type="spellEnd"/>
      <w:r w:rsidRPr="007811B3">
        <w:t xml:space="preserve"> nämnd för regleringsmyndigheterna, </w:t>
      </w:r>
      <w:proofErr w:type="spellStart"/>
      <w:r w:rsidRPr="007811B3">
        <w:t>Berecs</w:t>
      </w:r>
      <w:proofErr w:type="spellEnd"/>
      <w:r w:rsidRPr="007811B3">
        <w:t xml:space="preserve"> kontaktnätverk, de offentliga avrapporteringarna, </w:t>
      </w:r>
      <w:proofErr w:type="spellStart"/>
      <w:r w:rsidRPr="007811B3">
        <w:t>Berecs</w:t>
      </w:r>
      <w:proofErr w:type="spellEnd"/>
      <w:r w:rsidRPr="007811B3">
        <w:t xml:space="preserve"> arbetsgrupper, inbegripet de tillfälliga arbetsgrupperna, och </w:t>
      </w:r>
      <w:proofErr w:type="spellStart"/>
      <w:r w:rsidRPr="007811B3">
        <w:t>Berecbyråns</w:t>
      </w:r>
      <w:proofErr w:type="spellEnd"/>
      <w:r w:rsidRPr="007811B3">
        <w:t xml:space="preserve"> rådgivande grupp.</w:t>
      </w:r>
    </w:p>
    <w:p w:rsidR="000C5550" w:rsidRPr="007811B3" w:rsidRDefault="000C5550" w:rsidP="000C5550">
      <w:pPr>
        <w:pStyle w:val="NormalHanging12a"/>
      </w:pPr>
      <w:r w:rsidRPr="007811B3">
        <w:t>4.</w:t>
      </w:r>
      <w:r w:rsidRPr="007811B3">
        <w:tab/>
        <w:t>Europaparlamentet välkomnar att Ukrainas regleringsmyndighet för elektronisk kommunikation (NCEC) har blivit medlem i byrån utan rösträtt.</w:t>
      </w:r>
    </w:p>
    <w:p w:rsidR="000C5550" w:rsidRPr="007811B3" w:rsidRDefault="000C5550" w:rsidP="000C5550">
      <w:pPr>
        <w:pStyle w:val="Normal12Hanging"/>
        <w:rPr>
          <w:b/>
          <w:i/>
          <w:szCs w:val="24"/>
        </w:rPr>
      </w:pPr>
      <w:r w:rsidRPr="007811B3">
        <w:rPr>
          <w:b/>
          <w:i/>
        </w:rPr>
        <w:t>Effektivitet och vinster</w:t>
      </w:r>
    </w:p>
    <w:p w:rsidR="000C5550" w:rsidRPr="007811B3" w:rsidRDefault="000C5550" w:rsidP="000C5550">
      <w:pPr>
        <w:pStyle w:val="Normal12Hanging"/>
        <w:rPr>
          <w:szCs w:val="24"/>
        </w:rPr>
      </w:pPr>
      <w:r w:rsidRPr="007811B3">
        <w:t>5.</w:t>
      </w:r>
      <w:r w:rsidRPr="007811B3">
        <w:tab/>
        <w:t>Europaparlamentet noterar att åtgärderna för att uppnå effektivitetsvinster under 2022 var inriktade på följande huvudområden: centralisering av vissa funktioner, upphandling, effektivitetsvinster genom ökad användning av kommissionens it</w:t>
      </w:r>
      <w:r w:rsidRPr="007811B3">
        <w:noBreakHyphen/>
        <w:t>applikationer eller införande av nya, och användning av externa resurser för att kompensera för bristande personalkapacitet eller för uppgifter av teknisk eller kompletterande karaktär.</w:t>
      </w:r>
    </w:p>
    <w:p w:rsidR="000C5550" w:rsidRPr="007811B3" w:rsidRDefault="000C5550" w:rsidP="000C5550">
      <w:pPr>
        <w:pStyle w:val="Normal12Hanging"/>
        <w:rPr>
          <w:szCs w:val="24"/>
        </w:rPr>
      </w:pPr>
      <w:r w:rsidRPr="007811B3">
        <w:t>6.</w:t>
      </w:r>
      <w:r w:rsidRPr="007811B3">
        <w:tab/>
        <w:t>Europaparlamentet noterar att byrån under 2022 fortsatte att använda sig av interinstitutionella upphandlingsförfaranden och anslöt sig till sju interinstitutionella upphandlingsförfaranden, vilket ledde till att sex ramavtal ingicks under rapporteringsperioden.</w:t>
      </w:r>
    </w:p>
    <w:p w:rsidR="000C5550" w:rsidRPr="007811B3" w:rsidRDefault="000C5550" w:rsidP="000C5550">
      <w:pPr>
        <w:pStyle w:val="Normal12Hanging"/>
        <w:rPr>
          <w:szCs w:val="24"/>
        </w:rPr>
      </w:pPr>
      <w:r w:rsidRPr="007811B3">
        <w:t>7.</w:t>
      </w:r>
      <w:r w:rsidRPr="007811B3">
        <w:tab/>
        <w:t>Europaparlamentet välkomnar de effektivitetsvinster som uppnåtts genom ökad användning eller införande av ytterligare it-applikationer från kommissionen. Parlamentet noterar i synnerhet att byrån under 2022 fullt ut hade infört och aktivt använde alla grundläggande moduler inom Sysper2, t.ex. identitetshantering, organisationshantering, hantering av personuppgifter, arbetsvillkor, talanghantering och dokumenthantering och tre av de frivilliga modulerna, såsom flextid, distansarbete och individuella rättigheter.</w:t>
      </w:r>
    </w:p>
    <w:p w:rsidR="000C5550" w:rsidRPr="007811B3" w:rsidRDefault="000C5550" w:rsidP="000C5550">
      <w:pPr>
        <w:pStyle w:val="NormalHanging12a"/>
        <w:keepNext/>
        <w:keepLines/>
        <w:widowControl/>
      </w:pPr>
      <w:r w:rsidRPr="007811B3">
        <w:lastRenderedPageBreak/>
        <w:t>8.</w:t>
      </w:r>
      <w:r w:rsidRPr="007811B3">
        <w:tab/>
        <w:t xml:space="preserve">Europaparlamentet noterar att byrån, sedan den inrättades, har saknat personalresurser när det gäller vissa tjänster. Parlamentet noterar att byrån kompenserar för vissa kapacitetsbegränsningar när så är möjligt och prioriterar användningen av kommissionens och andra EU-byråers tjänster som primär lösning. Parlamentet konstaterar att denna strategi innefattar nyttjandet av tjänster som tillhandahålls av kommissionens byrå för löneadministration och individuella ersättningar (PMO) och cybersäkerhetstjänsten för unionens institutioner, organ och byråer (CERT-EU) för it- och säkerhetstjänster. Parlamentet välkomnar byråns mycket lyckade samarbete med Europeiska unionens immaterialrättsmyndighet på </w:t>
      </w:r>
      <w:proofErr w:type="spellStart"/>
      <w:r w:rsidRPr="007811B3">
        <w:t>it-området</w:t>
      </w:r>
      <w:proofErr w:type="spellEnd"/>
      <w:r w:rsidRPr="007811B3">
        <w:t xml:space="preserve">, vilket inbegriper </w:t>
      </w:r>
      <w:proofErr w:type="spellStart"/>
      <w:r w:rsidRPr="007811B3">
        <w:t>värdtjänster</w:t>
      </w:r>
      <w:proofErr w:type="spellEnd"/>
      <w:r w:rsidRPr="007811B3">
        <w:t xml:space="preserve">, </w:t>
      </w:r>
      <w:proofErr w:type="spellStart"/>
      <w:r w:rsidRPr="007811B3">
        <w:t>it-utveckling</w:t>
      </w:r>
      <w:proofErr w:type="spellEnd"/>
      <w:r w:rsidRPr="007811B3">
        <w:t xml:space="preserve">, katastrofhantering, utveckling av den nya utformningen av byråns webbplats och andra </w:t>
      </w:r>
      <w:proofErr w:type="spellStart"/>
      <w:r w:rsidRPr="007811B3">
        <w:t>it-tjänster</w:t>
      </w:r>
      <w:proofErr w:type="spellEnd"/>
      <w:r w:rsidRPr="007811B3">
        <w:t>.</w:t>
      </w:r>
    </w:p>
    <w:p w:rsidR="000C5550" w:rsidRPr="007811B3" w:rsidRDefault="000C5550" w:rsidP="000C5550">
      <w:pPr>
        <w:pStyle w:val="NormalHanging12a"/>
      </w:pPr>
      <w:r w:rsidRPr="007811B3">
        <w:t>9.</w:t>
      </w:r>
      <w:r w:rsidRPr="007811B3">
        <w:tab/>
        <w:t xml:space="preserve">Europaparlamentet påminner om att myndigheten i högre grad behöver digitalisera den interna driften och förvaltningen, men även skynda på digitaliseringen av förfaranden. Parlamentet betonar att byrån behöver fortsätta att vara proaktiv i detta avseende för att undvika en digital klyfta mellan byråerna. Parlamentet uppmärksammar dock behovet av att vidta alla nödvändiga säkerhetsåtgärder för att undvika att den behandlade informationens </w:t>
      </w:r>
      <w:proofErr w:type="spellStart"/>
      <w:r w:rsidRPr="007811B3">
        <w:t>onlinesäkerhet</w:t>
      </w:r>
      <w:proofErr w:type="spellEnd"/>
      <w:r w:rsidRPr="007811B3">
        <w:t xml:space="preserve"> äventyras, och att insistera på behovet av att intensifiera insatserna mot cyberattacker eller infiltreringsförsök, särskilt från Ryssland eller Kina.</w:t>
      </w:r>
    </w:p>
    <w:p w:rsidR="000C5550" w:rsidRPr="007811B3" w:rsidRDefault="000C5550" w:rsidP="000C5550">
      <w:pPr>
        <w:pStyle w:val="Normal12Hanging"/>
        <w:rPr>
          <w:b/>
          <w:i/>
          <w:szCs w:val="24"/>
        </w:rPr>
      </w:pPr>
      <w:r w:rsidRPr="007811B3">
        <w:rPr>
          <w:b/>
          <w:i/>
        </w:rPr>
        <w:t>Personalpolitik</w:t>
      </w:r>
    </w:p>
    <w:p w:rsidR="000C5550" w:rsidRPr="007811B3" w:rsidRDefault="000C5550" w:rsidP="000C5550">
      <w:pPr>
        <w:spacing w:after="240"/>
        <w:ind w:left="567" w:hanging="567"/>
        <w:rPr>
          <w:rFonts w:eastAsia="Calibri"/>
          <w:szCs w:val="24"/>
        </w:rPr>
      </w:pPr>
      <w:r w:rsidRPr="007811B3">
        <w:t>10.</w:t>
      </w:r>
      <w:r w:rsidRPr="007811B3">
        <w:tab/>
        <w:t xml:space="preserve">Europaparlamentet noterar att det i tjänsteförteckningen den 31 december 2022 fanns 16 tjänster för tillfälligt anställda som fick tillsättas enligt unionsbudgeten (samma antal tillåtna tjänster som 2021). Dessutom arbetade 19 kontraktsanställda, 8 utstationerade nationella experter och 10 </w:t>
      </w:r>
      <w:proofErr w:type="spellStart"/>
      <w:r w:rsidRPr="007811B3">
        <w:t>interimsanställda</w:t>
      </w:r>
      <w:proofErr w:type="spellEnd"/>
      <w:r w:rsidRPr="007811B3">
        <w:t xml:space="preserve"> och konsulter vid byrån 2022.</w:t>
      </w:r>
    </w:p>
    <w:p w:rsidR="000C5550" w:rsidRPr="007811B3" w:rsidRDefault="000C5550" w:rsidP="000C5550">
      <w:pPr>
        <w:pStyle w:val="NormalHanging12a"/>
      </w:pPr>
      <w:r w:rsidRPr="007811B3">
        <w:t>11.</w:t>
      </w:r>
      <w:r w:rsidRPr="007811B3">
        <w:tab/>
        <w:t>Europaparlamentet välkomnar byråns insatser för att anpassa verksamheten till principerna i Europaparlamentets, rådets och kommissionens gemensamma uttalande av den 19 juli 2012 om decentraliserade byråer, inbegripet den förväntade minsta kritiska storleken.</w:t>
      </w:r>
    </w:p>
    <w:p w:rsidR="000C5550" w:rsidRPr="007811B3" w:rsidRDefault="000C5550" w:rsidP="000C5550">
      <w:pPr>
        <w:pStyle w:val="NormalHanging12a"/>
      </w:pPr>
      <w:r w:rsidRPr="007811B3">
        <w:t>12.</w:t>
      </w:r>
      <w:r w:rsidRPr="007811B3">
        <w:tab/>
        <w:t>Europaparlamentet konstaterar att den största personalpolitiska utmaningen var den höga personalomsättningen, som 2022 ökade till 16,3 % jämfört med 4,6 % under 2021 och 5,4 % under 2020. Parlamentet noterar att den kraftigt förhöjda personalomsättningen i synnerhet påverkade enheten för administration och ekonomi. Parlamentet noterar att byrån, för att tillsätta de tjänster som blivit lediga och se till att byrån hade personal med de nya kompetenser som byrån och dess administration behövde under 2022, inledde urvalsförfaranden för att tillsätta fem lediga tjänster (en tillfälligt anställd och fyra kontraktsanställda) för vilka det inte fanns lämpliga reservlistor. För att tillsätta de återstående tre lediga tjänsterna gjorde byrån snabba rekryteringar från aktiva reservlistor. Parlamentet uppmanar dock byrån att analysera orsakerna till den höga personalomsättningen, att vidta de åtgärder som krävs för att undvika detta i framtiden och att rapportera tillbaka till den ansvarsfrihetsbeviljande myndigheten.</w:t>
      </w:r>
    </w:p>
    <w:p w:rsidR="000C5550" w:rsidRPr="007811B3" w:rsidRDefault="000C5550" w:rsidP="000C5550">
      <w:pPr>
        <w:keepNext/>
        <w:keepLines/>
        <w:widowControl/>
        <w:spacing w:after="240"/>
        <w:ind w:left="567" w:hanging="567"/>
        <w:rPr>
          <w:rFonts w:eastAsia="Calibri"/>
          <w:szCs w:val="24"/>
        </w:rPr>
      </w:pPr>
      <w:r w:rsidRPr="007811B3">
        <w:lastRenderedPageBreak/>
        <w:t>13.</w:t>
      </w:r>
      <w:r w:rsidRPr="007811B3">
        <w:tab/>
        <w:t xml:space="preserve">Europaparlamentet lovordar byråns initiativ för att förbättra personalens villkor i frågor som rör arbete och privatliv, däribland juridisk rådgivning i privata ärenden, ekonomiskt stöd till </w:t>
      </w:r>
      <w:proofErr w:type="spellStart"/>
      <w:r w:rsidRPr="007811B3">
        <w:t>förskolegång</w:t>
      </w:r>
      <w:proofErr w:type="spellEnd"/>
      <w:r w:rsidRPr="007811B3">
        <w:t>, terminsavgifter för internationella skolor, språkkurser, momsbefriade varor för utstationerade nationella experter, ett introduktionsprogram för nyanställda och stöd till familjemedlemmar som bosätter sig i Lettland. Vissa av initiativen genomförs i samarbete med de lettiska myndigheterna.</w:t>
      </w:r>
    </w:p>
    <w:p w:rsidR="000C5550" w:rsidRPr="007811B3" w:rsidRDefault="000C5550" w:rsidP="000C5550">
      <w:pPr>
        <w:pStyle w:val="NormalHanging12a"/>
      </w:pPr>
      <w:r w:rsidRPr="007811B3">
        <w:t>14.</w:t>
      </w:r>
      <w:r w:rsidRPr="007811B3">
        <w:tab/>
        <w:t>Europaparlamentet ser positivt på att byrån uppnådde en jämn könsfördelning sett till hela personalstyrkan under 2022 och 2021, med 52 % kvinnliga och 48 % manliga anställda. Parlamentet insisterar på att insatserna för att bibehålla en rimlig könsfördelning bland byråns personal måste intensifieras. Parlamentet konstaterar att byrån endast har tre tjänster på mellanchefsnivå och att könsfördelningen även på denna nivå var godtagbar, med en kvinna och två män.</w:t>
      </w:r>
    </w:p>
    <w:p w:rsidR="000C5550" w:rsidRPr="007811B3" w:rsidRDefault="000C5550" w:rsidP="000C5550">
      <w:pPr>
        <w:pStyle w:val="NormalHanging12a"/>
      </w:pPr>
      <w:r w:rsidRPr="007811B3">
        <w:t>15.</w:t>
      </w:r>
      <w:r w:rsidRPr="007811B3">
        <w:tab/>
        <w:t>Europaparlamentet noterar att byrån har en policy för skydd av individens värdighet och förebyggande av psykiska och sexuella trakasserier, och att byrån ingår i arbetsgruppen för konfidentiella rådgivare mellan byråerna. Parlamentet ser fram emot deras rapport och rekommendationer. Parlamentet noterar att inga fall av trakasserier rapporterades under 2022 och uppmuntrar byrån att vidareutveckla arbetet för att förebygga fall även i framtiden.</w:t>
      </w:r>
    </w:p>
    <w:p w:rsidR="000C5550" w:rsidRPr="007811B3" w:rsidRDefault="000C5550" w:rsidP="000C5550">
      <w:pPr>
        <w:pStyle w:val="NormalHanging12a"/>
      </w:pPr>
      <w:r w:rsidRPr="007811B3">
        <w:t>16.</w:t>
      </w:r>
      <w:r w:rsidRPr="007811B3">
        <w:tab/>
        <w:t>Europaparlamentet beklagar att byrån inte har antagit stadgan om mångfald och inkludering, vars syfte är att främja likabehandling och lika möjligheter oavsett kön, ras, hudfärg, etniskt eller socialt ursprung, genetiska särdrag, språk, religion eller övertygelse, politisk ståndpunkt eller annan åskådning, tillhörighet till nationell minoritet, förmögenhet, börd, funktionsnedsättning, ålder eller sexuell läggning. Parlamentet påminner om att ett av målen i stadgan är att ha minst 40 % av det underrepresenterade könet på mellanchefsnivå på kort till medellång sikt. Parlamentet noterar byråns svar på det standardiserade frågeformuläret om ansvarsfrihet. Parlamentet anser att ett ojämnt antal högre chefer och chefer på mellannivå inte hindrar att stadgan antas. Parlamentet uppmuntrar byrån att anta stadgan och aktivt delta i initiativ som främjar mångfald och inkludering på arbetsplatsen.</w:t>
      </w:r>
    </w:p>
    <w:p w:rsidR="000C5550" w:rsidRPr="007811B3" w:rsidRDefault="000C5550" w:rsidP="000C5550">
      <w:pPr>
        <w:pStyle w:val="NormalHanging12a"/>
      </w:pPr>
      <w:r w:rsidRPr="007811B3">
        <w:t>17.</w:t>
      </w:r>
      <w:r w:rsidRPr="007811B3">
        <w:tab/>
        <w:t>Europaparlamentet välkomnar att byrån fortsatte sitt praktikprogram under 2022. Parlamentet noterar att totalt 7 praktikanter anslöt sig till byrån och att 15 praktikanter deltog i byråns praktikprogram.</w:t>
      </w:r>
    </w:p>
    <w:p w:rsidR="000C5550" w:rsidRPr="007811B3" w:rsidRDefault="000C5550" w:rsidP="000C5550">
      <w:pPr>
        <w:spacing w:after="240"/>
        <w:ind w:left="567" w:hanging="567"/>
        <w:rPr>
          <w:rFonts w:eastAsia="Calibri"/>
          <w:b/>
          <w:i/>
          <w:szCs w:val="24"/>
        </w:rPr>
      </w:pPr>
      <w:r w:rsidRPr="007811B3">
        <w:rPr>
          <w:b/>
          <w:i/>
        </w:rPr>
        <w:t>Förebyggande och hantering av intressekonflikter samt transparens</w:t>
      </w:r>
    </w:p>
    <w:p w:rsidR="000C5550" w:rsidRPr="007811B3" w:rsidRDefault="000C5550" w:rsidP="000C5550">
      <w:pPr>
        <w:spacing w:after="240"/>
        <w:ind w:left="567" w:hanging="567"/>
        <w:rPr>
          <w:szCs w:val="24"/>
        </w:rPr>
      </w:pPr>
      <w:r w:rsidRPr="007811B3">
        <w:t>18.</w:t>
      </w:r>
      <w:r w:rsidRPr="007811B3">
        <w:tab/>
        <w:t>Europaparlamentet noterar att byrån offentliggör styrelseledamöternas meritförteckningar och förklaringar om intressekonflikter på sin webbplats.</w:t>
      </w:r>
    </w:p>
    <w:p w:rsidR="000C5550" w:rsidRPr="007811B3" w:rsidRDefault="000C5550" w:rsidP="000C5550">
      <w:pPr>
        <w:keepNext/>
        <w:keepLines/>
        <w:widowControl/>
        <w:spacing w:after="240"/>
        <w:ind w:left="567" w:hanging="567"/>
        <w:rPr>
          <w:szCs w:val="24"/>
        </w:rPr>
      </w:pPr>
      <w:r w:rsidRPr="007811B3">
        <w:lastRenderedPageBreak/>
        <w:t>19.</w:t>
      </w:r>
      <w:r w:rsidRPr="007811B3">
        <w:tab/>
        <w:t>Europaparlamentet noterar att ordinarie personal, utstationerade nationella experter, praktikanter och tillfälliga arbetstagare måste lämna in en intresseförklaring innan de tillträder vid byrån, och att denna sedan granskas av tillsättningsmyndigheten eller direktören innan vederbörande godkänns för uppdraget. Parlamentet noterar vidare att personalen regelbundet måste uppdatera denna förklaring under anställningen för att behandla eventuella särskilda intressekonflikter och proaktivt informera byrån om all extern verksamhet, yrkesmässiga åtaganden under tjänstledighet, gåvor, makes eller makas anställning och potentiella konflikter kopplade till publikationer eller tal. Parlamentet noterar att ordinarie personal och praktikanter som slutar är skyldiga att informera byrån om sina planerade framtida yrkesmässiga åtaganden inom en angiven tidsram efter avslutad anställning.</w:t>
      </w:r>
    </w:p>
    <w:p w:rsidR="000C5550" w:rsidRPr="007811B3" w:rsidRDefault="000C5550" w:rsidP="000C5550">
      <w:pPr>
        <w:spacing w:after="240"/>
        <w:ind w:left="567" w:hanging="567"/>
        <w:rPr>
          <w:szCs w:val="24"/>
        </w:rPr>
      </w:pPr>
      <w:r w:rsidRPr="007811B3">
        <w:t>20.</w:t>
      </w:r>
      <w:r w:rsidRPr="007811B3">
        <w:tab/>
        <w:t xml:space="preserve">Europaparlamentet noterar att byråns direktör antog ett meddelande för att hantera intressekonflikter bland personalen under urval och rekrytering, med krav på att uppge eventuella yrkesmässiga eller privata förbindelser med sökande oavsett om relationen i fråga utgör en intressekonflikt eller inte. Parlamentet noterar vidare att personalen också bör ange huruvida de kan förhålla sig opartiskt. Parlamentet noterar att medlemmarna i urvalskommittén, efter att de sökandes namn har offentliggjorts, måste lämna in en förklaring om intressekonflikter i enlighet med ovannämnda meddelande samt riktlinjerna för förebyggande och hantering av intressekonflikter bland personal som deltar i förfaranden för urval, rekrytering eller </w:t>
      </w:r>
      <w:proofErr w:type="spellStart"/>
      <w:r w:rsidRPr="007811B3">
        <w:t>omklassificering</w:t>
      </w:r>
      <w:proofErr w:type="spellEnd"/>
      <w:r w:rsidRPr="007811B3">
        <w:t xml:space="preserve"> vid byrån.</w:t>
      </w:r>
    </w:p>
    <w:p w:rsidR="000C5550" w:rsidRPr="007811B3" w:rsidRDefault="000C5550" w:rsidP="000C5550">
      <w:pPr>
        <w:spacing w:after="240"/>
        <w:ind w:left="567" w:hanging="567"/>
        <w:rPr>
          <w:szCs w:val="24"/>
        </w:rPr>
      </w:pPr>
      <w:r w:rsidRPr="007811B3">
        <w:t>21.</w:t>
      </w:r>
      <w:r w:rsidRPr="007811B3">
        <w:tab/>
        <w:t xml:space="preserve">Europaparlamentet noterar att styrelsen antog byråns strategi för bedrägeribekämpning 2023–2025 som syftar till att bättre upptäcka, beivra och förebygga bedrägerier och motverka all annan olaglig verksamhet som kan påverka byråns ekonomiska intressen. Parlamentet välkomnar att byrån genomförde modulerna om etik i </w:t>
      </w:r>
      <w:proofErr w:type="spellStart"/>
      <w:r w:rsidRPr="007811B3">
        <w:t>Sysper</w:t>
      </w:r>
      <w:proofErr w:type="spellEnd"/>
      <w:r w:rsidRPr="007811B3">
        <w:t>, vilka omfattar förklaringen om intressekonflikter, förklaringen om gåvor eller gästfrihet, förklaringen om publikationer, begäran om tillstånd för extern verksamhet, begäran om extern verksamhet under tjänstledighet av personliga skäl samt förklaringen om makes eller makas anställning.</w:t>
      </w:r>
    </w:p>
    <w:p w:rsidR="000C5550" w:rsidRPr="007811B3" w:rsidRDefault="000C5550" w:rsidP="000C5550">
      <w:pPr>
        <w:pStyle w:val="NormalHanging12a"/>
      </w:pPr>
      <w:r w:rsidRPr="007811B3">
        <w:t>22.</w:t>
      </w:r>
      <w:r w:rsidRPr="007811B3">
        <w:tab/>
        <w:t>Europaparlamentet påminner om att byrån behöver bli synligare i medierna, på internet och i sociala medier om allmänheten ska få kännedom om dess arbete.</w:t>
      </w:r>
    </w:p>
    <w:p w:rsidR="000C5550" w:rsidRPr="007811B3" w:rsidRDefault="000C5550" w:rsidP="000C5550">
      <w:pPr>
        <w:spacing w:after="240"/>
        <w:ind w:left="567" w:hanging="567"/>
        <w:rPr>
          <w:b/>
          <w:i/>
          <w:szCs w:val="24"/>
        </w:rPr>
      </w:pPr>
      <w:r w:rsidRPr="007811B3">
        <w:rPr>
          <w:b/>
          <w:i/>
        </w:rPr>
        <w:t>Övriga kommentarer</w:t>
      </w:r>
    </w:p>
    <w:p w:rsidR="000C5550" w:rsidRPr="007811B3" w:rsidRDefault="000C5550" w:rsidP="000C5550">
      <w:pPr>
        <w:spacing w:after="240"/>
        <w:ind w:left="567" w:hanging="567"/>
        <w:rPr>
          <w:b/>
          <w:i/>
          <w:szCs w:val="24"/>
        </w:rPr>
      </w:pPr>
      <w:r w:rsidRPr="007811B3">
        <w:t>23.</w:t>
      </w:r>
      <w:r w:rsidRPr="007811B3">
        <w:tab/>
        <w:t>Europaparlamentet noterar att byrån från och med februari 2022 började använda kommissionens verktyg för förvaltning av offentliga upphandlingar (PPMT), som ytterligare har effektiviserat förfarandena för offentlig upphandling och säkrar att kommissionens senaste mallar och bästa praxis används i alla steg av processen.</w:t>
      </w:r>
    </w:p>
    <w:p w:rsidR="000C5550" w:rsidRPr="007811B3" w:rsidRDefault="000C5550" w:rsidP="000C5550">
      <w:pPr>
        <w:spacing w:after="240"/>
        <w:ind w:left="567" w:hanging="567"/>
        <w:rPr>
          <w:szCs w:val="24"/>
        </w:rPr>
      </w:pPr>
      <w:r w:rsidRPr="007811B3">
        <w:t>24.</w:t>
      </w:r>
      <w:r w:rsidRPr="007811B3">
        <w:tab/>
        <w:t xml:space="preserve">Europaparlamentet konstaterar att byrån, för att öka </w:t>
      </w:r>
      <w:proofErr w:type="spellStart"/>
      <w:r w:rsidRPr="007811B3">
        <w:t>it-säkerheten</w:t>
      </w:r>
      <w:proofErr w:type="spellEnd"/>
      <w:r w:rsidRPr="007811B3">
        <w:t xml:space="preserve"> och skyddet av de digitala register som den förfogar över, använder tvåfaktorsautentisering, brandväggar för webbapplikationer, automatiska säkerhetskopior, tillämpad kryptering (när så är tillämpligt eller möjligt) och regelbundna återställningstester av verksamhetskritiska system. Parlamentet noterar vidare att byrån dessutom använder programvarubaserat skydd för slutanvändarenheter såsom bärbara datorer och mobiltelefoner, och de IKT</w:t>
      </w:r>
      <w:r w:rsidRPr="007811B3">
        <w:noBreakHyphen/>
        <w:t>säkerhetstjänster som tillhandahålls av CERT-EU.</w:t>
      </w:r>
    </w:p>
    <w:p w:rsidR="000C5550" w:rsidRPr="007811B3" w:rsidRDefault="000C5550" w:rsidP="000C5550">
      <w:pPr>
        <w:pStyle w:val="NormalHanging12a"/>
        <w:keepNext/>
        <w:keepLines/>
        <w:widowControl/>
      </w:pPr>
      <w:r w:rsidRPr="007811B3">
        <w:lastRenderedPageBreak/>
        <w:t>25.</w:t>
      </w:r>
      <w:r w:rsidRPr="007811B3">
        <w:tab/>
        <w:t xml:space="preserve">Europaparlamentet välkomnar byråns insatser för att prioritera den nya lagstiftningen om åtgärder för cybersäkerhet vid unionens institutioner, organ och byråer. Parlamentet noterar med oro den oproportionerliga börda som cybersäkerhetsförordningen kan komma att medföra för små byråer, såsom </w:t>
      </w:r>
      <w:proofErr w:type="spellStart"/>
      <w:r w:rsidRPr="007811B3">
        <w:t>Berecbyrån</w:t>
      </w:r>
      <w:proofErr w:type="spellEnd"/>
      <w:r w:rsidRPr="007811B3">
        <w:t>, vilket kan äventyra efterlevnaden. Parlamentet uppmanar kommissionen att beakta detta i kommande års programcykler.</w:t>
      </w:r>
    </w:p>
    <w:p w:rsidR="000C5550" w:rsidRPr="007811B3" w:rsidRDefault="000C5550" w:rsidP="000C5550">
      <w:pPr>
        <w:spacing w:after="240"/>
        <w:ind w:left="567" w:hanging="567"/>
        <w:rPr>
          <w:rFonts w:eastAsia="Calibri"/>
          <w:szCs w:val="24"/>
        </w:rPr>
      </w:pPr>
      <w:r w:rsidRPr="007811B3">
        <w:t>26.</w:t>
      </w:r>
      <w:r w:rsidRPr="007811B3">
        <w:tab/>
        <w:t>Europaparlamentet välkomnar att byråns styrelse har fastställt Emas-certifiering som ett mål för de kommande tre åren. Parlamentet är medvetet om att byrån har inlett interna förberedelser för certifieringen, vilka inbegriper ytterligare uppdateringar av beräkningen av byråns koldioxidavtryck och deltagande i partnersamverkan med EU</w:t>
      </w:r>
      <w:r w:rsidRPr="007811B3">
        <w:noBreakHyphen/>
        <w:t>byråernas nätverks miljöanpassningsnätverk och andra.</w:t>
      </w:r>
    </w:p>
    <w:p w:rsidR="000C5550" w:rsidRPr="007811B3" w:rsidRDefault="000C5550" w:rsidP="000C5550">
      <w:pPr>
        <w:pStyle w:val="NormalHanging12a"/>
      </w:pPr>
      <w:r w:rsidRPr="007811B3">
        <w:t>27.</w:t>
      </w:r>
      <w:r w:rsidRPr="007811B3">
        <w:tab/>
        <w:t xml:space="preserve">Europaparlamentet välkomnar med tillfredsställelse Ukrainas nationella regleringsmyndighets deltagande i byråns dagliga verksamhet. Parlamentet välkomnar att byrån och dess medlemmar har inrättat en samarbetsram för att ta itu med </w:t>
      </w:r>
      <w:proofErr w:type="spellStart"/>
      <w:r w:rsidRPr="007811B3">
        <w:t>konnektivitetsutmaningar</w:t>
      </w:r>
      <w:proofErr w:type="spellEnd"/>
      <w:r w:rsidRPr="007811B3">
        <w:t xml:space="preserve"> och bana väg för en harmonisering av den ukrainska lagstiftningen om elektronisk kommunikation med den europeiska telekomramen. Parlamentet uppskattar vidare att man på grundval av de uppgifter som byrån samlat in från operatörer i EU och Ukraina om tillämpade slutkundsåtgärder enades om ett gemensamt uttalande, genom vilket det inrättades en stabil ram för att hjälpa människor som flyr kriget i Ukraina att hålla kontakten med familj och vänner hemma och upprätthålla tillgången till information.</w:t>
      </w:r>
    </w:p>
    <w:p w:rsidR="000C5550" w:rsidRPr="007811B3" w:rsidRDefault="000C5550" w:rsidP="000C5550">
      <w:pPr>
        <w:pStyle w:val="NormalHanging12a"/>
      </w:pPr>
      <w:r w:rsidRPr="007811B3">
        <w:t>28.</w:t>
      </w:r>
      <w:r w:rsidRPr="007811B3">
        <w:tab/>
        <w:t xml:space="preserve">Europaparlamentet välkomnar byråns insatser under 2022 för att öka allmänhetens medvetenhet om byråns mandat och arbete i Lettland genom småskaliga kommunikationsinitiativ, såsom att exempelvis ta emot studenter från Riga </w:t>
      </w:r>
      <w:proofErr w:type="spellStart"/>
      <w:r w:rsidRPr="007811B3">
        <w:t>Stradiņš</w:t>
      </w:r>
      <w:proofErr w:type="spellEnd"/>
      <w:r w:rsidRPr="007811B3">
        <w:t xml:space="preserve"> University, verka för ett partnerskap som ökar kunskapen om EU:s byråer bland allmänheten, särskilt i Lettland, och delta i det direktsända evenemanget med anledning av Europadagen i Lettland, som anordnades av Europeiska kommissionens representation i landet, och andra evenemang. Parlamentet uppmanar byrån att fortsätta arbetet för att ytterligare synliggöra byråns verksamhet, särskilt i värdmedlemsstaten.</w:t>
      </w:r>
    </w:p>
    <w:p w:rsidR="000C5550" w:rsidRPr="007811B3" w:rsidRDefault="000C5550" w:rsidP="000C5550">
      <w:pPr>
        <w:pStyle w:val="NormalHanging12a"/>
      </w:pPr>
      <w:r w:rsidRPr="007811B3">
        <w:t>29.</w:t>
      </w:r>
      <w:r w:rsidRPr="007811B3">
        <w:tab/>
        <w:t>Europaparlamentet välkomnar att parlamentets och kommissionens lokalkontor i Riga och byrån har gått samman för att inrätta ett gemensamt Europahus som kommer att bli samtliga EU-institutioners och byråns ”säte” i Lettland.</w:t>
      </w:r>
    </w:p>
    <w:p w:rsidR="000C5550" w:rsidRPr="007811B3" w:rsidRDefault="000C5550" w:rsidP="000C5550">
      <w:pPr>
        <w:pStyle w:val="NormalCenter12a"/>
      </w:pPr>
      <w:r w:rsidRPr="007811B3">
        <w:t>°</w:t>
      </w:r>
    </w:p>
    <w:p w:rsidR="000C5550" w:rsidRPr="007811B3" w:rsidRDefault="000C5550" w:rsidP="000C5550">
      <w:pPr>
        <w:pStyle w:val="NormalCenter12a"/>
      </w:pPr>
      <w:r w:rsidRPr="007811B3">
        <w:t>°</w:t>
      </w:r>
      <w:r w:rsidRPr="007811B3">
        <w:tab/>
        <w:t>°</w:t>
      </w:r>
    </w:p>
    <w:p w:rsidR="000C5550" w:rsidRPr="007811B3" w:rsidRDefault="000C5550" w:rsidP="000C5550">
      <w:pPr>
        <w:pStyle w:val="NormalHanging12a"/>
      </w:pPr>
      <w:r w:rsidRPr="007811B3">
        <w:t>30.</w:t>
      </w:r>
      <w:r w:rsidRPr="007811B3">
        <w:tab/>
        <w:t xml:space="preserve">När det gäller andra övergripande iakttagelser som utgör en del av beslutet om ansvarsfrihet hänvisar Europaparlamentet till sin resolution av den </w:t>
      </w:r>
      <w:r w:rsidR="007934DC" w:rsidRPr="007811B3">
        <w:t>11 april 2024</w:t>
      </w:r>
      <w:r w:rsidRPr="007811B3">
        <w:rPr>
          <w:vertAlign w:val="superscript"/>
        </w:rPr>
        <w:footnoteReference w:id="12"/>
      </w:r>
      <w:r w:rsidRPr="007811B3">
        <w:t xml:space="preserve"> om byråernas verksamhetsresultat, ekonomiska förvaltning och kontroll.</w:t>
      </w:r>
    </w:p>
    <w:p w:rsidR="00E365E1" w:rsidRPr="007811B3" w:rsidRDefault="00E365E1" w:rsidP="00E908CE">
      <w:bookmarkStart w:id="11" w:name="TextBodyEnd"/>
      <w:bookmarkEnd w:id="11"/>
    </w:p>
    <w:sectPr w:rsidR="00E365E1" w:rsidRPr="007811B3" w:rsidSect="00C319D4">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08CE" w:rsidRPr="00C319D4" w:rsidRDefault="00E908CE">
      <w:r w:rsidRPr="00C319D4">
        <w:separator/>
      </w:r>
    </w:p>
  </w:endnote>
  <w:endnote w:type="continuationSeparator" w:id="0">
    <w:p w:rsidR="00E908CE" w:rsidRPr="00C319D4" w:rsidRDefault="00E908CE">
      <w:r w:rsidRPr="00C319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550" w:rsidRPr="00C319D4" w:rsidRDefault="000C5550" w:rsidP="00A664C0">
    <w:pPr>
      <w:pStyle w:val="EPFooter"/>
    </w:pPr>
    <w:r w:rsidRPr="00C319D4">
      <w:t>PE</w:t>
    </w:r>
    <w:r w:rsidRPr="00C319D4">
      <w:rPr>
        <w:rStyle w:val="HideTWBExt"/>
      </w:rPr>
      <w:t>&lt;NoPE&gt;</w:t>
    </w:r>
    <w:r w:rsidRPr="00C319D4">
      <w:t>753.507</w:t>
    </w:r>
    <w:r w:rsidRPr="00C319D4">
      <w:rPr>
        <w:rStyle w:val="HideTWBExt"/>
      </w:rPr>
      <w:t>&lt;/NoPE&gt;&lt;Version&gt;</w:t>
    </w:r>
    <w:r w:rsidRPr="00C319D4">
      <w:t>v02-00</w:t>
    </w:r>
    <w:r w:rsidRPr="00C319D4">
      <w:rPr>
        <w:rStyle w:val="HideTWBExt"/>
      </w:rPr>
      <w:t>&lt;/Version&gt;</w:t>
    </w:r>
    <w:r w:rsidRPr="00C319D4">
      <w:tab/>
    </w:r>
    <w:r w:rsidRPr="00C319D4">
      <w:fldChar w:fldCharType="begin"/>
    </w:r>
    <w:r w:rsidRPr="00C319D4">
      <w:instrText xml:space="preserve"> PAGE  \* MERGEFORMAT </w:instrText>
    </w:r>
    <w:r w:rsidRPr="00C319D4">
      <w:fldChar w:fldCharType="separate"/>
    </w:r>
    <w:r w:rsidR="00C319D4" w:rsidRPr="00C319D4">
      <w:rPr>
        <w:noProof/>
      </w:rPr>
      <w:t>2</w:t>
    </w:r>
    <w:r w:rsidRPr="00C319D4">
      <w:fldChar w:fldCharType="end"/>
    </w:r>
    <w:r w:rsidRPr="00C319D4">
      <w:t>/</w:t>
    </w:r>
    <w:r w:rsidR="006D7905">
      <w:fldChar w:fldCharType="begin"/>
    </w:r>
    <w:r w:rsidR="006D7905">
      <w:instrText xml:space="preserve"> NUMPAGES  \* MERGEFORMAT </w:instrText>
    </w:r>
    <w:r w:rsidR="006D7905">
      <w:fldChar w:fldCharType="separate"/>
    </w:r>
    <w:r w:rsidR="00C319D4" w:rsidRPr="00C319D4">
      <w:rPr>
        <w:noProof/>
      </w:rPr>
      <w:t>3</w:t>
    </w:r>
    <w:r w:rsidR="006D7905">
      <w:rPr>
        <w:noProof/>
      </w:rPr>
      <w:fldChar w:fldCharType="end"/>
    </w:r>
    <w:r w:rsidRPr="00C319D4">
      <w:tab/>
    </w:r>
    <w:r w:rsidRPr="00C319D4">
      <w:rPr>
        <w:rStyle w:val="HideTWBExt"/>
      </w:rPr>
      <w:t>&lt;PathFdR&gt;</w:t>
    </w:r>
    <w:r w:rsidRPr="00C319D4">
      <w:t>RR\1299071SV.docx</w:t>
    </w:r>
    <w:r w:rsidRPr="00C319D4">
      <w:rPr>
        <w:rStyle w:val="HideTWBExt"/>
      </w:rPr>
      <w:t>&lt;/PathFdR&gt;</w:t>
    </w:r>
  </w:p>
  <w:p w:rsidR="000C5550" w:rsidRPr="00C319D4" w:rsidRDefault="000C5550" w:rsidP="00A664C0">
    <w:pPr>
      <w:pStyle w:val="EPFooter2"/>
    </w:pPr>
    <w:r w:rsidRPr="00C319D4">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550" w:rsidRPr="00C319D4" w:rsidRDefault="000C5550" w:rsidP="00A664C0">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550" w:rsidRPr="00C319D4" w:rsidRDefault="000C5550" w:rsidP="00A664C0">
    <w:pPr>
      <w:pStyle w:val="EPFooter"/>
    </w:pPr>
    <w:r w:rsidRPr="00C319D4">
      <w:rPr>
        <w:rStyle w:val="HideTWBExt"/>
      </w:rPr>
      <w:t>&lt;PathFdR&gt;</w:t>
    </w:r>
    <w:r w:rsidRPr="00C319D4">
      <w:t>RR\1299071SV.docx</w:t>
    </w:r>
    <w:r w:rsidRPr="00C319D4">
      <w:rPr>
        <w:rStyle w:val="HideTWBExt"/>
      </w:rPr>
      <w:t>&lt;/PathFdR&gt;</w:t>
    </w:r>
    <w:r w:rsidRPr="00C319D4">
      <w:tab/>
    </w:r>
    <w:r w:rsidRPr="00C319D4">
      <w:tab/>
      <w:t>PE</w:t>
    </w:r>
    <w:r w:rsidRPr="00C319D4">
      <w:rPr>
        <w:rStyle w:val="HideTWBExt"/>
      </w:rPr>
      <w:t>&lt;NoPE&gt;</w:t>
    </w:r>
    <w:r w:rsidRPr="00C319D4">
      <w:t>753.507</w:t>
    </w:r>
    <w:r w:rsidRPr="00C319D4">
      <w:rPr>
        <w:rStyle w:val="HideTWBExt"/>
      </w:rPr>
      <w:t>&lt;/NoPE&gt;&lt;Version&gt;</w:t>
    </w:r>
    <w:r w:rsidRPr="00C319D4">
      <w:t>v02-00</w:t>
    </w:r>
    <w:r w:rsidRPr="00C319D4">
      <w:rPr>
        <w:rStyle w:val="HideTWBExt"/>
      </w:rPr>
      <w:t>&lt;/Version&gt;</w:t>
    </w:r>
  </w:p>
  <w:p w:rsidR="000C5550" w:rsidRPr="00C319D4" w:rsidRDefault="000C5550" w:rsidP="00A664C0">
    <w:pPr>
      <w:pStyle w:val="EPFooter2"/>
    </w:pPr>
    <w:r w:rsidRPr="00C319D4">
      <w:t>SV</w:t>
    </w:r>
    <w:r w:rsidRPr="00C319D4">
      <w:tab/>
    </w:r>
    <w:r w:rsidRPr="00C319D4">
      <w:rPr>
        <w:b w:val="0"/>
        <w:i/>
        <w:color w:val="C0C0C0"/>
        <w:sz w:val="22"/>
      </w:rPr>
      <w:t>Förenade i mångfalden</w:t>
    </w:r>
    <w:r w:rsidRPr="00C319D4">
      <w:tab/>
      <w:t>SV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19D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19D4"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19D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08CE" w:rsidRPr="00C319D4" w:rsidRDefault="00E908CE">
      <w:r w:rsidRPr="00C319D4">
        <w:separator/>
      </w:r>
    </w:p>
  </w:footnote>
  <w:footnote w:type="continuationSeparator" w:id="0">
    <w:p w:rsidR="00E908CE" w:rsidRPr="00C319D4" w:rsidRDefault="00E908CE">
      <w:r w:rsidRPr="00C319D4">
        <w:continuationSeparator/>
      </w:r>
    </w:p>
  </w:footnote>
  <w:footnote w:id="1">
    <w:p w:rsidR="000C5550" w:rsidRPr="007811B3" w:rsidRDefault="000C5550" w:rsidP="00C319D4">
      <w:pPr>
        <w:pStyle w:val="FootnoteText"/>
        <w:ind w:left="567" w:hanging="567"/>
        <w:rPr>
          <w:sz w:val="24"/>
        </w:rPr>
      </w:pPr>
      <w:r w:rsidRPr="007811B3">
        <w:rPr>
          <w:rStyle w:val="FootnoteReference"/>
          <w:sz w:val="24"/>
          <w:lang w:val="sv-SE"/>
        </w:rPr>
        <w:footnoteRef/>
      </w:r>
      <w:r w:rsidR="00C319D4" w:rsidRPr="007811B3">
        <w:rPr>
          <w:sz w:val="24"/>
        </w:rPr>
        <w:t xml:space="preserve"> </w:t>
      </w:r>
      <w:r w:rsidR="00C319D4" w:rsidRPr="007811B3">
        <w:rPr>
          <w:sz w:val="24"/>
        </w:rPr>
        <w:tab/>
      </w:r>
      <w:r w:rsidRPr="007811B3">
        <w:rPr>
          <w:sz w:val="24"/>
        </w:rPr>
        <w:t>EUT C, C/2023/594, 27.10.2023.</w:t>
      </w:r>
    </w:p>
  </w:footnote>
  <w:footnote w:id="2">
    <w:p w:rsidR="000C5550" w:rsidRPr="007811B3" w:rsidRDefault="000C5550" w:rsidP="00C319D4">
      <w:pPr>
        <w:pStyle w:val="FootnoteText"/>
        <w:ind w:left="567" w:hanging="567"/>
        <w:rPr>
          <w:sz w:val="24"/>
        </w:rPr>
      </w:pPr>
      <w:r w:rsidRPr="007811B3">
        <w:rPr>
          <w:rStyle w:val="FootnoteReference"/>
          <w:sz w:val="24"/>
          <w:lang w:val="sv-SE"/>
        </w:rPr>
        <w:footnoteRef/>
      </w:r>
      <w:r w:rsidR="00C319D4" w:rsidRPr="007811B3">
        <w:rPr>
          <w:sz w:val="24"/>
        </w:rPr>
        <w:t xml:space="preserve"> </w:t>
      </w:r>
      <w:r w:rsidR="00C319D4" w:rsidRPr="007811B3">
        <w:rPr>
          <w:sz w:val="24"/>
        </w:rPr>
        <w:tab/>
      </w:r>
      <w:r w:rsidRPr="007811B3">
        <w:rPr>
          <w:sz w:val="24"/>
        </w:rPr>
        <w:t>EUT C, C/2023/112, 12.10.2023.</w:t>
      </w:r>
    </w:p>
  </w:footnote>
  <w:footnote w:id="3">
    <w:p w:rsidR="000C5550" w:rsidRPr="007811B3" w:rsidRDefault="000C5550" w:rsidP="00C319D4">
      <w:pPr>
        <w:pStyle w:val="FootnoteText"/>
        <w:ind w:left="567" w:hanging="567"/>
        <w:rPr>
          <w:sz w:val="24"/>
        </w:rPr>
      </w:pPr>
      <w:r w:rsidRPr="007811B3">
        <w:rPr>
          <w:rStyle w:val="FootnoteReference"/>
          <w:sz w:val="24"/>
          <w:lang w:val="sv-SE"/>
        </w:rPr>
        <w:footnoteRef/>
      </w:r>
      <w:r w:rsidR="00C319D4" w:rsidRPr="007811B3">
        <w:rPr>
          <w:sz w:val="24"/>
        </w:rPr>
        <w:t xml:space="preserve"> </w:t>
      </w:r>
      <w:r w:rsidR="00C319D4" w:rsidRPr="007811B3">
        <w:rPr>
          <w:sz w:val="24"/>
        </w:rPr>
        <w:tab/>
      </w:r>
      <w:r w:rsidRPr="007811B3">
        <w:rPr>
          <w:sz w:val="24"/>
        </w:rPr>
        <w:t>EUT L 193, 30.7.2018, s. 1.</w:t>
      </w:r>
    </w:p>
  </w:footnote>
  <w:footnote w:id="4">
    <w:p w:rsidR="000C5550" w:rsidRPr="007811B3" w:rsidRDefault="000C5550" w:rsidP="00C319D4">
      <w:pPr>
        <w:pStyle w:val="FootnoteText"/>
        <w:ind w:left="567" w:hanging="567"/>
        <w:rPr>
          <w:sz w:val="24"/>
          <w:szCs w:val="24"/>
        </w:rPr>
      </w:pPr>
      <w:r w:rsidRPr="007811B3">
        <w:rPr>
          <w:rStyle w:val="FootnoteReference"/>
          <w:sz w:val="24"/>
          <w:lang w:val="sv-SE"/>
        </w:rPr>
        <w:footnoteRef/>
      </w:r>
      <w:r w:rsidR="00C319D4" w:rsidRPr="007811B3">
        <w:rPr>
          <w:sz w:val="24"/>
        </w:rPr>
        <w:t xml:space="preserve"> </w:t>
      </w:r>
      <w:r w:rsidR="00C319D4" w:rsidRPr="007811B3">
        <w:rPr>
          <w:sz w:val="24"/>
        </w:rPr>
        <w:tab/>
      </w:r>
      <w:r w:rsidRPr="007811B3">
        <w:rPr>
          <w:sz w:val="24"/>
        </w:rPr>
        <w:t>EUT L 321, 17.12.2018, s. 1.</w:t>
      </w:r>
    </w:p>
  </w:footnote>
  <w:footnote w:id="5">
    <w:p w:rsidR="000C5550" w:rsidRPr="007811B3" w:rsidRDefault="000C5550" w:rsidP="00C319D4">
      <w:pPr>
        <w:pStyle w:val="FootnoteText"/>
        <w:ind w:left="567" w:hanging="567"/>
        <w:rPr>
          <w:sz w:val="24"/>
        </w:rPr>
      </w:pPr>
      <w:r w:rsidRPr="007811B3">
        <w:rPr>
          <w:rStyle w:val="FootnoteReference"/>
          <w:sz w:val="24"/>
          <w:lang w:val="sv-SE"/>
        </w:rPr>
        <w:footnoteRef/>
      </w:r>
      <w:r w:rsidR="00C319D4" w:rsidRPr="007811B3">
        <w:rPr>
          <w:sz w:val="24"/>
        </w:rPr>
        <w:t xml:space="preserve"> </w:t>
      </w:r>
      <w:r w:rsidR="00C319D4" w:rsidRPr="007811B3">
        <w:rPr>
          <w:sz w:val="24"/>
        </w:rPr>
        <w:tab/>
      </w:r>
      <w:r w:rsidRPr="007811B3">
        <w:rPr>
          <w:sz w:val="24"/>
        </w:rPr>
        <w:t>EUT L 122, 10.5.2019, s. 1.</w:t>
      </w:r>
    </w:p>
  </w:footnote>
  <w:footnote w:id="6">
    <w:p w:rsidR="000C5550" w:rsidRPr="007811B3" w:rsidRDefault="000C5550" w:rsidP="00C319D4">
      <w:pPr>
        <w:pStyle w:val="FootnoteText"/>
        <w:ind w:left="567" w:hanging="567"/>
        <w:rPr>
          <w:sz w:val="24"/>
        </w:rPr>
      </w:pPr>
      <w:r w:rsidRPr="007811B3">
        <w:rPr>
          <w:rStyle w:val="FootnoteReference"/>
          <w:sz w:val="24"/>
          <w:lang w:val="sv-SE"/>
        </w:rPr>
        <w:footnoteRef/>
      </w:r>
      <w:r w:rsidR="00C319D4" w:rsidRPr="007811B3">
        <w:rPr>
          <w:sz w:val="24"/>
        </w:rPr>
        <w:t xml:space="preserve"> </w:t>
      </w:r>
      <w:r w:rsidR="00C319D4" w:rsidRPr="007811B3">
        <w:rPr>
          <w:sz w:val="24"/>
        </w:rPr>
        <w:tab/>
      </w:r>
      <w:r w:rsidRPr="007811B3">
        <w:rPr>
          <w:sz w:val="24"/>
        </w:rPr>
        <w:t>EUT C, C/2023/594, 27.10.2023.</w:t>
      </w:r>
    </w:p>
  </w:footnote>
  <w:footnote w:id="7">
    <w:p w:rsidR="000C5550" w:rsidRPr="007811B3" w:rsidRDefault="000C5550" w:rsidP="00C319D4">
      <w:pPr>
        <w:pStyle w:val="FootnoteText"/>
        <w:ind w:left="567" w:hanging="567"/>
        <w:rPr>
          <w:sz w:val="24"/>
        </w:rPr>
      </w:pPr>
      <w:r w:rsidRPr="007811B3">
        <w:rPr>
          <w:rStyle w:val="FootnoteReference"/>
          <w:sz w:val="24"/>
          <w:lang w:val="sv-SE"/>
        </w:rPr>
        <w:footnoteRef/>
      </w:r>
      <w:r w:rsidR="00C319D4" w:rsidRPr="007811B3">
        <w:rPr>
          <w:sz w:val="24"/>
        </w:rPr>
        <w:t xml:space="preserve"> </w:t>
      </w:r>
      <w:r w:rsidR="00C319D4" w:rsidRPr="007811B3">
        <w:rPr>
          <w:sz w:val="24"/>
        </w:rPr>
        <w:tab/>
      </w:r>
      <w:r w:rsidRPr="007811B3">
        <w:rPr>
          <w:sz w:val="24"/>
        </w:rPr>
        <w:t>EUT C, C/2023/112, 12.10.2023.</w:t>
      </w:r>
    </w:p>
  </w:footnote>
  <w:footnote w:id="8">
    <w:p w:rsidR="000C5550" w:rsidRPr="007811B3" w:rsidRDefault="000C5550" w:rsidP="00C319D4">
      <w:pPr>
        <w:pStyle w:val="FootnoteText"/>
        <w:ind w:left="567" w:hanging="567"/>
        <w:rPr>
          <w:sz w:val="24"/>
        </w:rPr>
      </w:pPr>
      <w:r w:rsidRPr="007811B3">
        <w:rPr>
          <w:rStyle w:val="FootnoteReference"/>
          <w:sz w:val="24"/>
          <w:lang w:val="sv-SE"/>
        </w:rPr>
        <w:footnoteRef/>
      </w:r>
      <w:r w:rsidR="00C319D4" w:rsidRPr="007811B3">
        <w:rPr>
          <w:sz w:val="24"/>
        </w:rPr>
        <w:t xml:space="preserve"> </w:t>
      </w:r>
      <w:r w:rsidR="00C319D4" w:rsidRPr="007811B3">
        <w:rPr>
          <w:sz w:val="24"/>
        </w:rPr>
        <w:tab/>
      </w:r>
      <w:r w:rsidRPr="007811B3">
        <w:rPr>
          <w:sz w:val="24"/>
        </w:rPr>
        <w:t>EUT L 193, 30.7.2018, s. 1.</w:t>
      </w:r>
    </w:p>
  </w:footnote>
  <w:footnote w:id="9">
    <w:p w:rsidR="000C5550" w:rsidRPr="007811B3" w:rsidRDefault="000C5550" w:rsidP="00C319D4">
      <w:pPr>
        <w:pStyle w:val="FootnoteText"/>
        <w:ind w:left="567" w:hanging="567"/>
        <w:rPr>
          <w:sz w:val="24"/>
        </w:rPr>
      </w:pPr>
      <w:r w:rsidRPr="007811B3">
        <w:rPr>
          <w:rStyle w:val="FootnoteReference"/>
          <w:sz w:val="24"/>
          <w:lang w:val="sv-SE"/>
        </w:rPr>
        <w:footnoteRef/>
      </w:r>
      <w:r w:rsidR="00C319D4" w:rsidRPr="007811B3">
        <w:rPr>
          <w:sz w:val="24"/>
        </w:rPr>
        <w:t xml:space="preserve"> </w:t>
      </w:r>
      <w:r w:rsidR="00C319D4" w:rsidRPr="007811B3">
        <w:rPr>
          <w:sz w:val="24"/>
        </w:rPr>
        <w:tab/>
      </w:r>
      <w:r w:rsidRPr="007811B3">
        <w:rPr>
          <w:sz w:val="24"/>
        </w:rPr>
        <w:t>EUT L 321, 17.12.2018, s. 1.</w:t>
      </w:r>
    </w:p>
  </w:footnote>
  <w:footnote w:id="10">
    <w:p w:rsidR="000C5550" w:rsidRPr="007811B3" w:rsidRDefault="000C5550" w:rsidP="00C319D4">
      <w:pPr>
        <w:pStyle w:val="FootnoteText"/>
        <w:ind w:left="567" w:hanging="567"/>
        <w:rPr>
          <w:sz w:val="24"/>
          <w:szCs w:val="24"/>
        </w:rPr>
      </w:pPr>
      <w:r w:rsidRPr="007811B3">
        <w:rPr>
          <w:rStyle w:val="FootnoteReference"/>
          <w:sz w:val="24"/>
          <w:lang w:val="sv-SE"/>
        </w:rPr>
        <w:footnoteRef/>
      </w:r>
      <w:r w:rsidR="00C319D4" w:rsidRPr="007811B3">
        <w:rPr>
          <w:sz w:val="24"/>
        </w:rPr>
        <w:t xml:space="preserve"> </w:t>
      </w:r>
      <w:r w:rsidR="00C319D4" w:rsidRPr="007811B3">
        <w:rPr>
          <w:sz w:val="24"/>
        </w:rPr>
        <w:tab/>
      </w:r>
      <w:r w:rsidRPr="007811B3">
        <w:rPr>
          <w:sz w:val="24"/>
        </w:rPr>
        <w:t>EUT L 122, 10.5.2019, s. 1.</w:t>
      </w:r>
    </w:p>
  </w:footnote>
  <w:footnote w:id="11">
    <w:p w:rsidR="000C5550" w:rsidRPr="007811B3" w:rsidRDefault="000C5550" w:rsidP="00C319D4">
      <w:pPr>
        <w:pStyle w:val="FootnoteText"/>
        <w:ind w:left="567" w:hanging="567"/>
        <w:rPr>
          <w:sz w:val="24"/>
          <w:lang w:val="sv-SE"/>
        </w:rPr>
      </w:pPr>
      <w:r w:rsidRPr="007811B3">
        <w:rPr>
          <w:rStyle w:val="FootnoteReference"/>
          <w:sz w:val="24"/>
          <w:lang w:val="sv-SE"/>
        </w:rPr>
        <w:footnoteRef/>
      </w:r>
      <w:r w:rsidR="00C319D4" w:rsidRPr="007811B3">
        <w:rPr>
          <w:sz w:val="24"/>
          <w:lang w:val="sv-SE"/>
        </w:rPr>
        <w:t xml:space="preserve"> </w:t>
      </w:r>
      <w:r w:rsidR="00C319D4" w:rsidRPr="007811B3">
        <w:rPr>
          <w:sz w:val="24"/>
          <w:lang w:val="sv-SE"/>
        </w:rPr>
        <w:tab/>
      </w:r>
      <w:r w:rsidRPr="007811B3">
        <w:rPr>
          <w:sz w:val="24"/>
          <w:lang w:val="sv-SE"/>
        </w:rPr>
        <w:t>EUT C 119, 31.3.2023, s. 11.</w:t>
      </w:r>
    </w:p>
  </w:footnote>
  <w:footnote w:id="12">
    <w:p w:rsidR="000C5550" w:rsidRPr="00C319D4" w:rsidRDefault="000C5550" w:rsidP="00C319D4">
      <w:pPr>
        <w:pStyle w:val="FootnoteText"/>
        <w:ind w:left="567" w:hanging="567"/>
        <w:rPr>
          <w:sz w:val="24"/>
          <w:szCs w:val="24"/>
          <w:lang w:val="sv-SE"/>
        </w:rPr>
      </w:pPr>
      <w:r w:rsidRPr="007811B3">
        <w:rPr>
          <w:rStyle w:val="FootnoteReference"/>
          <w:sz w:val="24"/>
          <w:szCs w:val="24"/>
          <w:lang w:val="sv-SE"/>
        </w:rPr>
        <w:footnoteRef/>
      </w:r>
      <w:r w:rsidR="00C319D4" w:rsidRPr="007811B3">
        <w:rPr>
          <w:sz w:val="24"/>
          <w:lang w:val="sv-SE"/>
        </w:rPr>
        <w:t xml:space="preserve"> </w:t>
      </w:r>
      <w:r w:rsidR="00C319D4" w:rsidRPr="007811B3">
        <w:rPr>
          <w:sz w:val="24"/>
          <w:lang w:val="sv-SE"/>
        </w:rPr>
        <w:tab/>
      </w:r>
      <w:r w:rsidRPr="007811B3">
        <w:rPr>
          <w:sz w:val="24"/>
          <w:lang w:val="sv-SE"/>
        </w:rPr>
        <w:t>Antagna texter, P9_TA(2024)0</w:t>
      </w:r>
      <w:r w:rsidR="007811B3" w:rsidRPr="007811B3">
        <w:rPr>
          <w:sz w:val="24"/>
          <w:lang w:val="sv-SE"/>
        </w:rPr>
        <w:t>280</w:t>
      </w:r>
      <w:r w:rsidRPr="007811B3">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550" w:rsidRPr="00C319D4" w:rsidRDefault="000C55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550" w:rsidRPr="00C319D4" w:rsidRDefault="000C55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550" w:rsidRPr="00C319D4" w:rsidRDefault="000C555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19D4"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19D4"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19D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3/2024"/>
    <w:docVar w:name="dvlangue" w:val="SV"/>
    <w:docVar w:name="dvnumam" w:val="0"/>
    <w:docVar w:name="dvpe" w:val="753.507"/>
    <w:docVar w:name="dvrapporteur" w:val="Föredragande: "/>
    <w:docVar w:name="dvtitre" w:val="Europaparlamentets beslut av den xx xx 2024 om ansvarsfrihet för genomförandet av budgeten för Byrån för stöd till Berec (Berecbyrån) för budgetåret 2022(2023/2141(DEC))"/>
  </w:docVars>
  <w:rsids>
    <w:rsidRoot w:val="00E908CE"/>
    <w:rsid w:val="00002272"/>
    <w:rsid w:val="00064002"/>
    <w:rsid w:val="000677B9"/>
    <w:rsid w:val="000831BA"/>
    <w:rsid w:val="000A42CC"/>
    <w:rsid w:val="000C5550"/>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D7905"/>
    <w:rsid w:val="006F74FA"/>
    <w:rsid w:val="00731ADD"/>
    <w:rsid w:val="00734777"/>
    <w:rsid w:val="00747932"/>
    <w:rsid w:val="00751A4A"/>
    <w:rsid w:val="00756632"/>
    <w:rsid w:val="00762C74"/>
    <w:rsid w:val="007811B3"/>
    <w:rsid w:val="00786EC0"/>
    <w:rsid w:val="007934DC"/>
    <w:rsid w:val="007D1690"/>
    <w:rsid w:val="007E22AD"/>
    <w:rsid w:val="00817416"/>
    <w:rsid w:val="00842779"/>
    <w:rsid w:val="00865F67"/>
    <w:rsid w:val="008664F8"/>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85B"/>
    <w:rsid w:val="00AE0928"/>
    <w:rsid w:val="00AF3B82"/>
    <w:rsid w:val="00B12E95"/>
    <w:rsid w:val="00B22876"/>
    <w:rsid w:val="00B558F0"/>
    <w:rsid w:val="00BD48FE"/>
    <w:rsid w:val="00BD7BD8"/>
    <w:rsid w:val="00BE6ADC"/>
    <w:rsid w:val="00C05BFE"/>
    <w:rsid w:val="00C23CD4"/>
    <w:rsid w:val="00C319D4"/>
    <w:rsid w:val="00C61C0C"/>
    <w:rsid w:val="00C941CB"/>
    <w:rsid w:val="00CC2357"/>
    <w:rsid w:val="00CF071A"/>
    <w:rsid w:val="00D058B8"/>
    <w:rsid w:val="00D56C11"/>
    <w:rsid w:val="00D834A0"/>
    <w:rsid w:val="00D872DF"/>
    <w:rsid w:val="00D91E21"/>
    <w:rsid w:val="00DA7FCD"/>
    <w:rsid w:val="00E365E1"/>
    <w:rsid w:val="00E820A4"/>
    <w:rsid w:val="00E908CE"/>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BFD7112-5DBB-4C0C-8864-4182C011F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C555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C5550"/>
    <w:pPr>
      <w:spacing w:before="480" w:after="240"/>
    </w:pPr>
  </w:style>
  <w:style w:type="paragraph" w:customStyle="1" w:styleId="PageHeading">
    <w:name w:val="PageHeading"/>
    <w:basedOn w:val="Normal"/>
    <w:rsid w:val="000C5550"/>
    <w:pPr>
      <w:keepNext/>
      <w:spacing w:after="480"/>
      <w:jc w:val="center"/>
    </w:pPr>
    <w:rPr>
      <w:rFonts w:ascii="Arial" w:hAnsi="Arial" w:cs="Arial"/>
      <w:b/>
    </w:rPr>
  </w:style>
  <w:style w:type="paragraph" w:customStyle="1" w:styleId="NormalBold">
    <w:name w:val="NormalBold"/>
    <w:basedOn w:val="Normal"/>
    <w:rsid w:val="000C5550"/>
    <w:rPr>
      <w:b/>
    </w:rPr>
  </w:style>
  <w:style w:type="paragraph" w:customStyle="1" w:styleId="NormalHanging12a">
    <w:name w:val="NormalHanging12a"/>
    <w:basedOn w:val="Normal"/>
    <w:link w:val="NormalHanging12aChar"/>
    <w:rsid w:val="000C5550"/>
    <w:pPr>
      <w:spacing w:after="240"/>
      <w:ind w:left="567" w:hanging="567"/>
    </w:pPr>
  </w:style>
  <w:style w:type="paragraph" w:customStyle="1" w:styleId="NormalCenter12a">
    <w:name w:val="NormalCenter12a"/>
    <w:basedOn w:val="Normal"/>
    <w:rsid w:val="000C5550"/>
    <w:pPr>
      <w:spacing w:after="240"/>
      <w:jc w:val="center"/>
    </w:pPr>
  </w:style>
  <w:style w:type="paragraph" w:styleId="Header">
    <w:name w:val="header"/>
    <w:basedOn w:val="Normal"/>
    <w:link w:val="HeaderChar"/>
    <w:rsid w:val="000C5550"/>
    <w:pPr>
      <w:tabs>
        <w:tab w:val="center" w:pos="4513"/>
        <w:tab w:val="right" w:pos="9026"/>
      </w:tabs>
    </w:pPr>
  </w:style>
  <w:style w:type="character" w:customStyle="1" w:styleId="HeaderChar">
    <w:name w:val="Header Char"/>
    <w:basedOn w:val="DefaultParagraphFont"/>
    <w:link w:val="Header"/>
    <w:rsid w:val="000C5550"/>
    <w:rPr>
      <w:sz w:val="24"/>
      <w:lang w:val="sv-SE"/>
    </w:rPr>
  </w:style>
  <w:style w:type="paragraph" w:customStyle="1" w:styleId="EPFooter">
    <w:name w:val="EPFooter"/>
    <w:basedOn w:val="Normal"/>
    <w:rsid w:val="000C5550"/>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0C5550"/>
    <w:rPr>
      <w:sz w:val="24"/>
      <w:lang w:val="sv-SE"/>
    </w:rPr>
  </w:style>
  <w:style w:type="paragraph" w:customStyle="1" w:styleId="Normal12Hanging">
    <w:name w:val="Normal12Hanging"/>
    <w:basedOn w:val="Normal"/>
    <w:rsid w:val="000C5550"/>
    <w:pPr>
      <w:spacing w:after="240"/>
      <w:ind w:left="567" w:hanging="567"/>
    </w:pPr>
  </w:style>
  <w:style w:type="paragraph" w:styleId="BalloonText">
    <w:name w:val="Balloon Text"/>
    <w:basedOn w:val="Normal"/>
    <w:link w:val="BalloonTextChar"/>
    <w:rsid w:val="007934DC"/>
    <w:rPr>
      <w:rFonts w:ascii="Segoe UI" w:hAnsi="Segoe UI" w:cs="Segoe UI"/>
      <w:sz w:val="18"/>
      <w:szCs w:val="18"/>
    </w:rPr>
  </w:style>
  <w:style w:type="character" w:customStyle="1" w:styleId="BalloonTextChar">
    <w:name w:val="Balloon Text Char"/>
    <w:basedOn w:val="DefaultParagraphFont"/>
    <w:link w:val="BalloonText"/>
    <w:rsid w:val="007934DC"/>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8F8F1E-D3AC-4AE6-84D0-A81AE2AA6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2878</Words>
  <Characters>19229</Characters>
  <Application>Microsoft Office Word</Application>
  <DocSecurity>0</DocSecurity>
  <Lines>160</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2024-05-17T09:21:00Z</dcterms:created>
  <dcterms:modified xsi:type="dcterms:W3CDTF">2024-05-17T09:21:00Z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P9_TA(2024)0266_</vt:lpwstr>
  </property>
  <property fmtid="{D5CDD505-2E9C-101B-9397-08002B2CF9AE}" pid="4" name="&lt;Type&gt;">
    <vt:lpwstr>RR</vt:lpwstr>
  </property>
</Properties>
</file>