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91DE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91DEC" w:rsidRDefault="00FA68B7" w:rsidP="0010095E">
            <w:pPr>
              <w:pStyle w:val="EPName"/>
            </w:pPr>
            <w:r w:rsidRPr="00E91DEC">
              <w:t>Европейски</w:t>
            </w:r>
            <w:r w:rsidR="008F45B4" w:rsidRPr="00E91DEC">
              <w:t xml:space="preserve"> парламент</w:t>
            </w:r>
          </w:p>
          <w:p w:rsidR="00751A4A" w:rsidRPr="00E91DE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91DEC">
              <w:t>2019</w:t>
            </w:r>
            <w:r w:rsidR="00FA68B7">
              <w:rPr>
                <w:lang w:val="en-GB"/>
              </w:rPr>
              <w:t> – </w:t>
            </w:r>
            <w:r w:rsidRPr="00E91DEC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E91DEC" w:rsidRDefault="00187494" w:rsidP="0010095E">
            <w:pPr>
              <w:pStyle w:val="EPLogo"/>
            </w:pPr>
            <w:r w:rsidRPr="00E91DE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91DEC" w:rsidRDefault="00D058B8" w:rsidP="004C5D52">
      <w:pPr>
        <w:pStyle w:val="LineTop"/>
      </w:pPr>
    </w:p>
    <w:p w:rsidR="00680577" w:rsidRPr="00E91DEC" w:rsidRDefault="008F45B4" w:rsidP="00680577">
      <w:pPr>
        <w:pStyle w:val="EPBodyTA1"/>
      </w:pPr>
      <w:r w:rsidRPr="00E91DEC">
        <w:t>ПРИЕТИ ТЕКСТОВЕ</w:t>
      </w:r>
    </w:p>
    <w:p w:rsidR="00D058B8" w:rsidRPr="00E91DEC" w:rsidRDefault="00D058B8" w:rsidP="00D058B8">
      <w:pPr>
        <w:pStyle w:val="LineBottom"/>
      </w:pPr>
    </w:p>
    <w:p w:rsidR="008F45B4" w:rsidRPr="00E91DEC" w:rsidRDefault="008F45B4" w:rsidP="008F45B4">
      <w:pPr>
        <w:pStyle w:val="ATHeading1"/>
      </w:pPr>
      <w:bookmarkStart w:id="0" w:name="TANumber"/>
      <w:r w:rsidRPr="00E91DEC">
        <w:t>P9_TA(2024)0</w:t>
      </w:r>
      <w:r w:rsidR="0008360B">
        <w:rPr>
          <w:lang w:val="en-GB"/>
        </w:rPr>
        <w:t>267</w:t>
      </w:r>
      <w:bookmarkEnd w:id="0"/>
    </w:p>
    <w:p w:rsidR="008F45B4" w:rsidRPr="00E91DEC" w:rsidRDefault="008F45B4" w:rsidP="008F45B4">
      <w:pPr>
        <w:pStyle w:val="ATHeading2"/>
      </w:pPr>
      <w:bookmarkStart w:id="1" w:name="title"/>
      <w:r w:rsidRPr="00E91DEC">
        <w:t>Освобождаване от отговорност във връзка с изпълнението на бюджета за 2022 г.: Европейски институт за иновации и технологии (EIT)</w:t>
      </w:r>
      <w:bookmarkEnd w:id="1"/>
    </w:p>
    <w:p w:rsidR="008F45B4" w:rsidRPr="00E91DEC" w:rsidRDefault="008F45B4" w:rsidP="008F45B4">
      <w:pPr>
        <w:rPr>
          <w:i/>
          <w:vanish/>
        </w:rPr>
      </w:pPr>
      <w:r w:rsidRPr="00E91DEC">
        <w:rPr>
          <w:i/>
        </w:rPr>
        <w:fldChar w:fldCharType="begin"/>
      </w:r>
      <w:r w:rsidRPr="00E91DEC">
        <w:rPr>
          <w:i/>
        </w:rPr>
        <w:instrText xml:space="preserve"> TC"(</w:instrText>
      </w:r>
      <w:bookmarkStart w:id="2" w:name="DocNumber"/>
      <w:r w:rsidRPr="00E91DEC">
        <w:rPr>
          <w:i/>
        </w:rPr>
        <w:instrText>A9-0132/2024</w:instrText>
      </w:r>
      <w:bookmarkEnd w:id="2"/>
      <w:r w:rsidRPr="00E91DEC">
        <w:rPr>
          <w:i/>
        </w:rPr>
        <w:instrText xml:space="preserve"> - Докладчик: Петри Сарвама)"\l3 \n&gt; \* MERGEFORMAT </w:instrText>
      </w:r>
      <w:r w:rsidRPr="00E91DEC">
        <w:rPr>
          <w:i/>
        </w:rPr>
        <w:fldChar w:fldCharType="end"/>
      </w:r>
    </w:p>
    <w:p w:rsidR="008F45B4" w:rsidRPr="00E91DEC" w:rsidRDefault="008F45B4" w:rsidP="008F45B4">
      <w:pPr>
        <w:rPr>
          <w:vanish/>
        </w:rPr>
      </w:pPr>
      <w:bookmarkStart w:id="3" w:name="Commission"/>
      <w:r w:rsidRPr="00E91DEC">
        <w:rPr>
          <w:vanish/>
        </w:rPr>
        <w:t>Комисия по бюджетен контрол</w:t>
      </w:r>
      <w:bookmarkEnd w:id="3"/>
    </w:p>
    <w:p w:rsidR="008F45B4" w:rsidRPr="00E91DEC" w:rsidRDefault="008F45B4" w:rsidP="008F45B4">
      <w:pPr>
        <w:rPr>
          <w:vanish/>
        </w:rPr>
      </w:pPr>
      <w:bookmarkStart w:id="4" w:name="PE"/>
      <w:r w:rsidRPr="00E91DEC">
        <w:rPr>
          <w:vanish/>
        </w:rPr>
        <w:t>PE753.522</w:t>
      </w:r>
      <w:bookmarkEnd w:id="4"/>
    </w:p>
    <w:p w:rsidR="008F45B4" w:rsidRPr="00E91DEC" w:rsidRDefault="00B57C5C" w:rsidP="00FA68B7">
      <w:pPr>
        <w:pStyle w:val="ATHeading3"/>
      </w:pPr>
      <w:bookmarkStart w:id="5" w:name="Sujet"/>
      <w:r>
        <w:t xml:space="preserve">1. </w:t>
      </w:r>
      <w:r w:rsidR="008F45B4" w:rsidRPr="00E91DEC">
        <w:t xml:space="preserve">Решение на Европейския парламент от </w:t>
      </w:r>
      <w:r>
        <w:t>11 април</w:t>
      </w:r>
      <w:r w:rsidR="008F45B4" w:rsidRPr="00E91DEC">
        <w:t xml:space="preserve"> 2024 г. относно освобождаването от отговорност във връзка с изпълнението на бюджета на Европейския институт за иновации и технологии (EIT) за финансовата 2022 година</w:t>
      </w:r>
      <w:bookmarkEnd w:id="5"/>
      <w:r w:rsidR="008F45B4" w:rsidRPr="00E91DEC">
        <w:t xml:space="preserve"> </w:t>
      </w:r>
      <w:bookmarkStart w:id="6" w:name="References"/>
      <w:r w:rsidR="008F45B4" w:rsidRPr="00E91DEC">
        <w:t>(2023/2154(DEC))</w:t>
      </w:r>
      <w:bookmarkEnd w:id="6"/>
    </w:p>
    <w:p w:rsidR="005C3562" w:rsidRPr="00E91DEC" w:rsidRDefault="005C3562" w:rsidP="005C3562">
      <w:pPr>
        <w:pStyle w:val="EPComma"/>
      </w:pPr>
      <w:bookmarkStart w:id="7" w:name="TextBodyBegin"/>
      <w:bookmarkEnd w:id="7"/>
      <w:r w:rsidRPr="00E91DEC">
        <w:rPr>
          <w:i/>
        </w:rPr>
        <w:t>Европейският парламент</w:t>
      </w:r>
      <w:r w:rsidRPr="00E91DEC">
        <w:t>,</w:t>
      </w:r>
    </w:p>
    <w:p w:rsidR="005C3562" w:rsidRPr="00E91DEC" w:rsidRDefault="005C3562" w:rsidP="005C3562">
      <w:pPr>
        <w:pStyle w:val="NormalHanging12a"/>
      </w:pPr>
      <w:r w:rsidRPr="00E91DEC">
        <w:t>–</w:t>
      </w:r>
      <w:r w:rsidRPr="00E91DEC">
        <w:tab/>
        <w:t>като взе предвид окончателните годишни отчети на Европейския институт за иновации и технологии (EIT) за финансовата 2022 година,</w:t>
      </w:r>
    </w:p>
    <w:p w:rsidR="005C3562" w:rsidRPr="00E91DEC" w:rsidRDefault="005C3562" w:rsidP="005C3562">
      <w:pPr>
        <w:pStyle w:val="NormalHanging12a"/>
      </w:pPr>
      <w:r w:rsidRPr="00E91DEC">
        <w:t>–</w:t>
      </w:r>
      <w:r w:rsidRPr="00E91DEC">
        <w:tab/>
        <w:t>като взе предвид годишния доклад на Сметната палата относно агенциите на ЕС за финансовата 2022 година, придружен от отговорите на агенциите</w:t>
      </w:r>
      <w:r w:rsidRPr="00E91DEC">
        <w:rPr>
          <w:rStyle w:val="FootnoteReference"/>
        </w:rPr>
        <w:footnoteReference w:id="1"/>
      </w:r>
      <w:r w:rsidRPr="00E91DEC">
        <w:t>,</w:t>
      </w:r>
    </w:p>
    <w:p w:rsidR="005C3562" w:rsidRPr="00E91DEC" w:rsidRDefault="005C3562" w:rsidP="005C3562">
      <w:pPr>
        <w:pStyle w:val="NormalHanging12a"/>
      </w:pPr>
      <w:r w:rsidRPr="00E91DEC">
        <w:t>–</w:t>
      </w:r>
      <w:r w:rsidRPr="00E91DEC">
        <w:tab/>
        <w:t>като взе предвид декларацията за достоверност</w:t>
      </w:r>
      <w:r w:rsidRPr="00E91DEC">
        <w:rPr>
          <w:rStyle w:val="FootnoteReference"/>
        </w:rPr>
        <w:footnoteReference w:id="2"/>
      </w:r>
      <w:r w:rsidRPr="00E91DEC">
        <w:t xml:space="preserve"> относно надеждността и точността на отчетите, както и законосъобразността и редовността на свързаните с тях операции, предоставена от Сметната палата за финансовата 2022 година в съответствие с член 287 от Договора за функционирането на Европейския съюз,</w:t>
      </w:r>
    </w:p>
    <w:p w:rsidR="005C3562" w:rsidRPr="00E91DEC" w:rsidRDefault="005C3562" w:rsidP="005C3562">
      <w:pPr>
        <w:pStyle w:val="NormalHanging12a"/>
      </w:pPr>
      <w:r w:rsidRPr="00E91DEC">
        <w:t>–</w:t>
      </w:r>
      <w:r w:rsidRPr="00E91DEC">
        <w:tab/>
        <w:t>като взе предвид препоръката на Съвета от 22 февруари 2024 г. относно освобождаването от отговорност на Института във връзка с изпълнението на бюджета за финансовата 2022 година (</w:t>
      </w:r>
      <w:r w:rsidR="00D26FFE">
        <w:rPr>
          <w:lang w:val="en-GB"/>
        </w:rPr>
        <w:t>06180</w:t>
      </w:r>
      <w:r w:rsidRPr="00E91DEC">
        <w:t>/2024 – C9</w:t>
      </w:r>
      <w:r w:rsidRPr="00E91DEC">
        <w:noBreakHyphen/>
      </w:r>
      <w:r w:rsidR="00D26FFE">
        <w:rPr>
          <w:lang w:val="en-GB"/>
        </w:rPr>
        <w:t>0092</w:t>
      </w:r>
      <w:r w:rsidRPr="00E91DEC">
        <w:t>/2024),</w:t>
      </w:r>
    </w:p>
    <w:p w:rsidR="005C3562" w:rsidRPr="00E91DEC" w:rsidRDefault="005C3562" w:rsidP="005C3562">
      <w:pPr>
        <w:pStyle w:val="NormalHanging12a"/>
      </w:pPr>
      <w:r w:rsidRPr="00E91DEC">
        <w:t>–</w:t>
      </w:r>
      <w:r w:rsidRPr="00E91DEC">
        <w:tab/>
        <w:t>като взе предвид член 319 от Договора за функционирането на Европейския съюз,</w:t>
      </w:r>
    </w:p>
    <w:p w:rsidR="005C3562" w:rsidRPr="00E91DEC" w:rsidRDefault="005C3562" w:rsidP="005C3562">
      <w:pPr>
        <w:pStyle w:val="NormalHanging12a"/>
      </w:pPr>
      <w:r w:rsidRPr="00E91DEC">
        <w:t>–</w:t>
      </w:r>
      <w:r w:rsidRPr="00E91DEC">
        <w:tab/>
        <w:t xml:space="preserve">като взе предвид Регламент (ЕС, Евратом) 2018/1046 на Европейския парламент и на Съвета от 18 юли 2018 г. за финансовите правила, приложими за общия бюджет на Съюза, за изменение на регламенти (ЕС) № 1296/2013, (ЕС) № 1301/2013, (ЕС) № 1303/2013, (ЕС) № 1304/2013, (ЕС) № 1309/2013, (ЕС) № 1316/2013, (ЕС) № 223/2014 и (ЕС) № 283/2014 и на Решение № 541/2014/ЕС и </w:t>
      </w:r>
      <w:r w:rsidRPr="00E91DEC">
        <w:lastRenderedPageBreak/>
        <w:t>за отмяна на Регламент (ЕС, Евратом) № 966/2012</w:t>
      </w:r>
      <w:r w:rsidRPr="00E91DEC">
        <w:rPr>
          <w:rStyle w:val="FootnoteReference"/>
        </w:rPr>
        <w:footnoteReference w:id="3"/>
      </w:r>
      <w:r w:rsidRPr="00E91DEC">
        <w:t>, и по-специално член 70 от него,</w:t>
      </w:r>
    </w:p>
    <w:p w:rsidR="005C3562" w:rsidRPr="00E91DEC" w:rsidRDefault="005C3562" w:rsidP="005C3562">
      <w:pPr>
        <w:pStyle w:val="NormalHanging12a"/>
      </w:pPr>
      <w:r w:rsidRPr="00E91DEC">
        <w:t>–</w:t>
      </w:r>
      <w:r w:rsidRPr="00E91DEC">
        <w:tab/>
        <w:t>като взе предвид Регламент (ЕС) 2021/819 на Европейския парламент и на Съвета от 20 май 2021 г. относно Европейския институт за иновации и технологии</w:t>
      </w:r>
      <w:r w:rsidRPr="00E91DEC">
        <w:rPr>
          <w:rStyle w:val="FootnoteReference"/>
        </w:rPr>
        <w:footnoteReference w:id="4"/>
      </w:r>
      <w:r w:rsidRPr="00E91DEC">
        <w:t>, и по-специално член 23 от него,</w:t>
      </w:r>
    </w:p>
    <w:p w:rsidR="005C3562" w:rsidRPr="00E91DEC" w:rsidRDefault="005C3562" w:rsidP="005C3562">
      <w:pPr>
        <w:pStyle w:val="NormalHanging12a"/>
      </w:pPr>
      <w:r w:rsidRPr="00E91DEC">
        <w:t>–</w:t>
      </w:r>
      <w:r w:rsidRPr="00E91DEC">
        <w:tab/>
        <w:t>като взе предвид Делегиран регламент (ЕС) 2019/715 на Комисията от 18 декември 2018 г. относно рамковия финансов регламент за органите, създадени по силата на ДФЕС и Договора за Евратом и посочени в член 70 от Регламент (ЕС, Евратом) 2018/1046 на Европейския парламент и на Съвета</w:t>
      </w:r>
      <w:r w:rsidRPr="00E91DEC">
        <w:rPr>
          <w:rStyle w:val="FootnoteReference"/>
        </w:rPr>
        <w:footnoteReference w:id="5"/>
      </w:r>
      <w:r w:rsidRPr="00E91DEC">
        <w:t>, и по-специално член 105 от него,</w:t>
      </w:r>
    </w:p>
    <w:p w:rsidR="005C3562" w:rsidRPr="00E91DEC" w:rsidRDefault="005C3562" w:rsidP="005C3562">
      <w:pPr>
        <w:pStyle w:val="NormalHanging12a"/>
      </w:pPr>
      <w:r w:rsidRPr="00E91DEC">
        <w:t>–</w:t>
      </w:r>
      <w:r w:rsidRPr="00E91DEC">
        <w:tab/>
        <w:t>като взе предвид член 100 и приложение V към своя Правилник за дейността,</w:t>
      </w:r>
    </w:p>
    <w:p w:rsidR="005C3562" w:rsidRPr="00E91DEC" w:rsidRDefault="005C3562" w:rsidP="005C3562">
      <w:pPr>
        <w:pStyle w:val="NormalHanging12a"/>
      </w:pPr>
      <w:r w:rsidRPr="00E91DEC">
        <w:t>–</w:t>
      </w:r>
      <w:r w:rsidRPr="00E91DEC">
        <w:tab/>
        <w:t>като взе предвид доклада на комисията по бюджетен контрол (A9-0132/2024),</w:t>
      </w:r>
    </w:p>
    <w:p w:rsidR="005C3562" w:rsidRPr="00E91DEC" w:rsidRDefault="005C3562" w:rsidP="005C3562">
      <w:pPr>
        <w:pStyle w:val="NormalHanging12a"/>
      </w:pPr>
      <w:r w:rsidRPr="00E91DEC">
        <w:t>1.</w:t>
      </w:r>
      <w:r w:rsidRPr="00E91DEC">
        <w:tab/>
        <w:t>освобождава от отговорност директора на Европейския институт за иновации и технологии (EIT) във връзка с изпълнението на бюджета на Института за финансовата 2022 година;</w:t>
      </w:r>
    </w:p>
    <w:p w:rsidR="005C3562" w:rsidRPr="00E91DEC" w:rsidRDefault="005C3562" w:rsidP="005C3562">
      <w:pPr>
        <w:pStyle w:val="NormalHanging12a"/>
      </w:pPr>
      <w:r w:rsidRPr="00E91DEC">
        <w:t>2.</w:t>
      </w:r>
      <w:r w:rsidRPr="00E91DEC">
        <w:tab/>
        <w:t>представя своите забележки в резолюцията по-долу;</w:t>
      </w:r>
    </w:p>
    <w:p w:rsidR="005C3562" w:rsidRPr="00E91DEC" w:rsidRDefault="005C3562" w:rsidP="005C3562">
      <w:pPr>
        <w:pStyle w:val="NormalHanging12a"/>
      </w:pPr>
      <w:r w:rsidRPr="00E91DEC">
        <w:t>3.</w:t>
      </w:r>
      <w:r w:rsidRPr="00E91DEC">
        <w:tab/>
        <w:t xml:space="preserve">възлага на своя председател да предаде настоящото решение, както и резолюцията, която е неразделна част от него, на директора на Европейския институт за иновации и технологии (EIT), на Съвета, Комисията и Сметната палата и да осигури публикуването им в </w:t>
      </w:r>
      <w:r w:rsidRPr="00E91DEC">
        <w:rPr>
          <w:i/>
        </w:rPr>
        <w:t>Официален вестник на Европейския съюз</w:t>
      </w:r>
      <w:r w:rsidRPr="00E91DEC">
        <w:t xml:space="preserve"> (серия L).</w:t>
      </w:r>
    </w:p>
    <w:p w:rsidR="005C3562" w:rsidRPr="00E91DEC" w:rsidRDefault="005C3562" w:rsidP="005C3562"/>
    <w:p w:rsidR="005C3562" w:rsidRPr="00E91DEC" w:rsidRDefault="005C3562" w:rsidP="005C3562">
      <w:pPr>
        <w:widowControl/>
        <w:rPr>
          <w:rFonts w:ascii="Arial" w:hAnsi="Arial" w:cs="Arial"/>
          <w:b/>
        </w:rPr>
        <w:sectPr w:rsidR="005C3562" w:rsidRPr="00E91DEC" w:rsidSect="00E91DE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1134" w:footer="567" w:gutter="0"/>
          <w:cols w:space="720"/>
          <w:docGrid w:linePitch="326"/>
        </w:sectPr>
      </w:pPr>
    </w:p>
    <w:p w:rsidR="005C3562" w:rsidRPr="00E91DEC" w:rsidRDefault="005C3562" w:rsidP="00FA68B7">
      <w:pPr>
        <w:pStyle w:val="ATHeading3"/>
      </w:pPr>
      <w:bookmarkStart w:id="8" w:name="_Toc146809150"/>
      <w:bookmarkStart w:id="9" w:name="_Toc161937518"/>
      <w:r w:rsidRPr="00E91DEC">
        <w:lastRenderedPageBreak/>
        <w:t xml:space="preserve">2. </w:t>
      </w:r>
      <w:bookmarkEnd w:id="8"/>
      <w:bookmarkEnd w:id="9"/>
      <w:r w:rsidR="00FA68B7">
        <w:t xml:space="preserve">Решение на Европейския парламент от 11 април 2024 г. </w:t>
      </w:r>
      <w:r w:rsidRPr="00E91DEC">
        <w:t>относно приключването на сметките на Европейския институт за иновации и технологии (EIT) за финансовата 2022 година</w:t>
      </w:r>
      <w:r w:rsidR="00FA68B7">
        <w:t xml:space="preserve"> (2023</w:t>
      </w:r>
      <w:r w:rsidRPr="00E91DEC">
        <w:t>/2154(DEC))</w:t>
      </w:r>
    </w:p>
    <w:p w:rsidR="005C3562" w:rsidRPr="00E91DEC" w:rsidRDefault="005C3562" w:rsidP="005C3562">
      <w:pPr>
        <w:pStyle w:val="EPComma"/>
      </w:pPr>
      <w:r w:rsidRPr="00E91DEC">
        <w:rPr>
          <w:i/>
        </w:rPr>
        <w:t>Европейският парламент</w:t>
      </w:r>
      <w:r w:rsidRPr="00E91DEC">
        <w:t>,</w:t>
      </w:r>
    </w:p>
    <w:p w:rsidR="005C3562" w:rsidRPr="00E91DEC" w:rsidRDefault="005C3562" w:rsidP="005C3562">
      <w:pPr>
        <w:pStyle w:val="NormalHanging12a"/>
      </w:pPr>
      <w:r w:rsidRPr="00E91DEC">
        <w:t>–</w:t>
      </w:r>
      <w:r w:rsidRPr="00E91DEC">
        <w:tab/>
        <w:t>като взе предвид окончателните годишни отчети на Европейския институт за иновации и технологии (EIT) за финансовата 2022 година,</w:t>
      </w:r>
    </w:p>
    <w:p w:rsidR="005C3562" w:rsidRPr="00E91DEC" w:rsidRDefault="005C3562" w:rsidP="005C3562">
      <w:pPr>
        <w:pStyle w:val="NormalHanging12a"/>
      </w:pPr>
      <w:r w:rsidRPr="00E91DEC">
        <w:t>–</w:t>
      </w:r>
      <w:r w:rsidRPr="00E91DEC">
        <w:tab/>
        <w:t>като взе предвид годишния доклад на Сметната палата относно агенциите на ЕС за финансовата 2022 година, придружен от отговорите на агенциите</w:t>
      </w:r>
      <w:r w:rsidRPr="00E91DEC">
        <w:rPr>
          <w:rStyle w:val="FootnoteReference"/>
        </w:rPr>
        <w:footnoteReference w:id="6"/>
      </w:r>
      <w:r w:rsidRPr="00E91DEC">
        <w:t>,</w:t>
      </w:r>
    </w:p>
    <w:p w:rsidR="005C3562" w:rsidRPr="00E91DEC" w:rsidRDefault="005C3562" w:rsidP="005C3562">
      <w:pPr>
        <w:pStyle w:val="NormalHanging12a"/>
      </w:pPr>
      <w:r w:rsidRPr="00E91DEC">
        <w:t>–</w:t>
      </w:r>
      <w:r w:rsidRPr="00E91DEC">
        <w:tab/>
        <w:t>като взе предвид декларацията за достоверност</w:t>
      </w:r>
      <w:r w:rsidRPr="00E91DEC">
        <w:rPr>
          <w:rStyle w:val="FootnoteReference"/>
        </w:rPr>
        <w:footnoteReference w:id="7"/>
      </w:r>
      <w:r w:rsidRPr="00E91DEC">
        <w:t xml:space="preserve"> относно надеждността и точността на отчетите, както и законосъобразността и редовността на свързаните с тях операции, предоставена от Сметната палата за финансовата 2022 година в съответствие с член 287 от Договора за функционирането на Европейския съюз,</w:t>
      </w:r>
    </w:p>
    <w:p w:rsidR="005C3562" w:rsidRPr="00E91DEC" w:rsidRDefault="005C3562" w:rsidP="005C3562">
      <w:pPr>
        <w:pStyle w:val="NormalHanging12a"/>
      </w:pPr>
      <w:r w:rsidRPr="00E91DEC">
        <w:t>–</w:t>
      </w:r>
      <w:r w:rsidRPr="00E91DEC">
        <w:tab/>
        <w:t>като взе предвид препоръката на Съвета от 22 февруари 2024 г. относно освобождаването от отговорност на Института във връзка с изпълнението на бюджета за финансовата 2022 година (</w:t>
      </w:r>
      <w:r w:rsidR="00D26FFE">
        <w:rPr>
          <w:lang w:val="en-GB"/>
        </w:rPr>
        <w:t>06180</w:t>
      </w:r>
      <w:r w:rsidRPr="00E91DEC">
        <w:t>/2024 – C9</w:t>
      </w:r>
      <w:r w:rsidRPr="00E91DEC">
        <w:noBreakHyphen/>
      </w:r>
      <w:r w:rsidR="00D26FFE">
        <w:rPr>
          <w:lang w:val="en-GB"/>
        </w:rPr>
        <w:t>0092</w:t>
      </w:r>
      <w:r w:rsidRPr="00E91DEC">
        <w:t>/2024),</w:t>
      </w:r>
    </w:p>
    <w:p w:rsidR="005C3562" w:rsidRPr="00E91DEC" w:rsidRDefault="005C3562" w:rsidP="005C3562">
      <w:pPr>
        <w:pStyle w:val="NormalHanging12a"/>
      </w:pPr>
      <w:r w:rsidRPr="00E91DEC">
        <w:t>–</w:t>
      </w:r>
      <w:r w:rsidRPr="00E91DEC">
        <w:tab/>
        <w:t>като взе предвид член 319 от Договора за функционирането на Европейския съюз,</w:t>
      </w:r>
    </w:p>
    <w:p w:rsidR="005C3562" w:rsidRPr="00E91DEC" w:rsidRDefault="005C3562" w:rsidP="005C3562">
      <w:pPr>
        <w:pStyle w:val="NormalHanging12a"/>
      </w:pPr>
      <w:r w:rsidRPr="00E91DEC">
        <w:t>–</w:t>
      </w:r>
      <w:r w:rsidRPr="00E91DEC">
        <w:tab/>
        <w:t>като взе предвид Регламент (ЕС, Евратом) 2018/1046 на Европейския парламент и на Съвета от 18 юли 2018 г. за финансовите правила, приложими за общия бюджет на Съюза, за изменение на регламенти (ЕС) № 1296/2013, (ЕС) № 1301/2013, (ЕС) № 1303/2013, (ЕС) № 1304/2013, (ЕС) № 1309/2013, (ЕС) № 1316/2013, (ЕС) № 223/2014 и (ЕС) № 283/2014 и на Решение № 541/2014/ЕС и за отмяна на Регламент (ЕС, Евратом) № 966/2012</w:t>
      </w:r>
      <w:r w:rsidRPr="00E91DEC">
        <w:rPr>
          <w:rStyle w:val="FootnoteReference"/>
        </w:rPr>
        <w:footnoteReference w:id="8"/>
      </w:r>
      <w:r w:rsidRPr="00E91DEC">
        <w:t>, и по-специално член 70 от него,</w:t>
      </w:r>
    </w:p>
    <w:p w:rsidR="005C3562" w:rsidRPr="00E91DEC" w:rsidRDefault="005C3562" w:rsidP="005C3562">
      <w:pPr>
        <w:pStyle w:val="NormalHanging12a"/>
      </w:pPr>
      <w:r w:rsidRPr="00E91DEC">
        <w:t>–</w:t>
      </w:r>
      <w:r w:rsidRPr="00E91DEC">
        <w:tab/>
        <w:t>като взе предвид Регламент (ЕС) 2021/819 на Европейския парламент и на Съвета от 20 май 2021 г. относно Европейския институт за иновации и технологии</w:t>
      </w:r>
      <w:r w:rsidRPr="00E91DEC">
        <w:rPr>
          <w:rStyle w:val="FootnoteReference"/>
        </w:rPr>
        <w:footnoteReference w:id="9"/>
      </w:r>
      <w:r w:rsidRPr="00E91DEC">
        <w:t>, и по-специално член 23 от него,</w:t>
      </w:r>
    </w:p>
    <w:p w:rsidR="005C3562" w:rsidRPr="00E91DEC" w:rsidRDefault="005C3562" w:rsidP="005C3562">
      <w:pPr>
        <w:pStyle w:val="NormalHanging12a"/>
      </w:pPr>
      <w:r w:rsidRPr="00E91DEC">
        <w:t>–</w:t>
      </w:r>
      <w:r w:rsidRPr="00E91DEC">
        <w:tab/>
        <w:t>като взе предвид Делегиран регламент (ЕС) 2019/715 на Комисията от 18 декември 2018 г. относно рамковия финансов регламент за органите, създадени по силата на ДФЕС и Договора за Евратом и посочени в член 70 от Регламент (ЕС, Евратом) 2018/1046 на Европейския парламент и на Съвета</w:t>
      </w:r>
      <w:r w:rsidRPr="00E91DEC">
        <w:rPr>
          <w:rStyle w:val="FootnoteReference"/>
        </w:rPr>
        <w:footnoteReference w:id="10"/>
      </w:r>
      <w:r w:rsidRPr="00E91DEC">
        <w:t>, и по-специално член 105 от него,</w:t>
      </w:r>
    </w:p>
    <w:p w:rsidR="005C3562" w:rsidRPr="00E91DEC" w:rsidRDefault="005C3562" w:rsidP="005C3562">
      <w:pPr>
        <w:pStyle w:val="NormalHanging12a"/>
      </w:pPr>
      <w:r w:rsidRPr="00E91DEC">
        <w:t>–</w:t>
      </w:r>
      <w:r w:rsidRPr="00E91DEC">
        <w:tab/>
        <w:t>като взе предвид член 100 и приложение V към своя Правилник за дейността,</w:t>
      </w:r>
    </w:p>
    <w:p w:rsidR="005C3562" w:rsidRPr="00E91DEC" w:rsidRDefault="005C3562" w:rsidP="005C3562">
      <w:pPr>
        <w:pStyle w:val="NormalHanging12a"/>
      </w:pPr>
      <w:r w:rsidRPr="00E91DEC">
        <w:t>–</w:t>
      </w:r>
      <w:r w:rsidRPr="00E91DEC">
        <w:tab/>
        <w:t>като взе предвид доклада на комисията по бюджетен контрол (A9-0132/2024),</w:t>
      </w:r>
    </w:p>
    <w:p w:rsidR="005C3562" w:rsidRPr="00E91DEC" w:rsidRDefault="005C3562" w:rsidP="005C3562">
      <w:pPr>
        <w:pStyle w:val="NormalHanging12a"/>
      </w:pPr>
      <w:r w:rsidRPr="00E91DEC">
        <w:t>1.</w:t>
      </w:r>
      <w:r w:rsidRPr="00E91DEC">
        <w:tab/>
        <w:t xml:space="preserve">одобрява приключването на сметките на Европейския институт за иновации и </w:t>
      </w:r>
      <w:r w:rsidRPr="00E91DEC">
        <w:lastRenderedPageBreak/>
        <w:t>технологии (EIT) за финансовата 2022 година;</w:t>
      </w:r>
    </w:p>
    <w:p w:rsidR="005C3562" w:rsidRPr="00E91DEC" w:rsidRDefault="005C3562" w:rsidP="005C3562">
      <w:pPr>
        <w:pStyle w:val="NormalHanging12a"/>
      </w:pPr>
      <w:r w:rsidRPr="00E91DEC">
        <w:t>2.</w:t>
      </w:r>
      <w:r w:rsidRPr="00E91DEC">
        <w:tab/>
        <w:t xml:space="preserve">възлага на своя председател да предаде настоящото решение на директора на Европейския институт за иновации и технологии (EIT), на Съвета, Комисията и Сметната палата и да осигури публикуването му в </w:t>
      </w:r>
      <w:r w:rsidRPr="00E91DEC">
        <w:rPr>
          <w:i/>
        </w:rPr>
        <w:t>Официален вестник на Европейския съюз</w:t>
      </w:r>
      <w:r w:rsidRPr="00E91DEC">
        <w:t xml:space="preserve"> (серия L).</w:t>
      </w:r>
    </w:p>
    <w:p w:rsidR="005C3562" w:rsidRPr="00E91DEC" w:rsidRDefault="005C3562" w:rsidP="005C3562"/>
    <w:p w:rsidR="005C3562" w:rsidRPr="00E91DEC" w:rsidRDefault="005C3562" w:rsidP="005C3562">
      <w:pPr>
        <w:widowControl/>
        <w:rPr>
          <w:rFonts w:ascii="Arial" w:hAnsi="Arial" w:cs="Arial"/>
          <w:b/>
        </w:rPr>
        <w:sectPr w:rsidR="005C3562" w:rsidRPr="00E91DEC" w:rsidSect="00E91DEC"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docGrid w:linePitch="326"/>
        </w:sectPr>
      </w:pPr>
    </w:p>
    <w:p w:rsidR="005C3562" w:rsidRPr="00E91DEC" w:rsidRDefault="005C3562" w:rsidP="00FA68B7">
      <w:pPr>
        <w:pStyle w:val="ATHeading3"/>
      </w:pPr>
      <w:bookmarkStart w:id="10" w:name="_Toc146809151"/>
      <w:bookmarkStart w:id="11" w:name="_Toc161937519"/>
      <w:r w:rsidRPr="00E91DEC">
        <w:lastRenderedPageBreak/>
        <w:t xml:space="preserve">3. </w:t>
      </w:r>
      <w:bookmarkEnd w:id="10"/>
      <w:bookmarkEnd w:id="11"/>
      <w:r w:rsidR="00FA68B7">
        <w:t>Резолюция на Европейския парламент от 11 април 2024 г., съдържаща</w:t>
      </w:r>
      <w:r w:rsidRPr="00E91DEC">
        <w:t xml:space="preserve"> забележките, които са неразделна част от решението за освобождаване от отговорност във връзка с изпълнението на бюджета на Европейския институт за иновации и технологии (EIT) за финансовата 2022 година</w:t>
      </w:r>
      <w:r w:rsidR="00FA68B7">
        <w:t xml:space="preserve"> (2023</w:t>
      </w:r>
      <w:r w:rsidRPr="00E91DEC">
        <w:t>/2154(DEC))</w:t>
      </w:r>
    </w:p>
    <w:p w:rsidR="005C3562" w:rsidRPr="00E91DEC" w:rsidRDefault="005C3562" w:rsidP="005C3562">
      <w:pPr>
        <w:pStyle w:val="EPComma"/>
      </w:pPr>
      <w:r w:rsidRPr="00E91DEC">
        <w:rPr>
          <w:i/>
        </w:rPr>
        <w:t>Европейският парламент</w:t>
      </w:r>
      <w:r w:rsidRPr="00E91DEC">
        <w:t>,</w:t>
      </w:r>
    </w:p>
    <w:p w:rsidR="005C3562" w:rsidRPr="00E91DEC" w:rsidRDefault="005C3562" w:rsidP="005C3562">
      <w:pPr>
        <w:pStyle w:val="NormalHanging12a"/>
      </w:pPr>
      <w:r w:rsidRPr="00E91DEC">
        <w:t>–</w:t>
      </w:r>
      <w:r w:rsidRPr="00E91DEC">
        <w:tab/>
        <w:t>като взе предвид своето решение за освобождаване от отговорност във връзка с изпълнението на бюджета на Европейския институт за иновации и технологии („Института“) за финансовата 2022 година,</w:t>
      </w:r>
    </w:p>
    <w:p w:rsidR="005C3562" w:rsidRPr="00E91DEC" w:rsidRDefault="005C3562" w:rsidP="005C3562">
      <w:pPr>
        <w:pStyle w:val="NormalHanging12a"/>
      </w:pPr>
      <w:r w:rsidRPr="00E91DEC">
        <w:t>–</w:t>
      </w:r>
      <w:r w:rsidRPr="00E91DEC">
        <w:tab/>
        <w:t>като взе предвид член 100 и приложение V към своя Правилник за дейността,</w:t>
      </w:r>
    </w:p>
    <w:p w:rsidR="005C3562" w:rsidRPr="00E91DEC" w:rsidRDefault="005C3562" w:rsidP="005C3562">
      <w:pPr>
        <w:pStyle w:val="NormalHanging12a"/>
      </w:pPr>
      <w:r w:rsidRPr="00E91DEC">
        <w:t>–</w:t>
      </w:r>
      <w:r w:rsidRPr="00E91DEC">
        <w:tab/>
        <w:t>като взе предвид доклада на комисията по бюджетен контрол (A9-0132/2024),</w:t>
      </w:r>
    </w:p>
    <w:p w:rsidR="005C3562" w:rsidRPr="00E91DEC" w:rsidRDefault="005C3562" w:rsidP="005C3562">
      <w:pPr>
        <w:pStyle w:val="Default"/>
        <w:spacing w:after="240"/>
        <w:ind w:left="567" w:hanging="567"/>
        <w:rPr>
          <w:rFonts w:eastAsia="Times New Roman"/>
          <w:color w:val="auto"/>
        </w:rPr>
      </w:pPr>
      <w:r w:rsidRPr="00E91DEC">
        <w:rPr>
          <w:color w:val="auto"/>
        </w:rPr>
        <w:t>А.</w:t>
      </w:r>
      <w:r w:rsidRPr="00E91DEC">
        <w:rPr>
          <w:color w:val="auto"/>
        </w:rPr>
        <w:tab/>
        <w:t>като има предвид, че според отчета за приходите и разходите</w:t>
      </w:r>
      <w:r w:rsidRPr="00E91DEC">
        <w:rPr>
          <w:rStyle w:val="FootnoteReference"/>
          <w:rFonts w:eastAsia="Times New Roman"/>
          <w:color w:val="auto"/>
          <w:lang w:eastAsia="en-GB"/>
        </w:rPr>
        <w:footnoteReference w:id="11"/>
      </w:r>
      <w:r w:rsidRPr="00E91DEC">
        <w:rPr>
          <w:color w:val="auto"/>
        </w:rPr>
        <w:t xml:space="preserve"> на Института неговият окончателен бюджет за финансовата 2022 година възлиза на 406 585 390,99 EUR, което представлява увеличение с 12,65% спрямо 2021 г.; като има предвид, че бюджетът на Института се осигурява основно от бюджета на Съюза;</w:t>
      </w:r>
    </w:p>
    <w:p w:rsidR="005C3562" w:rsidRPr="00E91DEC" w:rsidRDefault="005C3562" w:rsidP="005C3562">
      <w:pPr>
        <w:spacing w:after="240"/>
        <w:ind w:left="567" w:hanging="567"/>
        <w:rPr>
          <w:szCs w:val="24"/>
        </w:rPr>
      </w:pPr>
      <w:r w:rsidRPr="00E91DEC">
        <w:t>Б.</w:t>
      </w:r>
      <w:r w:rsidRPr="00E91DEC">
        <w:tab/>
        <w:t>като има предвид, че в своя доклад относно годишните отчети на Института за финансовата 2022 година („доклада на Палатата“) Сметната палата („Палатата“) заявява, че е получила достатъчна увереност, че годишните отчети на Института са надеждни и че свързаните с тях операции са законосъобразни и редовни;</w:t>
      </w:r>
    </w:p>
    <w:p w:rsidR="005C3562" w:rsidRPr="00E91DEC" w:rsidRDefault="005C3562" w:rsidP="005C3562">
      <w:pPr>
        <w:spacing w:after="240"/>
        <w:ind w:left="567" w:hanging="567"/>
        <w:rPr>
          <w:b/>
          <w:i/>
          <w:szCs w:val="24"/>
        </w:rPr>
      </w:pPr>
      <w:r w:rsidRPr="00E91DEC">
        <w:rPr>
          <w:b/>
          <w:i/>
        </w:rPr>
        <w:t>Бюджетно и финансово управление</w:t>
      </w:r>
    </w:p>
    <w:p w:rsidR="005C3562" w:rsidRPr="00E91DEC" w:rsidRDefault="005C3562" w:rsidP="005C3562">
      <w:pPr>
        <w:spacing w:after="240"/>
        <w:ind w:left="567" w:hanging="567"/>
        <w:rPr>
          <w:szCs w:val="24"/>
        </w:rPr>
      </w:pPr>
      <w:r w:rsidRPr="00E91DEC">
        <w:t>1.</w:t>
      </w:r>
      <w:r w:rsidRPr="00E91DEC">
        <w:tab/>
        <w:t>отбелязва, че усилията за контрол на бюджета през финансовата 2022 година са довели до степен на изпълнение на бюджетните кредити за поети задължения за текущата година от 94,03%, което представлява намаление с 3,88% спрямо 2021 г.; отбелязва, че степента на изпълнение на бюджетните кредити за плащания за текущата година е 98,42%, което представлява намаление с 1,06% спрямо 2021 г.;</w:t>
      </w:r>
    </w:p>
    <w:p w:rsidR="005C3562" w:rsidRPr="00E91DEC" w:rsidRDefault="005C3562" w:rsidP="005C3562">
      <w:pPr>
        <w:spacing w:after="240"/>
        <w:ind w:left="567" w:hanging="567"/>
        <w:rPr>
          <w:szCs w:val="24"/>
        </w:rPr>
      </w:pPr>
      <w:r w:rsidRPr="00E91DEC">
        <w:t>2.</w:t>
      </w:r>
      <w:r w:rsidRPr="00E91DEC">
        <w:tab/>
        <w:t>отбелязва, че размерът на окончателния бюджет на Института е резултат от изменение за сума в размер на 656 930,67 EUR, прието от управителния му съвет поради промени в годишната работна програма на Института за 2022 г.;</w:t>
      </w:r>
    </w:p>
    <w:p w:rsidR="005C3562" w:rsidRPr="00E91DEC" w:rsidRDefault="005C3562" w:rsidP="005C3562">
      <w:pPr>
        <w:spacing w:after="240"/>
        <w:ind w:left="567" w:hanging="567"/>
        <w:rPr>
          <w:szCs w:val="24"/>
        </w:rPr>
      </w:pPr>
      <w:r w:rsidRPr="00E91DEC">
        <w:t>3.</w:t>
      </w:r>
      <w:r w:rsidRPr="00E91DEC">
        <w:tab/>
        <w:t xml:space="preserve">отбелязва със загриженост констатацията на Палатата относно законосъобразността и редовността на безвъзмездните средства на Института, които са били впоследствие проверени от независим външен одитор, тъй като процентът на грешки през 2021 г. беше 1,73% (спрямо 0,66% през 2020 г.), и подчертава, че въпреки че процентът на грешки все още е под прага на същественост от 2%, критичните рискове, дължащи се на увеличения бюджет, мандат и дейности в рамките на „Хоризонт Европа“, съчетани с увеличения брой на общностите на знание и иновации (ОЗИ), могат да окажат натиск върху способността на Института да упражнява ефективен надзор и контрол върху ОЗИ, </w:t>
      </w:r>
      <w:r w:rsidRPr="00E91DEC">
        <w:lastRenderedPageBreak/>
        <w:t>което би могло да доведе до по-висок процент грешки и неоткрити нередности в бъдеще; призовава Института да предприеме конкретни стъпки за намаляване на процента грешки;</w:t>
      </w:r>
    </w:p>
    <w:p w:rsidR="005C3562" w:rsidRPr="00E91DEC" w:rsidRDefault="005C3562" w:rsidP="005C3562">
      <w:pPr>
        <w:spacing w:after="240"/>
        <w:ind w:left="567" w:hanging="567"/>
        <w:rPr>
          <w:szCs w:val="24"/>
        </w:rPr>
      </w:pPr>
      <w:r w:rsidRPr="00E91DEC">
        <w:t>4.</w:t>
      </w:r>
      <w:r w:rsidRPr="00E91DEC">
        <w:tab/>
        <w:t>отбелязва въз основа на доклада на Палатата, че през 2022 г. Институтът е платил лихви за просрочени плащания във връзка с безвъзмездни средства в два случая на обща стойност 32 070 EUR; отбелязва със загриженост, че и в двата случая Институтът не е наблюдавал достатъчно добре регулаторните срокове, което показва слабост в процесите на Института, свързани с плащанията;</w:t>
      </w:r>
      <w:r w:rsidRPr="00E91DEC">
        <w:rPr>
          <w:rFonts w:ascii="Calibri" w:hAnsi="Calibri"/>
          <w:color w:val="000000"/>
          <w:sz w:val="22"/>
        </w:rPr>
        <w:t xml:space="preserve"> </w:t>
      </w:r>
      <w:r w:rsidRPr="00E91DEC">
        <w:t>отбелязва, че съгласно отговора на Института на констатацията на Палатата, считано от 2023 г. той е преразгледал процедурите си за управление на безвъзмездните средства, обучил е съответния персонал и използва ИТ системата на Комисията за управление на безвъзмездните средства (eGrants), като по този начин значително е намалил вероятността от възникване на подобна грешка в бъдеще;</w:t>
      </w:r>
    </w:p>
    <w:p w:rsidR="005C3562" w:rsidRPr="00E91DEC" w:rsidRDefault="005C3562" w:rsidP="005C3562">
      <w:pPr>
        <w:spacing w:after="240"/>
        <w:ind w:left="567" w:hanging="567"/>
        <w:rPr>
          <w:b/>
          <w:i/>
          <w:szCs w:val="24"/>
        </w:rPr>
      </w:pPr>
      <w:r w:rsidRPr="00E91DEC">
        <w:rPr>
          <w:b/>
          <w:i/>
        </w:rPr>
        <w:t>Резултати от дейността</w:t>
      </w:r>
    </w:p>
    <w:p w:rsidR="005C3562" w:rsidRPr="00E91DEC" w:rsidRDefault="005C3562" w:rsidP="005C3562">
      <w:pPr>
        <w:autoSpaceDE w:val="0"/>
        <w:autoSpaceDN w:val="0"/>
        <w:adjustRightInd w:val="0"/>
        <w:spacing w:after="240"/>
        <w:ind w:left="567" w:hanging="567"/>
        <w:rPr>
          <w:szCs w:val="24"/>
        </w:rPr>
      </w:pPr>
      <w:r w:rsidRPr="00E91DEC">
        <w:t>5.</w:t>
      </w:r>
      <w:r w:rsidRPr="00E91DEC">
        <w:tab/>
        <w:t>отбелязва със задоволство, че Институтът използва система от ключови показатели за резултатите от дейността, свързани с оперативните дейности, управлението и институционалната комуникация; отбелязва освен това, че Институтът е изпълнил с известни закъснения приблизително 95% от работната си програма за 2022 г.; отбелязва, че в рамките на Новата европейска програма за иновации на Института бяха възложени нови дейности, които не бяха включени в първоначалния план и не бяха отпуснати допълнителни ресурси за изпълнението на тези дейности;</w:t>
      </w:r>
    </w:p>
    <w:p w:rsidR="005C3562" w:rsidRPr="00E91DEC" w:rsidRDefault="005C3562" w:rsidP="005C3562">
      <w:pPr>
        <w:autoSpaceDE w:val="0"/>
        <w:autoSpaceDN w:val="0"/>
        <w:adjustRightInd w:val="0"/>
        <w:spacing w:after="240"/>
        <w:ind w:left="567" w:hanging="567"/>
        <w:rPr>
          <w:szCs w:val="24"/>
        </w:rPr>
      </w:pPr>
      <w:r w:rsidRPr="00E91DEC">
        <w:t>6.</w:t>
      </w:r>
      <w:r w:rsidRPr="00E91DEC">
        <w:tab/>
        <w:t>приветства факта, че Институтът е продължил да увеличава въздействието си през 2022 г., като е допринесъл за почти 1 670 иновативни продукта и услуги, обучил е хиляди предприемачи и е подкрепил 5 600 новосъздадени и разрастващи се предприятия, които са привлекли инвестиции в размер на близо 6 милиарда евро; отбелязва освен това, че Институтът е приключил интегрирането си в „Хоризонт Европа“, след като е преминал към многогодишен модел на финансиране;</w:t>
      </w:r>
    </w:p>
    <w:p w:rsidR="005C3562" w:rsidRPr="00E91DEC" w:rsidRDefault="005C3562" w:rsidP="005C3562">
      <w:pPr>
        <w:autoSpaceDE w:val="0"/>
        <w:autoSpaceDN w:val="0"/>
        <w:adjustRightInd w:val="0"/>
        <w:spacing w:after="240"/>
        <w:ind w:left="567" w:hanging="567"/>
        <w:rPr>
          <w:szCs w:val="24"/>
        </w:rPr>
      </w:pPr>
      <w:r w:rsidRPr="00E91DEC">
        <w:t>7.</w:t>
      </w:r>
      <w:r w:rsidRPr="00E91DEC">
        <w:tab/>
        <w:t>отбелязва, че Институтът е постигнал напредък в изпълнението на пилотната инициатива „Изграждане на иновационен капацитет за висше образование“, започната през 2021 г., като е увеличил интереса и участието на висшите учебни заведения; отбелязва, че Институтът е изтъкнат като един от най-важните участници с принос за европейската екосистема за иновации предвид започването на неговата инициатива „Таланти в областта на дълбоките технологии“, чиято цел е през следващите три години най-малко 1 милион таланти да придобият умения, да се преквалифицират и да повишат квалификацията си;</w:t>
      </w:r>
    </w:p>
    <w:p w:rsidR="005C3562" w:rsidRPr="00E91DEC" w:rsidRDefault="005C3562" w:rsidP="005C3562">
      <w:pPr>
        <w:autoSpaceDE w:val="0"/>
        <w:autoSpaceDN w:val="0"/>
        <w:adjustRightInd w:val="0"/>
        <w:spacing w:after="240"/>
        <w:ind w:left="567" w:hanging="567"/>
        <w:rPr>
          <w:szCs w:val="24"/>
        </w:rPr>
      </w:pPr>
      <w:r w:rsidRPr="00E91DEC">
        <w:t>8.</w:t>
      </w:r>
      <w:r w:rsidRPr="00E91DEC">
        <w:tab/>
        <w:t>приветства факта, че Институтът подкрепи народа на Украйна след незаконното и непровокирано нашествие на Русия през февруари 2022 г., като предостави помощ на студенти, предприемачи, изследователи, висши учебни заведения и предприятия; отбелязва освен това, че Институтът откри Академията на Европейския алианс за акумулаторните батерии в рамките на програмата „Помощ за възстановяване в полза на сближаването и териториите на Европа“, която е първото значимо по размер разпределение на средства от друга програма за Института;</w:t>
      </w:r>
    </w:p>
    <w:p w:rsidR="005C3562" w:rsidRPr="00E91DEC" w:rsidRDefault="005C3562" w:rsidP="005C3562">
      <w:pPr>
        <w:autoSpaceDE w:val="0"/>
        <w:autoSpaceDN w:val="0"/>
        <w:adjustRightInd w:val="0"/>
        <w:spacing w:after="240"/>
        <w:ind w:left="567" w:hanging="567"/>
        <w:rPr>
          <w:b/>
          <w:i/>
          <w:szCs w:val="24"/>
        </w:rPr>
      </w:pPr>
      <w:r w:rsidRPr="00E91DEC">
        <w:rPr>
          <w:b/>
          <w:i/>
        </w:rPr>
        <w:lastRenderedPageBreak/>
        <w:t>Ефикасност и успехи</w:t>
      </w:r>
    </w:p>
    <w:p w:rsidR="005C3562" w:rsidRPr="00E91DEC" w:rsidRDefault="005C3562" w:rsidP="005C3562">
      <w:pPr>
        <w:autoSpaceDE w:val="0"/>
        <w:autoSpaceDN w:val="0"/>
        <w:adjustRightInd w:val="0"/>
        <w:spacing w:after="240"/>
        <w:ind w:left="567" w:hanging="567"/>
        <w:rPr>
          <w:szCs w:val="24"/>
        </w:rPr>
      </w:pPr>
      <w:r w:rsidRPr="00E91DEC">
        <w:t>9.</w:t>
      </w:r>
      <w:r w:rsidRPr="00E91DEC">
        <w:tab/>
        <w:t>отбелязва, че Институтът е подписал меморандум за разбирателство с Агенцията на Европейския съюз за обучение в областта на правоприлагането, който обхваща няколко съвместни дейности и оценки на сигурността; припомня, че съвместните дейности обединяват различни гледни точки, намаляват дублирането на усилия, стимулират ученето и укрепват отношенията между участниците; отбелязва освен това, че за да повиши своята ефективност, Институтът е започнал да осъществява прехода си от „Хоризонт 2020“ към „Хоризонт Европа“ през 2021 г. и го е приключил през 2022 г. в сътрудничество с Комисията;</w:t>
      </w:r>
    </w:p>
    <w:p w:rsidR="005C3562" w:rsidRPr="00E91DEC" w:rsidRDefault="005C3562" w:rsidP="005C3562">
      <w:pPr>
        <w:autoSpaceDE w:val="0"/>
        <w:autoSpaceDN w:val="0"/>
        <w:adjustRightInd w:val="0"/>
        <w:spacing w:after="240"/>
        <w:ind w:left="567" w:hanging="567"/>
        <w:rPr>
          <w:szCs w:val="24"/>
        </w:rPr>
      </w:pPr>
      <w:r w:rsidRPr="00E91DEC">
        <w:t>10.</w:t>
      </w:r>
      <w:r w:rsidRPr="00E91DEC">
        <w:tab/>
        <w:t>отбелязва, че Институтът е приел различни прегледи на ефективността на процесите, в резултат на което, наред с другото, са били адаптирани длъжностните характеристики, целите на служителите и разпределението на задачите и ресурсите; отбелязва, че през 2022 г. Институтът е извършил преструктуриране и е приел, наред с други мерки, документ, озаглавен „Way of Working“ (Организация на работата), с цел повишаване на ефективността, например за използването на електронната поща, заседанията и работата от разстояние;</w:t>
      </w:r>
    </w:p>
    <w:p w:rsidR="005C3562" w:rsidRPr="00E91DEC" w:rsidRDefault="005C3562" w:rsidP="005C3562">
      <w:pPr>
        <w:autoSpaceDE w:val="0"/>
        <w:autoSpaceDN w:val="0"/>
        <w:adjustRightInd w:val="0"/>
        <w:spacing w:after="240"/>
        <w:ind w:left="567" w:hanging="567"/>
        <w:rPr>
          <w:szCs w:val="24"/>
        </w:rPr>
      </w:pPr>
      <w:r w:rsidRPr="00E91DEC">
        <w:t>11.</w:t>
      </w:r>
      <w:r w:rsidRPr="00E91DEC">
        <w:tab/>
        <w:t>приветства факта, че през 2022 г. са внедрени нови ИТ инструменти в подкрепа на административните операции на Института с крайната цел да се повиши оперативната ефикасност и ефективност на организацията, включително инструмента за възлагане на обществени поръчки PPMT, Q-Sign (електронен подпис) и въвеждането на различни модули на информационната система на Европейската комисия за управление на човешките ресурси (SYSPER); приканва Института да набележи и други вътрешни процедури, които биха могли да бъдат рационализирани чрез ИТ инструменти;</w:t>
      </w:r>
    </w:p>
    <w:p w:rsidR="005C3562" w:rsidRPr="00E91DEC" w:rsidRDefault="005C3562" w:rsidP="005C3562">
      <w:pPr>
        <w:pStyle w:val="NormalHanging12a"/>
      </w:pPr>
      <w:r w:rsidRPr="00E91DEC">
        <w:t>12.</w:t>
      </w:r>
      <w:r w:rsidRPr="00E91DEC">
        <w:tab/>
        <w:t>припомня, че е важно да се увеличи цифровизацията на Института по отношение на вътрешното функциониране и управление, но също така и с цел ускоряване на цифровизацията на процедурите; подчертава необходимостта Институтът да продължи да бъде проактивен в това отношение, за да се избегне цифрово разделение между агенциите на Съюза; обръща все пак внимание, че трябва да се предприемат всички необходими мерки за сигурност, за да се избегне всякакъв риск за онлайн сигурността на обработваната информация; настоява, че е необходимо да се засили борбата срещу кибератаките и опитите за проникване, и особено идващите от Русия или от Китай;</w:t>
      </w:r>
    </w:p>
    <w:p w:rsidR="005C3562" w:rsidRPr="00E91DEC" w:rsidRDefault="005C3562" w:rsidP="005C3562">
      <w:pPr>
        <w:spacing w:after="240"/>
        <w:ind w:left="567" w:hanging="567"/>
        <w:rPr>
          <w:szCs w:val="24"/>
        </w:rPr>
      </w:pPr>
      <w:r w:rsidRPr="00E91DEC">
        <w:rPr>
          <w:b/>
          <w:i/>
        </w:rPr>
        <w:t>Политика относно персонала</w:t>
      </w:r>
    </w:p>
    <w:p w:rsidR="005C3562" w:rsidRPr="00E91DEC" w:rsidRDefault="005C3562" w:rsidP="005C3562">
      <w:pPr>
        <w:autoSpaceDE w:val="0"/>
        <w:autoSpaceDN w:val="0"/>
        <w:adjustRightInd w:val="0"/>
        <w:spacing w:after="240"/>
        <w:ind w:left="567" w:hanging="567"/>
        <w:rPr>
          <w:szCs w:val="24"/>
        </w:rPr>
      </w:pPr>
      <w:r w:rsidRPr="00E91DEC">
        <w:t>13.</w:t>
      </w:r>
      <w:r w:rsidRPr="00E91DEC">
        <w:tab/>
        <w:t>отбелязва, че към 31 декември 2022 г. щатното разписание е изпълнено на 93%, като са назначени 40 срочно наети служители от общо 45 длъжности за тази категория служители, разрешени съгласно бюджета на Съюза (същият брой разрешени длъжности, както през 2021 г.); отбелязва, че освен това през 2022 г. за Института са работили 25 договорно наети служители, десет срочно наети служители и един командирован национален експерт;</w:t>
      </w:r>
    </w:p>
    <w:p w:rsidR="005C3562" w:rsidRPr="00E91DEC" w:rsidRDefault="005C3562" w:rsidP="005C3562">
      <w:pPr>
        <w:autoSpaceDE w:val="0"/>
        <w:autoSpaceDN w:val="0"/>
        <w:adjustRightInd w:val="0"/>
        <w:spacing w:after="240"/>
        <w:ind w:left="567" w:hanging="567"/>
        <w:rPr>
          <w:bCs/>
          <w:szCs w:val="24"/>
        </w:rPr>
      </w:pPr>
      <w:r w:rsidRPr="00E91DEC">
        <w:t>14.</w:t>
      </w:r>
      <w:r w:rsidRPr="00E91DEC">
        <w:tab/>
        <w:t xml:space="preserve">изразява загриженост във връзка с факта, че постоянният недостиг на служители в Института, както подчертава Палатата в своите годишни доклади, не се компенсира чрез предоставянето на допълнителни длъжности; подчертава, че в </w:t>
      </w:r>
      <w:r w:rsidRPr="00E91DEC">
        <w:lastRenderedPageBreak/>
        <w:t>началото на 2023 г. Институтът отново е поискал допълнителните десет длъжности, благодарение на които би могъл да изпълни работната си програма за 2024 г.; обръща внимание, че е необходимо ресурсите на Института да бъдат приведени в съответствие с очакванията във връзка с неговия мандат;</w:t>
      </w:r>
    </w:p>
    <w:p w:rsidR="005C3562" w:rsidRPr="00E91DEC" w:rsidRDefault="005C3562" w:rsidP="005C3562">
      <w:pPr>
        <w:autoSpaceDE w:val="0"/>
        <w:autoSpaceDN w:val="0"/>
        <w:adjustRightInd w:val="0"/>
        <w:spacing w:after="240"/>
        <w:ind w:left="567" w:hanging="567"/>
        <w:rPr>
          <w:szCs w:val="24"/>
        </w:rPr>
      </w:pPr>
      <w:r w:rsidRPr="00E91DEC">
        <w:t>15.</w:t>
      </w:r>
      <w:r w:rsidRPr="00E91DEC">
        <w:tab/>
        <w:t>отбелязва разпределението по пол сред висшите и средните ръководни длъжности в Института, като петима от общо осем служители са мъже; изразява загриженост относно баланса между половете в управителния съвет, където деветима от общо 14 служители са мъже; отбелязва разпределението по пол сред служителите на Института като цяло, като 28 от общо 65 служители са мъже; отбелязва, че политиката и планът за действие на Института в областта на равенството между половете са одобрени през 2022 г.; припомня, че е важно да се осигури баланс между половете, и призовава Института да взема предвид този аспект при бъдещо набиране и назначение на служители в рамките на висшето и средното си ръководство; призовава Комисията, при номинирането на своите членове в управителния съвет на Института, да взема предвид, че е важно да се осигури баланс между половете;</w:t>
      </w:r>
    </w:p>
    <w:p w:rsidR="005C3562" w:rsidRPr="00E91DEC" w:rsidRDefault="005C3562" w:rsidP="005C3562">
      <w:pPr>
        <w:pStyle w:val="NormalHanging12a"/>
      </w:pPr>
      <w:r w:rsidRPr="00E91DEC">
        <w:t>16.</w:t>
      </w:r>
      <w:r w:rsidRPr="00E91DEC">
        <w:tab/>
        <w:t>изразява загриженост относно географския баланс сред висшето и средното ръководство на Института, тъй като има само един ръководител от Централна и Източна Европа; настоява, че трябва да се направят подобрения; изисква от Института да докладва за това на органа по освобождаване от отговорност;</w:t>
      </w:r>
    </w:p>
    <w:p w:rsidR="005C3562" w:rsidRPr="00E91DEC" w:rsidRDefault="005C3562" w:rsidP="005C3562">
      <w:pPr>
        <w:autoSpaceDE w:val="0"/>
        <w:autoSpaceDN w:val="0"/>
        <w:adjustRightInd w:val="0"/>
        <w:spacing w:after="240"/>
        <w:ind w:left="567" w:hanging="567"/>
        <w:rPr>
          <w:szCs w:val="24"/>
        </w:rPr>
      </w:pPr>
      <w:r w:rsidRPr="00E91DEC">
        <w:t>17.</w:t>
      </w:r>
      <w:r w:rsidRPr="00E91DEC">
        <w:tab/>
        <w:t>приветства инициативите на Института за укрепване на значението на баланса между половете, като програмата „Girls Go Circular“, на училищно равнище, и програмата „Supernovas“, която насърчава предприемачеството и лидерството на жените; отбелязва освен това, че през 2023 г. Институтът е приел Хартата за многообразие и приобщаване на Мрежата на агенциите на ЕС, потвърждавайки ангажимента си за осигуряване на равни възможности на всеки етап от кариерата и за създаването на пълноценна работна среда, в която многообразието се възприема като източник на иновации, обогатяване и творчество и в която приобщаването се насърчава от ръководителите и от всички служители;</w:t>
      </w:r>
    </w:p>
    <w:p w:rsidR="005C3562" w:rsidRPr="00E91DEC" w:rsidRDefault="005C3562" w:rsidP="005C3562">
      <w:pPr>
        <w:autoSpaceDE w:val="0"/>
        <w:autoSpaceDN w:val="0"/>
        <w:adjustRightInd w:val="0"/>
        <w:spacing w:after="240"/>
        <w:ind w:left="567" w:hanging="567"/>
        <w:rPr>
          <w:szCs w:val="24"/>
        </w:rPr>
      </w:pPr>
      <w:r w:rsidRPr="00E91DEC">
        <w:t>18</w:t>
      </w:r>
      <w:r w:rsidR="00142AD4">
        <w:t>.</w:t>
      </w:r>
      <w:r w:rsidRPr="00E91DEC">
        <w:tab/>
        <w:t>отбелязва, че Институтът е внедрил по-голямата част от модулите SYSPER през 2022 г. и ще продължи през 2023 г.; отбелязва, че Институтът е приел Хартата на Мрежата на агенциите на ЕС за многообразие и приобщаване, което показва неговия ангажимент по отношение на осигуряването на равни възможности и създаването на пълноценна работна среда; отбелязва освен това, че Институтът е предприел няколко мерки за подобряване на благосъстоянието на своите служители на работното място и на равновесието между професионалния и личния живот, които обхващат, наред с другото, разходите за обществен транспорт, записването на децата им в международни детски градини, гъвкавите и хибридни условия на труд;</w:t>
      </w:r>
    </w:p>
    <w:p w:rsidR="005C3562" w:rsidRPr="00E91DEC" w:rsidRDefault="005C3562" w:rsidP="005C3562">
      <w:pPr>
        <w:pStyle w:val="NormalHanging12a"/>
      </w:pPr>
      <w:r w:rsidRPr="00E91DEC">
        <w:t>19.</w:t>
      </w:r>
      <w:r w:rsidRPr="00E91DEC">
        <w:tab/>
        <w:t>отбелязва, че в рамките на програмата за карта на обучението, разработена във връзка с необходимостта Институтът и неговите служители да подобрят общите резултати от дейността, Институтът е продължил да предлага онлайн обучения за своите служители, включително на теми като етика и почтеност, предотвратяване на тормоза, защита на данните, ефективност при комбинирани заседания, осведоменост по въпросите на информационната сигурност и обучение по сигурност;</w:t>
      </w:r>
    </w:p>
    <w:p w:rsidR="005C3562" w:rsidRPr="00E91DEC" w:rsidRDefault="005C3562" w:rsidP="005C3562">
      <w:pPr>
        <w:pStyle w:val="NormalHanging12a"/>
      </w:pPr>
      <w:r w:rsidRPr="00E91DEC">
        <w:lastRenderedPageBreak/>
        <w:t>20.</w:t>
      </w:r>
      <w:r w:rsidRPr="00E91DEC">
        <w:tab/>
        <w:t>приветства факта, че успешно са били публикувани две покани за стажове през 2022 г.; отбелязва, че в резултат на това общо 23-ма млади специалисти са се възползвали от възможности за стаж в Института, като са започнали или завършили стажовете си през 2022 г.;</w:t>
      </w:r>
    </w:p>
    <w:p w:rsidR="005C3562" w:rsidRPr="00E91DEC" w:rsidRDefault="005C3562" w:rsidP="005C3562">
      <w:pPr>
        <w:autoSpaceDE w:val="0"/>
        <w:autoSpaceDN w:val="0"/>
        <w:adjustRightInd w:val="0"/>
        <w:spacing w:after="240"/>
        <w:ind w:left="567" w:hanging="567"/>
        <w:rPr>
          <w:szCs w:val="24"/>
        </w:rPr>
      </w:pPr>
      <w:r w:rsidRPr="00E91DEC">
        <w:t>21.</w:t>
      </w:r>
      <w:r w:rsidRPr="00E91DEC">
        <w:tab/>
        <w:t>отбелязва, че един бивш член на Комисията и един бивш член на Европейския парламент, като членове на управителния съвет на Института, получават възнаграждение от бюджета на Института в размер на 2 000 EUR за всяко посетено заседание на управителния съвет;</w:t>
      </w:r>
    </w:p>
    <w:p w:rsidR="005C3562" w:rsidRPr="00E91DEC" w:rsidRDefault="005C3562" w:rsidP="005C3562">
      <w:pPr>
        <w:pStyle w:val="NormalHanging12a"/>
      </w:pPr>
      <w:r w:rsidRPr="00E91DEC">
        <w:t>22.</w:t>
      </w:r>
      <w:r w:rsidRPr="00E91DEC">
        <w:tab/>
        <w:t>изразява загриженост, че през 2022 г. е докладвано за един случай на тормоз, като е започнато административно разследване, което все още не е приключило; призовава Института да докладва възможно най-скоро на органа по освобождаване от отговорност за развитието в това отношение; отбелязва, че Институтът прилага политика за защита на личното достойнство и предотвратяване на психическия и сексуалния тормоз и че Институтът участва в междуведомствената работна група от доверени съветници; очаква с нетърпение да получи техния доклад и препоръки;</w:t>
      </w:r>
    </w:p>
    <w:p w:rsidR="005C3562" w:rsidRPr="00E91DEC" w:rsidRDefault="005C3562" w:rsidP="005C3562">
      <w:pPr>
        <w:spacing w:after="240"/>
        <w:ind w:left="567" w:hanging="567"/>
        <w:rPr>
          <w:b/>
          <w:i/>
          <w:szCs w:val="24"/>
        </w:rPr>
      </w:pPr>
      <w:r w:rsidRPr="00E91DEC">
        <w:rPr>
          <w:b/>
          <w:i/>
        </w:rPr>
        <w:t>Предотвратяване и управление на конфликти на интереси и прозрачност</w:t>
      </w:r>
    </w:p>
    <w:p w:rsidR="005C3562" w:rsidRPr="00E91DEC" w:rsidRDefault="005C3562" w:rsidP="005C3562">
      <w:pPr>
        <w:spacing w:after="240"/>
        <w:ind w:left="567" w:hanging="567"/>
        <w:rPr>
          <w:szCs w:val="24"/>
        </w:rPr>
      </w:pPr>
      <w:r w:rsidRPr="00E91DEC">
        <w:t>23.</w:t>
      </w:r>
      <w:r w:rsidRPr="00E91DEC">
        <w:tab/>
        <w:t>отбелязва съществуващите мерки и продължаващите усилия на Института за осигуряване на прозрачност, предотвратяване и управление на конфликтите на интереси, както и гарантиране на защита за лицата, подаващи сигнали за нередности; отбелязва, че Институтът е публикувал на своя уебсайт декларациите за интереси и автобиографиите на членовете на своя управителния съвет и на ръководния си екип;</w:t>
      </w:r>
      <w:r w:rsidRPr="00E91DEC">
        <w:rPr>
          <w:rFonts w:ascii="Calibri" w:hAnsi="Calibri"/>
          <w:color w:val="1F497D"/>
          <w:sz w:val="22"/>
        </w:rPr>
        <w:t xml:space="preserve"> </w:t>
      </w:r>
      <w:r w:rsidRPr="00E91DEC">
        <w:t>отбелязва освен това, че Институтът публикува на своя уебсайт информация за всички срещи, проведени от неговия управителен съвет и от ръководния му екип по време на публични мероприятия, както и за заседанията за всеки месец;</w:t>
      </w:r>
    </w:p>
    <w:p w:rsidR="005C3562" w:rsidRPr="00E91DEC" w:rsidRDefault="005C3562" w:rsidP="005C3562">
      <w:pPr>
        <w:spacing w:after="240"/>
        <w:ind w:left="567" w:hanging="567"/>
        <w:rPr>
          <w:szCs w:val="24"/>
        </w:rPr>
      </w:pPr>
      <w:r w:rsidRPr="00E91DEC">
        <w:t>24.</w:t>
      </w:r>
      <w:r w:rsidRPr="00E91DEC">
        <w:tab/>
        <w:t>отбелязва, че Институтът е приел политика по отношение на предотвратяването и управлението на конфликти на интереси за служителите, включително процедури за изготвяне и оценка на годишните декларации за интереси и процедура, уреждаща нарушенията на правилата на Института относно декларациите за интереси; отбелязва освен това, че Институтът е създал консултативен комитет, който разглежда въпроси, свързани с конфликтите на интереси, осигурил е сесии за повишаване на осведомеността на своите служители по въпросите на етиката и почтеността и разработва решение относно образците и административните процедури, свързани с конфликтите на интереси;</w:t>
      </w:r>
    </w:p>
    <w:p w:rsidR="005C3562" w:rsidRPr="00E91DEC" w:rsidRDefault="005C3562" w:rsidP="005C3562">
      <w:pPr>
        <w:spacing w:after="240"/>
        <w:ind w:left="567" w:hanging="567"/>
        <w:rPr>
          <w:szCs w:val="24"/>
        </w:rPr>
      </w:pPr>
      <w:r w:rsidRPr="00E91DEC">
        <w:t>25.</w:t>
      </w:r>
      <w:r w:rsidRPr="00E91DEC">
        <w:tab/>
        <w:t>приветства усилията на Института по отношение на декларациите за интереси на членовете на неговия управителен съвет, като се изготвят три различни декларации: годишната декларация за интереси, декларацията за интереси относно оценката на предложенията на ОЗИ и декларацията за интереси относно бизнес плана на ОЗИ; отбелязва, че с помощта на годишната декларация за интереси са били установени ситуации на конфликт на интереси по отношение на някои членове на управителния съвет, вследствие на което те са били информирани и са били приети смекчаващи мерки;</w:t>
      </w:r>
    </w:p>
    <w:p w:rsidR="005C3562" w:rsidRPr="00E91DEC" w:rsidRDefault="005C3562" w:rsidP="005C3562">
      <w:pPr>
        <w:spacing w:after="240"/>
        <w:ind w:left="567" w:hanging="567"/>
        <w:rPr>
          <w:szCs w:val="24"/>
        </w:rPr>
      </w:pPr>
      <w:r w:rsidRPr="00E91DEC">
        <w:t>26.</w:t>
      </w:r>
      <w:r w:rsidRPr="00E91DEC">
        <w:tab/>
        <w:t xml:space="preserve">отбелязва, че Институтът работи по изготвянето на нова политика за оценка на </w:t>
      </w:r>
      <w:r w:rsidRPr="00E91DEC">
        <w:lastRenderedPageBreak/>
        <w:t>ограниченията и забраните след приключване на трудовите правоотношения за висшите служители да заемат определени длъжности след изтичането на техния мандат; отбелязва, че политиката ще уточни длъжностите, които е забранено да бъдат заемани след края на мандата, както и критериите за това кога тази политика забранява подобни премествания в бъдеще, с ограничение от две години; приветства факта, че Институтът също така ще приеме в началото на 2024 г. политика или решение относно корупцията, с което ще постави основите за разработване на вътрешни механизми за борба с корупцията, които да бъдат приложени;</w:t>
      </w:r>
    </w:p>
    <w:p w:rsidR="005C3562" w:rsidRPr="00E91DEC" w:rsidRDefault="005C3562" w:rsidP="005C3562">
      <w:pPr>
        <w:pStyle w:val="NormalHanging12a"/>
        <w:rPr>
          <w:b/>
          <w:i/>
        </w:rPr>
      </w:pPr>
      <w:r w:rsidRPr="00E91DEC">
        <w:t>27.</w:t>
      </w:r>
      <w:r w:rsidRPr="00E91DEC">
        <w:tab/>
        <w:t>отбелязва факта, че Европейската служба за борба с измамите (OLAF) е издала две препоръки след две различни разследвания, като една от двете препоръки е изпълнена през 2022 г., а другата препоръка понастоящем е в процес на изпълнение; изисква от Института да докладва на органа по освобождаване от отговорност като част от последващите действия във връзка с тези препоръки;</w:t>
      </w:r>
    </w:p>
    <w:p w:rsidR="005C3562" w:rsidRPr="00E91DEC" w:rsidRDefault="005C3562" w:rsidP="005C3562">
      <w:pPr>
        <w:pStyle w:val="NormalHanging12a"/>
      </w:pPr>
      <w:r w:rsidRPr="00E91DEC">
        <w:t>28.</w:t>
      </w:r>
      <w:r w:rsidRPr="00E91DEC">
        <w:tab/>
        <w:t>припомня, че е важно Институтът да работи за постигането на по-голяма видимост в медиите, в интернет и в социалните медии, за да популяризира своята работа сред гражданите;</w:t>
      </w:r>
    </w:p>
    <w:p w:rsidR="005C3562" w:rsidRPr="00E91DEC" w:rsidRDefault="005C3562" w:rsidP="005C3562">
      <w:pPr>
        <w:spacing w:after="240"/>
        <w:ind w:left="567" w:hanging="567"/>
        <w:rPr>
          <w:b/>
          <w:i/>
          <w:szCs w:val="24"/>
        </w:rPr>
      </w:pPr>
      <w:r w:rsidRPr="00E91DEC">
        <w:rPr>
          <w:b/>
          <w:i/>
        </w:rPr>
        <w:t>Обществени поръчки</w:t>
      </w:r>
    </w:p>
    <w:p w:rsidR="005C3562" w:rsidRPr="00E91DEC" w:rsidRDefault="005C3562" w:rsidP="005C3562">
      <w:pPr>
        <w:spacing w:after="240"/>
        <w:ind w:left="567" w:hanging="567"/>
        <w:rPr>
          <w:szCs w:val="24"/>
        </w:rPr>
      </w:pPr>
      <w:r w:rsidRPr="00E91DEC">
        <w:t>29.</w:t>
      </w:r>
      <w:r w:rsidRPr="00E91DEC">
        <w:tab/>
        <w:t>отбелязва факта, че за три одитирани административни плащания, възлизащи на 337 116 EUR Институтът е разрешил поемането на бюджетни задължения едва след подписването на съответните правни задължения; подчертава, че това не е изолиран случай, тъй като Палатата вече отбеляза подобен проблем в своя доклад за 2021 г.; припомня, че това представлява нарушение на член 73, параграф 2 от Делегиран регламент (ЕС) 2019/715 на Комисията</w:t>
      </w:r>
      <w:r w:rsidRPr="00E91DEC">
        <w:rPr>
          <w:rStyle w:val="FootnoteReference"/>
          <w:szCs w:val="24"/>
        </w:rPr>
        <w:footnoteReference w:id="12"/>
      </w:r>
      <w:r w:rsidRPr="00E91DEC">
        <w:t xml:space="preserve"> („рамковия финансов регламент“); отбелязва въз основа на отговора на Института, че той ще предприеме допълнителни мерки, за да осигури пълно съответствие с тази разпоредба, а именно специални информационни сесии за персонала, актуализиране на съществуващите процедури и засилване на свързания с тях вътрешен контрол; настоятелно призовава Института да предприеме незабавни действия и да приложи мерки, за да гарантира, че всички финансови операции са в съответствие с рамковия финансов регламент;</w:t>
      </w:r>
    </w:p>
    <w:p w:rsidR="005C3562" w:rsidRPr="00E91DEC" w:rsidRDefault="005C3562" w:rsidP="005C3562">
      <w:pPr>
        <w:spacing w:after="240"/>
        <w:ind w:left="567" w:hanging="567"/>
        <w:rPr>
          <w:b/>
          <w:i/>
          <w:szCs w:val="24"/>
        </w:rPr>
      </w:pPr>
      <w:r w:rsidRPr="00E91DEC">
        <w:rPr>
          <w:b/>
          <w:i/>
        </w:rPr>
        <w:t>Вътрешен контрол</w:t>
      </w:r>
    </w:p>
    <w:p w:rsidR="005C3562" w:rsidRPr="00E91DEC" w:rsidRDefault="005C3562" w:rsidP="005C3562">
      <w:pPr>
        <w:spacing w:after="240"/>
        <w:ind w:left="567" w:hanging="567"/>
        <w:rPr>
          <w:szCs w:val="24"/>
        </w:rPr>
      </w:pPr>
      <w:r w:rsidRPr="00E91DEC">
        <w:t>30.</w:t>
      </w:r>
      <w:r w:rsidRPr="00E91DEC">
        <w:tab/>
        <w:t xml:space="preserve">отбелязва, че Институтът е приключил прехода на функцията на структурата за вътрешен одит към функция за наблюдение и надзор на ОЗИ, приета с Решение 12/2022 на управителния съвет, влязло в сила на 1 април 2022 г.; потвърждава, че функцията за вътрешен одит понастоящем се изпълнява от Службата за вътрешен одит на Комисията; отбелязва, че освен това ролята на координатора за вътрешния контрол е била подсилена, като задачите включват координиране на дейностите по вътрешен контрол и отчитане в Института, изпълнение на одитните препоръки, координиране на одитите, поддържане на връзка с външни одитни </w:t>
      </w:r>
      <w:r w:rsidRPr="00E91DEC">
        <w:lastRenderedPageBreak/>
        <w:t>органи и допринасяне за финансовото и оперативното управление в области като възлагането на обществени поръчки, изпълнението на договорите, плащанията и отчитането;</w:t>
      </w:r>
    </w:p>
    <w:p w:rsidR="005C3562" w:rsidRPr="00E91DEC" w:rsidRDefault="005C3562" w:rsidP="005C3562">
      <w:pPr>
        <w:spacing w:after="240"/>
        <w:ind w:left="567" w:hanging="567"/>
        <w:rPr>
          <w:szCs w:val="24"/>
        </w:rPr>
      </w:pPr>
      <w:r w:rsidRPr="00E91DEC">
        <w:t>31</w:t>
      </w:r>
      <w:r w:rsidR="00142AD4">
        <w:t>.</w:t>
      </w:r>
      <w:bookmarkStart w:id="12" w:name="_GoBack"/>
      <w:bookmarkEnd w:id="12"/>
      <w:r w:rsidRPr="00E91DEC">
        <w:tab/>
        <w:t>отбелязва, че Службата за вътрешен одит е започнала подготовка през 2022 г. за стратегическия план на Института за вътрешен одит за периода 2023 — 2025 г.; отбелязва освен това, че Службата за вътрешен одит е започнала одит, приключил през 2023 г., на управлението на експертите в Института с цел оценка на ефективността на системата за вътрешен контрол на процесите на управление на експертите, включително подбора, сключването на договори и плащанията в Института;</w:t>
      </w:r>
    </w:p>
    <w:p w:rsidR="005C3562" w:rsidRPr="00E91DEC" w:rsidRDefault="005C3562" w:rsidP="005C3562">
      <w:pPr>
        <w:spacing w:after="240"/>
        <w:ind w:left="567" w:hanging="567"/>
        <w:rPr>
          <w:szCs w:val="24"/>
        </w:rPr>
      </w:pPr>
      <w:r w:rsidRPr="00E91DEC">
        <w:t>32.</w:t>
      </w:r>
      <w:r w:rsidRPr="00E91DEC">
        <w:tab/>
        <w:t>посочва, че важна препоръка, отправена от Службата за вътрешен одит след одита на управлението на човешките ресурси от 2021 г., съсредоточена върху оценяването и прекатегоризирането, е била значително забавена с 15 месеца; отбелязва, че установените рискове включват потенциални забавяния и неефективност на дейностите, възможността за вземането на неправилно обосновани управленски решения, водещи до оспорване в рамките на процедури по обжалване или пред Съда, недоволство и демотивация на служителите, изразява загриженост, че съвместната комисия по прекатегоризиране не изпълнява своята роля, както и във връзка с цялостната загуба на доверие в процеса на прекатегоризиране и механизма за обжалване, водеща до демотивация на служителите; призовава Института да предприеме проактивни мерки за справяне с евентуални забавяния и неефективност при оценяването и прекатегоризирането и да докладва на органа по освобождаване от отговорност относно напредъка по този въпрос;</w:t>
      </w:r>
    </w:p>
    <w:p w:rsidR="005C3562" w:rsidRPr="00E91DEC" w:rsidRDefault="005C3562" w:rsidP="005C3562">
      <w:pPr>
        <w:spacing w:after="240"/>
        <w:ind w:left="567" w:hanging="567"/>
        <w:rPr>
          <w:szCs w:val="24"/>
        </w:rPr>
      </w:pPr>
      <w:r w:rsidRPr="00E91DEC">
        <w:t>33.</w:t>
      </w:r>
      <w:r w:rsidRPr="00E91DEC">
        <w:tab/>
        <w:t>отбелязва, че Институтът е увеличил взаимодействието си с OLAF, като е провел двустранни заседания и сесии за повишаване на осведомеността относно борбата с измамите; отбелязва освен това, че Институтът е въвел своята стратегия за борба с измамите за периода 2021 — 2023 г., приета през май 2021 г.;</w:t>
      </w:r>
    </w:p>
    <w:p w:rsidR="005C3562" w:rsidRPr="00E91DEC" w:rsidRDefault="005C3562" w:rsidP="005C3562">
      <w:pPr>
        <w:spacing w:after="240"/>
        <w:ind w:left="567" w:hanging="567"/>
        <w:rPr>
          <w:szCs w:val="24"/>
        </w:rPr>
      </w:pPr>
      <w:r w:rsidRPr="00E91DEC">
        <w:t>34.</w:t>
      </w:r>
      <w:r w:rsidRPr="00E91DEC">
        <w:tab/>
        <w:t>отбелязва, че Институтът е извършил оценката на риска и е направил запис в регистъра на рисковете на Института за 2022 г., след като е установил следните рискове: неизпълнение на елементи от годишната работна програма поради недостиг на човешки ресурси, неправилно изпълнение на споразуменията за ОЗИ, закъснения в процедурите на Института за възлагане на обществени поръчки и при присъединяването към ИТ системите на Комисията, наред с другото; призовава Института да докладва на органа по освобождаване от отговорност за развитието в това отношение;</w:t>
      </w:r>
    </w:p>
    <w:p w:rsidR="005C3562" w:rsidRPr="00E91DEC" w:rsidRDefault="005C3562" w:rsidP="005C3562">
      <w:pPr>
        <w:spacing w:after="240"/>
        <w:ind w:left="567" w:hanging="567"/>
        <w:rPr>
          <w:szCs w:val="24"/>
        </w:rPr>
      </w:pPr>
      <w:r w:rsidRPr="00E91DEC">
        <w:t>35.</w:t>
      </w:r>
      <w:r w:rsidRPr="00E91DEC">
        <w:tab/>
        <w:t>отбелязва въз основа на доклада на Палатата, че за поръчка за подновяване на софтуер Институтът не е извършил предварителна проверка, за да потвърди дали изпълнителят е начислил правилната цена и надбавка, както е посочено в съответното рамково споразумение, отбелязва, че това противоречи на разпоредбите на член 30 от рамковия финансов регламент относно предварителния контрол и създава риск Институтът да плати неправилно изчислени суми за получените услуги; отбелязва, че според отговора на Института при покана за оферта той ще изисква разбивка от изпълнителя, която ясно да посочва цената и надбавката, за да се оцени всеки свързан с цената риск;</w:t>
      </w:r>
    </w:p>
    <w:p w:rsidR="005C3562" w:rsidRPr="00E91DEC" w:rsidRDefault="005C3562" w:rsidP="005C3562">
      <w:pPr>
        <w:autoSpaceDE w:val="0"/>
        <w:autoSpaceDN w:val="0"/>
        <w:adjustRightInd w:val="0"/>
        <w:spacing w:after="240"/>
        <w:ind w:left="567" w:hanging="567"/>
        <w:rPr>
          <w:b/>
          <w:i/>
          <w:szCs w:val="24"/>
        </w:rPr>
      </w:pPr>
      <w:r w:rsidRPr="00E91DEC">
        <w:rPr>
          <w:b/>
          <w:i/>
        </w:rPr>
        <w:lastRenderedPageBreak/>
        <w:t>Други коментари</w:t>
      </w:r>
    </w:p>
    <w:p w:rsidR="005C3562" w:rsidRPr="00E91DEC" w:rsidRDefault="005C3562" w:rsidP="005C3562">
      <w:pPr>
        <w:spacing w:after="240"/>
        <w:ind w:left="567" w:hanging="567"/>
        <w:rPr>
          <w:szCs w:val="24"/>
        </w:rPr>
      </w:pPr>
      <w:r w:rsidRPr="00E91DEC">
        <w:t>36.</w:t>
      </w:r>
      <w:r w:rsidRPr="00E91DEC">
        <w:tab/>
        <w:t>отбелязва, че през 2022 г. Институтът е организирал прояви за повишаване на видимостта си в държавите членки и в Съюза, както и дни на отворените врати, за да информира за възможностите, предлагани в Института за потенциалните кандидати; отбелязва освен това, че Институтът е започнал и инициативата „Таланти в областта на дълбоките технологии“, която е част от Новата европейска програма за иновации и ще спомогне за придобиването на умения от страна на гражданите в технологичните области на бъдещето;</w:t>
      </w:r>
    </w:p>
    <w:p w:rsidR="005C3562" w:rsidRPr="00E91DEC" w:rsidRDefault="005C3562" w:rsidP="005C3562">
      <w:pPr>
        <w:spacing w:after="240"/>
        <w:ind w:left="567" w:hanging="567"/>
        <w:rPr>
          <w:szCs w:val="24"/>
        </w:rPr>
      </w:pPr>
      <w:r w:rsidRPr="00E91DEC">
        <w:t>37.</w:t>
      </w:r>
      <w:r w:rsidRPr="00E91DEC">
        <w:tab/>
        <w:t>отбелязва, че Институтът работи, за да се постигне статут на неутрална по отношение на климата агенция, като предприема необходимите стъпки за управление на околната среда; отбелязва, че Институтът е най-голямата иновационна екосистема на Съюза и водещ инструмент в рамките на „Хоризонт Европа“ за справяне с изменението на климата и свързаните с него въпроси; приветства действията на Института през 2022 г. за постигане на неговите цели в областта на околната среда: създаването на комитета по устойчивост, членство в подмрежата за екологизиране на Мрежата на агенциите на ЕС и честването на EITree — проява, в рамките на която различни служители засаждат дървета в градски район;</w:t>
      </w:r>
    </w:p>
    <w:p w:rsidR="005C3562" w:rsidRPr="00E91DEC" w:rsidRDefault="005C3562" w:rsidP="005C3562">
      <w:pPr>
        <w:spacing w:after="240"/>
        <w:ind w:left="567" w:hanging="567"/>
        <w:rPr>
          <w:szCs w:val="24"/>
        </w:rPr>
      </w:pPr>
      <w:r w:rsidRPr="00E91DEC">
        <w:t>38.</w:t>
      </w:r>
      <w:r w:rsidRPr="00E91DEC">
        <w:tab/>
        <w:t>отбелязва, че сертифицирането по EMAS е в средносрочния или дългосрочния дневен ред на Института;</w:t>
      </w:r>
    </w:p>
    <w:p w:rsidR="005C3562" w:rsidRPr="00E91DEC" w:rsidRDefault="005C3562" w:rsidP="005C3562">
      <w:pPr>
        <w:pStyle w:val="NormalCenter12a"/>
      </w:pPr>
      <w:r w:rsidRPr="00E91DEC">
        <w:t>°</w:t>
      </w:r>
    </w:p>
    <w:p w:rsidR="005C3562" w:rsidRPr="00E91DEC" w:rsidRDefault="005C3562" w:rsidP="005C3562">
      <w:pPr>
        <w:pStyle w:val="NormalCenter12a"/>
      </w:pPr>
      <w:r w:rsidRPr="00E91DEC">
        <w:t>°</w:t>
      </w:r>
      <w:r w:rsidRPr="00E91DEC">
        <w:tab/>
        <w:t>°</w:t>
      </w:r>
    </w:p>
    <w:p w:rsidR="005C3562" w:rsidRPr="00E91DEC" w:rsidRDefault="005C3562" w:rsidP="005C3562">
      <w:pPr>
        <w:pStyle w:val="NormalHanging12a"/>
      </w:pPr>
      <w:r w:rsidRPr="00E91DEC">
        <w:t>39.</w:t>
      </w:r>
      <w:r w:rsidRPr="00E91DEC">
        <w:tab/>
        <w:t xml:space="preserve">по отношение на други забележки, придружаващи решението за освобождаване от отговорност, които имат хоризонтален характер, препраща към своята резолюция от </w:t>
      </w:r>
      <w:r w:rsidR="00FA68B7">
        <w:rPr>
          <w:lang w:val="en-GB"/>
        </w:rPr>
        <w:t xml:space="preserve">11 </w:t>
      </w:r>
      <w:r w:rsidR="00FA68B7">
        <w:t>април</w:t>
      </w:r>
      <w:r w:rsidRPr="00E91DEC">
        <w:t xml:space="preserve"> 2024 г.</w:t>
      </w:r>
      <w:r w:rsidRPr="00E91DEC">
        <w:rPr>
          <w:rStyle w:val="FootnoteReference"/>
        </w:rPr>
        <w:footnoteReference w:id="13"/>
      </w:r>
      <w:r w:rsidRPr="00E91DEC">
        <w:t xml:space="preserve"> относно резултатите от дейността, финансовото управление и контрола на агенциите.</w:t>
      </w:r>
    </w:p>
    <w:p w:rsidR="005C3562" w:rsidRPr="00E91DEC" w:rsidRDefault="005C3562" w:rsidP="005C3562"/>
    <w:p w:rsidR="00E365E1" w:rsidRPr="00E91DEC" w:rsidRDefault="00E365E1" w:rsidP="005C3562">
      <w:bookmarkStart w:id="13" w:name="TextBodyEnd"/>
      <w:bookmarkEnd w:id="13"/>
    </w:p>
    <w:sectPr w:rsidR="00E365E1" w:rsidRPr="00E91DEC" w:rsidSect="00E91DEC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45B4" w:rsidRPr="00E91DEC" w:rsidRDefault="008F45B4">
      <w:r w:rsidRPr="00E91DEC">
        <w:separator/>
      </w:r>
    </w:p>
  </w:endnote>
  <w:endnote w:type="continuationSeparator" w:id="0">
    <w:p w:rsidR="008F45B4" w:rsidRPr="00E91DEC" w:rsidRDefault="008F45B4">
      <w:r w:rsidRPr="00E91DE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3562" w:rsidRPr="00E91DEC" w:rsidRDefault="005C3562" w:rsidP="00072C97">
    <w:pPr>
      <w:pStyle w:val="EPFooter"/>
    </w:pPr>
    <w:r w:rsidRPr="00E91DEC">
      <w:t>PE</w:t>
    </w:r>
    <w:r w:rsidRPr="00E91DEC">
      <w:rPr>
        <w:rStyle w:val="HideTWBExt"/>
      </w:rPr>
      <w:t>&lt;NoPE&gt;</w:t>
    </w:r>
    <w:r w:rsidRPr="00E91DEC">
      <w:t>753.522</w:t>
    </w:r>
    <w:r w:rsidRPr="00E91DEC">
      <w:rPr>
        <w:rStyle w:val="HideTWBExt"/>
      </w:rPr>
      <w:t>&lt;/NoPE&gt;&lt;Version&gt;</w:t>
    </w:r>
    <w:r w:rsidRPr="00E91DEC">
      <w:t>v03-00</w:t>
    </w:r>
    <w:r w:rsidRPr="00E91DEC">
      <w:rPr>
        <w:rStyle w:val="HideTWBExt"/>
      </w:rPr>
      <w:t>&lt;/Version&gt;</w:t>
    </w:r>
    <w:r w:rsidRPr="00E91DEC">
      <w:tab/>
    </w:r>
    <w:r w:rsidRPr="00E91DEC">
      <w:fldChar w:fldCharType="begin"/>
    </w:r>
    <w:r w:rsidRPr="00E91DEC">
      <w:instrText xml:space="preserve"> PAGE  \* MERGEFORMAT </w:instrText>
    </w:r>
    <w:r w:rsidRPr="00E91DEC">
      <w:fldChar w:fldCharType="separate"/>
    </w:r>
    <w:r w:rsidR="00E91DEC" w:rsidRPr="00E91DEC">
      <w:rPr>
        <w:noProof/>
      </w:rPr>
      <w:t>4</w:t>
    </w:r>
    <w:r w:rsidRPr="00E91DEC">
      <w:fldChar w:fldCharType="end"/>
    </w:r>
    <w:r w:rsidRPr="00E91DEC">
      <w:t>/</w:t>
    </w:r>
    <w:r w:rsidR="00142AD4">
      <w:fldChar w:fldCharType="begin"/>
    </w:r>
    <w:r w:rsidR="00142AD4">
      <w:instrText xml:space="preserve"> NUMPAGES  \* MERGEFORMAT </w:instrText>
    </w:r>
    <w:r w:rsidR="00142AD4">
      <w:fldChar w:fldCharType="separate"/>
    </w:r>
    <w:r w:rsidR="00E91DEC" w:rsidRPr="00E91DEC">
      <w:rPr>
        <w:noProof/>
      </w:rPr>
      <w:t>8</w:t>
    </w:r>
    <w:r w:rsidR="00142AD4">
      <w:rPr>
        <w:noProof/>
      </w:rPr>
      <w:fldChar w:fldCharType="end"/>
    </w:r>
    <w:r w:rsidRPr="00E91DEC">
      <w:tab/>
    </w:r>
    <w:r w:rsidRPr="00E91DEC">
      <w:rPr>
        <w:rStyle w:val="HideTWBExt"/>
      </w:rPr>
      <w:t>&lt;PathFdR&gt;</w:t>
    </w:r>
    <w:r w:rsidRPr="00E91DEC">
      <w:t>RR\1299238BG.docx</w:t>
    </w:r>
    <w:r w:rsidRPr="00E91DEC">
      <w:rPr>
        <w:rStyle w:val="HideTWBExt"/>
      </w:rPr>
      <w:t>&lt;/PathFdR&gt;</w:t>
    </w:r>
  </w:p>
  <w:p w:rsidR="005C3562" w:rsidRPr="00E91DEC" w:rsidRDefault="005C3562" w:rsidP="00072C97">
    <w:pPr>
      <w:pStyle w:val="EPFooter2"/>
    </w:pPr>
    <w:r w:rsidRPr="00E91DEC">
      <w:t>BG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3562" w:rsidRPr="00E91DEC" w:rsidRDefault="005C3562" w:rsidP="00072C97">
    <w:pPr>
      <w:pStyle w:val="EPFooter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3562" w:rsidRPr="00E91DEC" w:rsidRDefault="005C3562" w:rsidP="00072C97">
    <w:pPr>
      <w:pStyle w:val="EPFooter"/>
    </w:pPr>
    <w:r w:rsidRPr="00E91DEC">
      <w:rPr>
        <w:rStyle w:val="HideTWBExt"/>
      </w:rPr>
      <w:t>&lt;PathFdR&gt;</w:t>
    </w:r>
    <w:r w:rsidRPr="00E91DEC">
      <w:t>RR\1299238BG.docx</w:t>
    </w:r>
    <w:r w:rsidRPr="00E91DEC">
      <w:rPr>
        <w:rStyle w:val="HideTWBExt"/>
      </w:rPr>
      <w:t>&lt;/PathFdR&gt;</w:t>
    </w:r>
    <w:r w:rsidRPr="00E91DEC">
      <w:tab/>
    </w:r>
    <w:r w:rsidRPr="00E91DEC">
      <w:tab/>
      <w:t>PE</w:t>
    </w:r>
    <w:r w:rsidRPr="00E91DEC">
      <w:rPr>
        <w:rStyle w:val="HideTWBExt"/>
      </w:rPr>
      <w:t>&lt;NoPE&gt;</w:t>
    </w:r>
    <w:r w:rsidRPr="00E91DEC">
      <w:t>753.522</w:t>
    </w:r>
    <w:r w:rsidRPr="00E91DEC">
      <w:rPr>
        <w:rStyle w:val="HideTWBExt"/>
      </w:rPr>
      <w:t>&lt;/NoPE&gt;&lt;Version&gt;</w:t>
    </w:r>
    <w:r w:rsidRPr="00E91DEC">
      <w:t>v03-00</w:t>
    </w:r>
    <w:r w:rsidRPr="00E91DEC">
      <w:rPr>
        <w:rStyle w:val="HideTWBExt"/>
      </w:rPr>
      <w:t>&lt;/Version&gt;</w:t>
    </w:r>
  </w:p>
  <w:p w:rsidR="005C3562" w:rsidRPr="00E91DEC" w:rsidRDefault="005C3562" w:rsidP="00072C97">
    <w:pPr>
      <w:pStyle w:val="EPFooter2"/>
    </w:pPr>
    <w:r w:rsidRPr="00E91DEC">
      <w:t>BG</w:t>
    </w:r>
    <w:r w:rsidRPr="00E91DEC">
      <w:tab/>
    </w:r>
    <w:r w:rsidRPr="00E91DEC">
      <w:rPr>
        <w:b w:val="0"/>
        <w:i/>
        <w:color w:val="C0C0C0"/>
        <w:sz w:val="22"/>
      </w:rPr>
      <w:t>Единство в многообразието</w:t>
    </w:r>
    <w:r w:rsidRPr="00E91DEC">
      <w:tab/>
      <w:t>BG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91DEC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91DEC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91DE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45B4" w:rsidRPr="00E91DEC" w:rsidRDefault="008F45B4">
      <w:r w:rsidRPr="00E91DEC">
        <w:separator/>
      </w:r>
    </w:p>
  </w:footnote>
  <w:footnote w:type="continuationSeparator" w:id="0">
    <w:p w:rsidR="008F45B4" w:rsidRPr="00E91DEC" w:rsidRDefault="008F45B4">
      <w:r w:rsidRPr="00E91DEC">
        <w:continuationSeparator/>
      </w:r>
    </w:p>
  </w:footnote>
  <w:footnote w:id="1">
    <w:p w:rsidR="005C3562" w:rsidRPr="00E91DEC" w:rsidRDefault="005C3562" w:rsidP="00E91DEC">
      <w:pPr>
        <w:pStyle w:val="FootnoteText"/>
        <w:ind w:left="567" w:hanging="567"/>
        <w:rPr>
          <w:sz w:val="24"/>
          <w:lang w:val="bg-BG"/>
        </w:rPr>
      </w:pPr>
      <w:r w:rsidRPr="00E91DEC">
        <w:rPr>
          <w:rStyle w:val="FootnoteReference"/>
          <w:sz w:val="24"/>
          <w:lang w:val="bg-BG"/>
        </w:rPr>
        <w:footnoteRef/>
      </w:r>
      <w:r w:rsidR="00E91DEC" w:rsidRPr="00E91DEC">
        <w:rPr>
          <w:sz w:val="24"/>
          <w:lang w:val="bg-BG"/>
        </w:rPr>
        <w:t xml:space="preserve"> </w:t>
      </w:r>
      <w:r w:rsidR="00E91DEC" w:rsidRPr="00E91DEC">
        <w:rPr>
          <w:sz w:val="24"/>
          <w:lang w:val="bg-BG"/>
        </w:rPr>
        <w:tab/>
      </w:r>
      <w:r w:rsidRPr="00E91DEC">
        <w:rPr>
          <w:sz w:val="24"/>
          <w:lang w:val="bg-BG"/>
        </w:rPr>
        <w:t>ОВ C, C/2023/594, 27.10.2023 г.</w:t>
      </w:r>
    </w:p>
  </w:footnote>
  <w:footnote w:id="2">
    <w:p w:rsidR="005C3562" w:rsidRPr="00E91DEC" w:rsidRDefault="005C3562" w:rsidP="00E91DEC">
      <w:pPr>
        <w:pStyle w:val="FootnoteText"/>
        <w:ind w:left="567" w:hanging="567"/>
        <w:rPr>
          <w:sz w:val="24"/>
          <w:lang w:val="bg-BG"/>
        </w:rPr>
      </w:pPr>
      <w:r w:rsidRPr="00E91DEC">
        <w:rPr>
          <w:rStyle w:val="FootnoteReference"/>
          <w:sz w:val="24"/>
          <w:lang w:val="bg-BG"/>
        </w:rPr>
        <w:footnoteRef/>
      </w:r>
      <w:r w:rsidR="00E91DEC" w:rsidRPr="00E91DEC">
        <w:rPr>
          <w:sz w:val="24"/>
          <w:lang w:val="bg-BG"/>
        </w:rPr>
        <w:t xml:space="preserve"> </w:t>
      </w:r>
      <w:r w:rsidR="00E91DEC" w:rsidRPr="00E91DEC">
        <w:rPr>
          <w:sz w:val="24"/>
          <w:lang w:val="bg-BG"/>
        </w:rPr>
        <w:tab/>
      </w:r>
      <w:r w:rsidRPr="00E91DEC">
        <w:rPr>
          <w:sz w:val="24"/>
          <w:lang w:val="bg-BG"/>
        </w:rPr>
        <w:t>ОВ C, C/2023/112, 12.10.2023 г.</w:t>
      </w:r>
    </w:p>
  </w:footnote>
  <w:footnote w:id="3">
    <w:p w:rsidR="005C3562" w:rsidRPr="00E91DEC" w:rsidRDefault="005C3562" w:rsidP="00E91DEC">
      <w:pPr>
        <w:pStyle w:val="FootnoteText"/>
        <w:ind w:left="567" w:hanging="567"/>
        <w:rPr>
          <w:sz w:val="24"/>
          <w:lang w:val="bg-BG"/>
        </w:rPr>
      </w:pPr>
      <w:r w:rsidRPr="00E91DEC">
        <w:rPr>
          <w:rStyle w:val="FootnoteReference"/>
          <w:sz w:val="24"/>
          <w:lang w:val="bg-BG"/>
        </w:rPr>
        <w:footnoteRef/>
      </w:r>
      <w:r w:rsidR="00E91DEC" w:rsidRPr="00E91DEC">
        <w:rPr>
          <w:sz w:val="24"/>
          <w:lang w:val="bg-BG"/>
        </w:rPr>
        <w:t xml:space="preserve"> </w:t>
      </w:r>
      <w:r w:rsidR="00E91DEC" w:rsidRPr="00E91DEC">
        <w:rPr>
          <w:sz w:val="24"/>
          <w:lang w:val="bg-BG"/>
        </w:rPr>
        <w:tab/>
      </w:r>
      <w:r w:rsidRPr="00E91DEC">
        <w:rPr>
          <w:sz w:val="24"/>
          <w:lang w:val="bg-BG"/>
        </w:rPr>
        <w:t>OВ L 193, 30.7.2018 г., стр. 1.</w:t>
      </w:r>
    </w:p>
  </w:footnote>
  <w:footnote w:id="4">
    <w:p w:rsidR="005C3562" w:rsidRPr="00E91DEC" w:rsidRDefault="005C3562" w:rsidP="00E91DEC">
      <w:pPr>
        <w:pStyle w:val="FootnoteText"/>
        <w:ind w:left="567" w:hanging="567"/>
        <w:rPr>
          <w:sz w:val="24"/>
          <w:lang w:val="bg-BG"/>
        </w:rPr>
      </w:pPr>
      <w:r w:rsidRPr="00E91DEC">
        <w:rPr>
          <w:rStyle w:val="FootnoteReference"/>
          <w:sz w:val="24"/>
          <w:lang w:val="bg-BG"/>
        </w:rPr>
        <w:footnoteRef/>
      </w:r>
      <w:r w:rsidR="00E91DEC" w:rsidRPr="00E91DEC">
        <w:rPr>
          <w:sz w:val="24"/>
          <w:lang w:val="bg-BG"/>
        </w:rPr>
        <w:t xml:space="preserve"> </w:t>
      </w:r>
      <w:r w:rsidR="00E91DEC" w:rsidRPr="00E91DEC">
        <w:rPr>
          <w:sz w:val="24"/>
          <w:lang w:val="bg-BG"/>
        </w:rPr>
        <w:tab/>
      </w:r>
      <w:r w:rsidRPr="00E91DEC">
        <w:rPr>
          <w:sz w:val="24"/>
          <w:lang w:val="bg-BG"/>
        </w:rPr>
        <w:t>ОВ L 189, 28.5.2021 г., стр. 61.</w:t>
      </w:r>
    </w:p>
  </w:footnote>
  <w:footnote w:id="5">
    <w:p w:rsidR="005C3562" w:rsidRPr="00E91DEC" w:rsidRDefault="005C3562" w:rsidP="00E91DEC">
      <w:pPr>
        <w:pStyle w:val="FootnoteText"/>
        <w:ind w:left="567" w:hanging="567"/>
        <w:rPr>
          <w:sz w:val="24"/>
          <w:szCs w:val="24"/>
          <w:lang w:val="bg-BG"/>
        </w:rPr>
      </w:pPr>
      <w:r w:rsidRPr="00E91DEC">
        <w:rPr>
          <w:rStyle w:val="FootnoteReference"/>
          <w:sz w:val="24"/>
          <w:lang w:val="bg-BG"/>
        </w:rPr>
        <w:footnoteRef/>
      </w:r>
      <w:r w:rsidR="00E91DEC" w:rsidRPr="00E91DEC">
        <w:rPr>
          <w:sz w:val="24"/>
          <w:lang w:val="bg-BG"/>
        </w:rPr>
        <w:t xml:space="preserve"> </w:t>
      </w:r>
      <w:r w:rsidR="00E91DEC" w:rsidRPr="00E91DEC">
        <w:rPr>
          <w:sz w:val="24"/>
          <w:lang w:val="bg-BG"/>
        </w:rPr>
        <w:tab/>
      </w:r>
      <w:r w:rsidRPr="00E91DEC">
        <w:rPr>
          <w:sz w:val="24"/>
          <w:lang w:val="bg-BG"/>
        </w:rPr>
        <w:t>ОВ L 122, 10.5.2019 г., стр. 1.</w:t>
      </w:r>
    </w:p>
  </w:footnote>
  <w:footnote w:id="6">
    <w:p w:rsidR="005C3562" w:rsidRPr="00E91DEC" w:rsidRDefault="005C3562" w:rsidP="00E91DEC">
      <w:pPr>
        <w:pStyle w:val="FootnoteText"/>
        <w:ind w:left="567" w:hanging="567"/>
        <w:rPr>
          <w:sz w:val="24"/>
          <w:lang w:val="bg-BG"/>
        </w:rPr>
      </w:pPr>
      <w:r w:rsidRPr="00E91DEC">
        <w:rPr>
          <w:rStyle w:val="FootnoteReference"/>
          <w:sz w:val="24"/>
          <w:lang w:val="bg-BG"/>
        </w:rPr>
        <w:footnoteRef/>
      </w:r>
      <w:r w:rsidR="00E91DEC" w:rsidRPr="00E91DEC">
        <w:rPr>
          <w:sz w:val="24"/>
          <w:lang w:val="bg-BG"/>
        </w:rPr>
        <w:t xml:space="preserve"> </w:t>
      </w:r>
      <w:r w:rsidR="00E91DEC" w:rsidRPr="00E91DEC">
        <w:rPr>
          <w:sz w:val="24"/>
          <w:lang w:val="bg-BG"/>
        </w:rPr>
        <w:tab/>
      </w:r>
      <w:r w:rsidRPr="00E91DEC">
        <w:rPr>
          <w:sz w:val="24"/>
          <w:lang w:val="bg-BG"/>
        </w:rPr>
        <w:t>ОВ C, C/2023/594, 27.10.2023 г.</w:t>
      </w:r>
    </w:p>
  </w:footnote>
  <w:footnote w:id="7">
    <w:p w:rsidR="005C3562" w:rsidRPr="00E91DEC" w:rsidRDefault="005C3562" w:rsidP="00E91DEC">
      <w:pPr>
        <w:pStyle w:val="FootnoteText"/>
        <w:ind w:left="567" w:hanging="567"/>
        <w:rPr>
          <w:sz w:val="24"/>
          <w:lang w:val="bg-BG"/>
        </w:rPr>
      </w:pPr>
      <w:r w:rsidRPr="00E91DEC">
        <w:rPr>
          <w:rStyle w:val="FootnoteReference"/>
          <w:sz w:val="24"/>
          <w:lang w:val="bg-BG"/>
        </w:rPr>
        <w:footnoteRef/>
      </w:r>
      <w:r w:rsidR="00E91DEC" w:rsidRPr="00E91DEC">
        <w:rPr>
          <w:sz w:val="24"/>
          <w:lang w:val="bg-BG"/>
        </w:rPr>
        <w:t xml:space="preserve"> </w:t>
      </w:r>
      <w:r w:rsidR="00E91DEC" w:rsidRPr="00E91DEC">
        <w:rPr>
          <w:sz w:val="24"/>
          <w:lang w:val="bg-BG"/>
        </w:rPr>
        <w:tab/>
      </w:r>
      <w:r w:rsidRPr="00E91DEC">
        <w:rPr>
          <w:sz w:val="24"/>
          <w:lang w:val="bg-BG"/>
        </w:rPr>
        <w:t>ОВ C, C/2023/112, 12.10.2023 г.</w:t>
      </w:r>
    </w:p>
  </w:footnote>
  <w:footnote w:id="8">
    <w:p w:rsidR="005C3562" w:rsidRPr="00E91DEC" w:rsidRDefault="005C3562" w:rsidP="00E91DEC">
      <w:pPr>
        <w:pStyle w:val="FootnoteText"/>
        <w:ind w:left="567" w:hanging="567"/>
        <w:rPr>
          <w:sz w:val="24"/>
          <w:lang w:val="bg-BG"/>
        </w:rPr>
      </w:pPr>
      <w:r w:rsidRPr="00E91DEC">
        <w:rPr>
          <w:rStyle w:val="FootnoteReference"/>
          <w:sz w:val="24"/>
          <w:lang w:val="bg-BG"/>
        </w:rPr>
        <w:footnoteRef/>
      </w:r>
      <w:r w:rsidR="00E91DEC" w:rsidRPr="00E91DEC">
        <w:rPr>
          <w:sz w:val="24"/>
          <w:lang w:val="bg-BG"/>
        </w:rPr>
        <w:t xml:space="preserve"> </w:t>
      </w:r>
      <w:r w:rsidR="00E91DEC" w:rsidRPr="00E91DEC">
        <w:rPr>
          <w:sz w:val="24"/>
          <w:lang w:val="bg-BG"/>
        </w:rPr>
        <w:tab/>
      </w:r>
      <w:r w:rsidRPr="00E91DEC">
        <w:rPr>
          <w:sz w:val="24"/>
          <w:lang w:val="bg-BG"/>
        </w:rPr>
        <w:t>OВ L 193, 30.7.2018 г., стр. 1.</w:t>
      </w:r>
    </w:p>
  </w:footnote>
  <w:footnote w:id="9">
    <w:p w:rsidR="005C3562" w:rsidRPr="00E91DEC" w:rsidRDefault="005C3562" w:rsidP="00E91DEC">
      <w:pPr>
        <w:pStyle w:val="FootnoteText"/>
        <w:ind w:left="567" w:hanging="567"/>
        <w:rPr>
          <w:sz w:val="24"/>
          <w:lang w:val="bg-BG"/>
        </w:rPr>
      </w:pPr>
      <w:r w:rsidRPr="00E91DEC">
        <w:rPr>
          <w:rStyle w:val="FootnoteReference"/>
          <w:sz w:val="24"/>
          <w:lang w:val="bg-BG"/>
        </w:rPr>
        <w:footnoteRef/>
      </w:r>
      <w:r w:rsidR="00E91DEC" w:rsidRPr="00E91DEC">
        <w:rPr>
          <w:sz w:val="24"/>
          <w:lang w:val="bg-BG"/>
        </w:rPr>
        <w:t xml:space="preserve"> </w:t>
      </w:r>
      <w:r w:rsidR="00E91DEC" w:rsidRPr="00E91DEC">
        <w:rPr>
          <w:sz w:val="24"/>
          <w:lang w:val="bg-BG"/>
        </w:rPr>
        <w:tab/>
      </w:r>
      <w:r w:rsidRPr="00E91DEC">
        <w:rPr>
          <w:sz w:val="24"/>
          <w:lang w:val="bg-BG"/>
        </w:rPr>
        <w:t>ОВ L 189, 28.5.2021 г., стр. 61.</w:t>
      </w:r>
    </w:p>
  </w:footnote>
  <w:footnote w:id="10">
    <w:p w:rsidR="005C3562" w:rsidRPr="00E91DEC" w:rsidRDefault="005C3562" w:rsidP="00E91DEC">
      <w:pPr>
        <w:pStyle w:val="FootnoteText"/>
        <w:ind w:left="567" w:hanging="567"/>
        <w:rPr>
          <w:sz w:val="24"/>
          <w:szCs w:val="24"/>
          <w:lang w:val="bg-BG"/>
        </w:rPr>
      </w:pPr>
      <w:r w:rsidRPr="00E91DEC">
        <w:rPr>
          <w:rStyle w:val="FootnoteReference"/>
          <w:sz w:val="24"/>
          <w:lang w:val="bg-BG"/>
        </w:rPr>
        <w:footnoteRef/>
      </w:r>
      <w:r w:rsidR="00E91DEC" w:rsidRPr="00E91DEC">
        <w:rPr>
          <w:sz w:val="24"/>
          <w:lang w:val="bg-BG"/>
        </w:rPr>
        <w:t xml:space="preserve"> </w:t>
      </w:r>
      <w:r w:rsidR="00E91DEC" w:rsidRPr="00E91DEC">
        <w:rPr>
          <w:sz w:val="24"/>
          <w:lang w:val="bg-BG"/>
        </w:rPr>
        <w:tab/>
      </w:r>
      <w:r w:rsidRPr="00E91DEC">
        <w:rPr>
          <w:sz w:val="24"/>
          <w:lang w:val="bg-BG"/>
        </w:rPr>
        <w:t>ОВ L 122, 10.5.2019 г., стр. 1.</w:t>
      </w:r>
    </w:p>
  </w:footnote>
  <w:footnote w:id="11">
    <w:p w:rsidR="005C3562" w:rsidRPr="00E91DEC" w:rsidRDefault="005C3562" w:rsidP="00E91DEC">
      <w:pPr>
        <w:pStyle w:val="FootnoteText"/>
        <w:ind w:left="567" w:hanging="567"/>
        <w:rPr>
          <w:sz w:val="24"/>
          <w:lang w:val="bg-BG"/>
        </w:rPr>
      </w:pPr>
      <w:r w:rsidRPr="00E91DEC">
        <w:rPr>
          <w:rStyle w:val="FootnoteReference"/>
          <w:sz w:val="24"/>
          <w:lang w:val="bg-BG"/>
        </w:rPr>
        <w:footnoteRef/>
      </w:r>
      <w:r w:rsidR="00E91DEC" w:rsidRPr="00E91DEC">
        <w:rPr>
          <w:sz w:val="24"/>
          <w:lang w:val="bg-BG"/>
        </w:rPr>
        <w:t xml:space="preserve"> </w:t>
      </w:r>
      <w:r w:rsidR="00E91DEC" w:rsidRPr="00E91DEC">
        <w:rPr>
          <w:sz w:val="24"/>
          <w:lang w:val="bg-BG"/>
        </w:rPr>
        <w:tab/>
      </w:r>
      <w:r w:rsidRPr="00E91DEC">
        <w:rPr>
          <w:sz w:val="24"/>
          <w:lang w:val="bg-BG"/>
        </w:rPr>
        <w:t>ОВ С 489, 22.12.2022 г., стр. 56.</w:t>
      </w:r>
    </w:p>
  </w:footnote>
  <w:footnote w:id="12">
    <w:p w:rsidR="005C3562" w:rsidRPr="00E91DEC" w:rsidRDefault="005C3562" w:rsidP="00E91DEC">
      <w:pPr>
        <w:pStyle w:val="FootnoteText"/>
        <w:ind w:left="567" w:hanging="567"/>
        <w:rPr>
          <w:sz w:val="24"/>
          <w:lang w:val="bg-BG"/>
        </w:rPr>
      </w:pPr>
      <w:r w:rsidRPr="00E91DEC">
        <w:rPr>
          <w:rStyle w:val="FootnoteReference"/>
          <w:sz w:val="24"/>
          <w:lang w:val="bg-BG"/>
        </w:rPr>
        <w:footnoteRef/>
      </w:r>
      <w:r w:rsidR="00E91DEC" w:rsidRPr="00E91DEC">
        <w:rPr>
          <w:sz w:val="24"/>
          <w:lang w:val="bg-BG"/>
        </w:rPr>
        <w:t xml:space="preserve"> </w:t>
      </w:r>
      <w:r w:rsidR="00E91DEC" w:rsidRPr="00E91DEC">
        <w:rPr>
          <w:sz w:val="24"/>
          <w:lang w:val="bg-BG"/>
        </w:rPr>
        <w:tab/>
      </w:r>
      <w:r w:rsidRPr="00E91DEC">
        <w:rPr>
          <w:sz w:val="24"/>
          <w:lang w:val="bg-BG"/>
        </w:rPr>
        <w:t>Делегиран регламент (ЕС) 2019/715 на Комисията от 18 декември 2018 г. относно рамковия финансов регламент за органите, създадени по силата на ДФЕС и Договора за Евратом и посочени в член 70 от Регламент (ЕС, Евратом) 2018/1046 на Европейския парламент и на Съвета (ОВ L 122, 10.5.2019 г., стр. 1).</w:t>
      </w:r>
    </w:p>
  </w:footnote>
  <w:footnote w:id="13">
    <w:p w:rsidR="005C3562" w:rsidRPr="00E91DEC" w:rsidRDefault="005C3562" w:rsidP="00E91DEC">
      <w:pPr>
        <w:pStyle w:val="FootnoteText"/>
        <w:ind w:left="567" w:hanging="567"/>
        <w:rPr>
          <w:sz w:val="24"/>
          <w:lang w:val="bg-BG"/>
        </w:rPr>
      </w:pPr>
      <w:r w:rsidRPr="00E91DEC">
        <w:rPr>
          <w:rStyle w:val="FootnoteReference"/>
          <w:sz w:val="24"/>
          <w:lang w:val="bg-BG"/>
        </w:rPr>
        <w:footnoteRef/>
      </w:r>
      <w:r w:rsidR="00E91DEC" w:rsidRPr="00E91DEC">
        <w:rPr>
          <w:sz w:val="24"/>
          <w:lang w:val="bg-BG"/>
        </w:rPr>
        <w:t xml:space="preserve"> </w:t>
      </w:r>
      <w:r w:rsidR="00E91DEC" w:rsidRPr="00E91DEC">
        <w:rPr>
          <w:sz w:val="24"/>
          <w:lang w:val="bg-BG"/>
        </w:rPr>
        <w:tab/>
      </w:r>
      <w:r w:rsidRPr="00E91DEC">
        <w:rPr>
          <w:sz w:val="24"/>
          <w:lang w:val="bg-BG"/>
        </w:rPr>
        <w:t>Приети текстове, P9_TA(2024)</w:t>
      </w:r>
      <w:r w:rsidR="00E44611" w:rsidRPr="00635445">
        <w:rPr>
          <w:sz w:val="24"/>
          <w:lang w:val="bg-BG"/>
        </w:rPr>
        <w:t>0</w:t>
      </w:r>
      <w:r w:rsidR="00E44611">
        <w:rPr>
          <w:sz w:val="24"/>
          <w:lang w:val="en-GB"/>
        </w:rPr>
        <w:t>28</w:t>
      </w:r>
      <w:r w:rsidR="00E44611" w:rsidRPr="00635445">
        <w:rPr>
          <w:sz w:val="24"/>
          <w:lang w:val="bg-BG"/>
        </w:rPr>
        <w:t>0</w:t>
      </w:r>
      <w:r w:rsidRPr="00E91DEC">
        <w:rPr>
          <w:sz w:val="24"/>
          <w:lang w:val="bg-BG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3562" w:rsidRPr="00E91DEC" w:rsidRDefault="005C356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3562" w:rsidRPr="00E91DEC" w:rsidRDefault="005C356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3562" w:rsidRPr="00E91DEC" w:rsidRDefault="005C3562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91DEC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91DEC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91DE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32/2024"/>
    <w:docVar w:name="dvlangue" w:val="BG"/>
    <w:docVar w:name="dvnumam" w:val="0"/>
    <w:docVar w:name="dvpe" w:val="753.522"/>
    <w:docVar w:name="dvrapporteur" w:val="Докладчик: "/>
    <w:docVar w:name="dvtitre" w:val="Решение на Европейския парламент от ... 2024 г. относно освобождаването от отговорност във връзка с изпълнението на бюджета на Европейския институт за иновации и технологии (EIT) за финансовата 2022 година(2023/2154(DEC))"/>
  </w:docVars>
  <w:rsids>
    <w:rsidRoot w:val="008F45B4"/>
    <w:rsid w:val="00002272"/>
    <w:rsid w:val="00064002"/>
    <w:rsid w:val="000677B9"/>
    <w:rsid w:val="000831BA"/>
    <w:rsid w:val="0008360B"/>
    <w:rsid w:val="000A42CC"/>
    <w:rsid w:val="000E7DD9"/>
    <w:rsid w:val="0010095E"/>
    <w:rsid w:val="00125B37"/>
    <w:rsid w:val="00142AD4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3562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45B4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57C5C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26FFE"/>
    <w:rsid w:val="00D56C11"/>
    <w:rsid w:val="00D834A0"/>
    <w:rsid w:val="00D872DF"/>
    <w:rsid w:val="00D91E21"/>
    <w:rsid w:val="00DA7FCD"/>
    <w:rsid w:val="00E365E1"/>
    <w:rsid w:val="00E44611"/>
    <w:rsid w:val="00E820A4"/>
    <w:rsid w:val="00E91DEC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68B7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A3F6C5"/>
  <w15:chartTrackingRefBased/>
  <w15:docId w15:val="{F8C5C2F9-EABE-4E1E-B439-13785667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5C356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5C3562"/>
    <w:pPr>
      <w:spacing w:before="480" w:after="240"/>
    </w:pPr>
  </w:style>
  <w:style w:type="paragraph" w:customStyle="1" w:styleId="PageHeading">
    <w:name w:val="PageHeading"/>
    <w:basedOn w:val="Normal"/>
    <w:rsid w:val="005C356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5C3562"/>
    <w:rPr>
      <w:b/>
    </w:rPr>
  </w:style>
  <w:style w:type="paragraph" w:customStyle="1" w:styleId="NormalHanging12a">
    <w:name w:val="NormalHanging12a"/>
    <w:basedOn w:val="Normal"/>
    <w:link w:val="NormalHanging12aChar"/>
    <w:rsid w:val="005C3562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5C3562"/>
    <w:pPr>
      <w:spacing w:after="240"/>
      <w:jc w:val="center"/>
    </w:pPr>
  </w:style>
  <w:style w:type="paragraph" w:styleId="Header">
    <w:name w:val="header"/>
    <w:basedOn w:val="Normal"/>
    <w:link w:val="HeaderChar"/>
    <w:rsid w:val="005C356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C3562"/>
    <w:rPr>
      <w:sz w:val="24"/>
      <w:lang w:val="bg-BG"/>
    </w:rPr>
  </w:style>
  <w:style w:type="paragraph" w:customStyle="1" w:styleId="EPFooter">
    <w:name w:val="EPFooter"/>
    <w:basedOn w:val="Normal"/>
    <w:rsid w:val="005C356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Default">
    <w:name w:val="Default"/>
    <w:rsid w:val="005C3562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bg-BG" w:eastAsia="en-US"/>
    </w:rPr>
  </w:style>
  <w:style w:type="character" w:customStyle="1" w:styleId="NormalHanging12aChar">
    <w:name w:val="NormalHanging12a Char"/>
    <w:basedOn w:val="DefaultParagraphFont"/>
    <w:link w:val="NormalHanging12a"/>
    <w:locked/>
    <w:rsid w:val="005C3562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C75E4A-D8D1-4EFB-BA61-A916FA1B87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4187</Words>
  <Characters>23867</Characters>
  <Application>Microsoft Office Word</Application>
  <DocSecurity>0</DocSecurity>
  <Lines>198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GIRGINOV Kiril</cp:lastModifiedBy>
  <cp:revision>2</cp:revision>
  <cp:lastPrinted>2004-11-19T15:42:00Z</cp:lastPrinted>
  <dcterms:created xsi:type="dcterms:W3CDTF">2024-05-21T12:33:00Z</dcterms:created>
  <dcterms:modified xsi:type="dcterms:W3CDTF">2024-05-21T12:33:00Z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P9_TA(2024)0267_</vt:lpwstr>
  </property>
  <property fmtid="{D5CDD505-2E9C-101B-9397-08002B2CF9AE}" pid="4" name="&lt;Type&gt;">
    <vt:lpwstr>RR</vt:lpwstr>
  </property>
</Properties>
</file>