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424B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424BA" w:rsidRDefault="00B258D5" w:rsidP="0010095E">
            <w:pPr>
              <w:pStyle w:val="EPName"/>
            </w:pPr>
            <w:r w:rsidRPr="004424BA">
              <w:t>Evropský parlament</w:t>
            </w:r>
          </w:p>
          <w:p w:rsidR="00751A4A" w:rsidRPr="004424B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424B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424BA" w:rsidRDefault="00187494" w:rsidP="0010095E">
            <w:pPr>
              <w:pStyle w:val="EPLogo"/>
            </w:pPr>
            <w:r w:rsidRPr="004424B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424BA" w:rsidRDefault="00D058B8" w:rsidP="004C5D52">
      <w:pPr>
        <w:pStyle w:val="LineTop"/>
      </w:pPr>
    </w:p>
    <w:p w:rsidR="00680577" w:rsidRPr="004424BA" w:rsidRDefault="00B258D5" w:rsidP="00680577">
      <w:pPr>
        <w:pStyle w:val="EPBodyTA1"/>
      </w:pPr>
      <w:r w:rsidRPr="004424BA">
        <w:t>PŘIJATÉ TEXTY</w:t>
      </w:r>
    </w:p>
    <w:p w:rsidR="00D058B8" w:rsidRPr="004424BA" w:rsidRDefault="00D058B8" w:rsidP="00D058B8">
      <w:pPr>
        <w:pStyle w:val="LineBottom"/>
      </w:pPr>
    </w:p>
    <w:p w:rsidR="00B258D5" w:rsidRPr="004424BA" w:rsidRDefault="00B258D5" w:rsidP="00B258D5">
      <w:pPr>
        <w:pStyle w:val="ATHeading1"/>
      </w:pPr>
      <w:bookmarkStart w:id="0" w:name="TANumber"/>
      <w:r w:rsidRPr="004424BA">
        <w:t>P9_TA(2024)0</w:t>
      </w:r>
      <w:bookmarkEnd w:id="0"/>
      <w:r w:rsidR="009C0F6D">
        <w:t>267</w:t>
      </w:r>
    </w:p>
    <w:p w:rsidR="00B258D5" w:rsidRPr="004424BA" w:rsidRDefault="00B258D5" w:rsidP="00B258D5">
      <w:pPr>
        <w:pStyle w:val="ATHeading2"/>
      </w:pPr>
      <w:bookmarkStart w:id="1" w:name="title"/>
      <w:r w:rsidRPr="004424BA">
        <w:t>Udělení absolutoria za rok 2022: Evropský inovační a technologický institut (EIT)</w:t>
      </w:r>
      <w:bookmarkEnd w:id="1"/>
    </w:p>
    <w:p w:rsidR="00B258D5" w:rsidRPr="004424BA" w:rsidRDefault="00B258D5" w:rsidP="00B258D5">
      <w:pPr>
        <w:rPr>
          <w:i/>
          <w:vanish/>
        </w:rPr>
      </w:pPr>
      <w:r w:rsidRPr="004424BA">
        <w:rPr>
          <w:i/>
        </w:rPr>
        <w:fldChar w:fldCharType="begin"/>
      </w:r>
      <w:r w:rsidRPr="004424BA">
        <w:rPr>
          <w:i/>
        </w:rPr>
        <w:instrText xml:space="preserve"> TC"(</w:instrText>
      </w:r>
      <w:bookmarkStart w:id="2" w:name="DocNumber"/>
      <w:r w:rsidRPr="004424BA">
        <w:rPr>
          <w:i/>
        </w:rPr>
        <w:instrText>A9-0132/2024</w:instrText>
      </w:r>
      <w:bookmarkEnd w:id="2"/>
      <w:r w:rsidRPr="004424BA">
        <w:rPr>
          <w:i/>
        </w:rPr>
        <w:instrText xml:space="preserve"> - Zpravodaj: </w:instrText>
      </w:r>
      <w:proofErr w:type="spellStart"/>
      <w:r w:rsidRPr="004424BA">
        <w:rPr>
          <w:i/>
        </w:rPr>
        <w:instrText>Petri</w:instrText>
      </w:r>
      <w:proofErr w:type="spellEnd"/>
      <w:r w:rsidRPr="004424BA">
        <w:rPr>
          <w:i/>
        </w:rPr>
        <w:instrText xml:space="preserve"> </w:instrText>
      </w:r>
      <w:proofErr w:type="spellStart"/>
      <w:r w:rsidRPr="004424BA">
        <w:rPr>
          <w:i/>
        </w:rPr>
        <w:instrText>Sarvamaa</w:instrText>
      </w:r>
      <w:proofErr w:type="spellEnd"/>
      <w:r w:rsidRPr="004424BA">
        <w:rPr>
          <w:i/>
        </w:rPr>
        <w:instrText xml:space="preserve">)"\l3 \n&gt; \* MERGEFORMAT </w:instrText>
      </w:r>
      <w:r w:rsidRPr="004424BA">
        <w:rPr>
          <w:i/>
        </w:rPr>
        <w:fldChar w:fldCharType="end"/>
      </w:r>
    </w:p>
    <w:p w:rsidR="00B258D5" w:rsidRPr="004424BA" w:rsidRDefault="00B258D5" w:rsidP="00B258D5">
      <w:pPr>
        <w:rPr>
          <w:vanish/>
        </w:rPr>
      </w:pPr>
      <w:bookmarkStart w:id="3" w:name="Commission"/>
      <w:r w:rsidRPr="004424BA">
        <w:rPr>
          <w:vanish/>
        </w:rPr>
        <w:t>Výbor pro rozpočtovou kontrolu</w:t>
      </w:r>
      <w:bookmarkEnd w:id="3"/>
    </w:p>
    <w:p w:rsidR="00B258D5" w:rsidRPr="004424BA" w:rsidRDefault="00B258D5" w:rsidP="00B258D5">
      <w:pPr>
        <w:rPr>
          <w:vanish/>
        </w:rPr>
      </w:pPr>
      <w:bookmarkStart w:id="4" w:name="PE"/>
      <w:r w:rsidRPr="004424BA">
        <w:rPr>
          <w:vanish/>
        </w:rPr>
        <w:t>PE753.522</w:t>
      </w:r>
      <w:bookmarkEnd w:id="4"/>
    </w:p>
    <w:p w:rsidR="00B258D5" w:rsidRPr="004424BA" w:rsidRDefault="00B258D5" w:rsidP="00B258D5">
      <w:pPr>
        <w:pStyle w:val="ATHeading3"/>
      </w:pPr>
      <w:bookmarkStart w:id="5" w:name="Sujet"/>
      <w:r w:rsidRPr="004424BA">
        <w:t xml:space="preserve">1. Rozhodnutí </w:t>
      </w:r>
      <w:r w:rsidR="000B195D">
        <w:t>Evropského parlamentu ze dne 11. dubna</w:t>
      </w:r>
      <w:r w:rsidRPr="004424BA">
        <w:t xml:space="preserve"> 2024 o udělení absolutoria za plnění rozpočtu Evropského inovačního a technologického institutu (EIT) na rozpočtový rok 2022</w:t>
      </w:r>
      <w:bookmarkEnd w:id="5"/>
      <w:r w:rsidRPr="004424BA">
        <w:t xml:space="preserve"> </w:t>
      </w:r>
      <w:bookmarkStart w:id="6" w:name="References"/>
      <w:r w:rsidRPr="004424BA">
        <w:t>(2023/2154(DEC))</w:t>
      </w:r>
      <w:bookmarkEnd w:id="6"/>
    </w:p>
    <w:p w:rsidR="0005730C" w:rsidRPr="004424BA" w:rsidRDefault="0005730C" w:rsidP="0005730C">
      <w:pPr>
        <w:pStyle w:val="EPComma"/>
      </w:pPr>
      <w:bookmarkStart w:id="7" w:name="TextBodyBegin"/>
      <w:bookmarkEnd w:id="7"/>
      <w:r w:rsidRPr="004424BA">
        <w:rPr>
          <w:i/>
        </w:rPr>
        <w:t>Evropský parlament</w:t>
      </w:r>
      <w:r w:rsidRPr="004424BA">
        <w:t>,</w:t>
      </w:r>
    </w:p>
    <w:p w:rsidR="0005730C" w:rsidRPr="004424BA" w:rsidRDefault="0005730C" w:rsidP="0005730C">
      <w:pPr>
        <w:pStyle w:val="NormalHanging12a"/>
      </w:pPr>
      <w:r w:rsidRPr="004424BA">
        <w:t>–</w:t>
      </w:r>
      <w:r w:rsidRPr="004424BA">
        <w:tab/>
        <w:t>s ohledem na konečnou roční účetní závěrku Evropského inovačního a technologického institutu za rozpočtový rok 2022,</w:t>
      </w:r>
    </w:p>
    <w:p w:rsidR="0005730C" w:rsidRPr="004424BA" w:rsidRDefault="0005730C" w:rsidP="0005730C">
      <w:pPr>
        <w:pStyle w:val="NormalHanging12a"/>
      </w:pPr>
      <w:r w:rsidRPr="004424BA">
        <w:t>–</w:t>
      </w:r>
      <w:r w:rsidRPr="004424BA">
        <w:tab/>
        <w:t>s ohledem na výroční zprávu Účetního dvora o agenturách EU za rozpočtový rok 2022 spolu s odpověďmi agentur</w:t>
      </w:r>
      <w:r w:rsidRPr="004424BA">
        <w:rPr>
          <w:rStyle w:val="FootnoteReference"/>
        </w:rPr>
        <w:footnoteReference w:id="1"/>
      </w:r>
      <w:r w:rsidRPr="004424BA">
        <w:t>,</w:t>
      </w:r>
    </w:p>
    <w:p w:rsidR="0005730C" w:rsidRPr="004424BA" w:rsidRDefault="0005730C" w:rsidP="0005730C">
      <w:pPr>
        <w:pStyle w:val="NormalHanging12a"/>
      </w:pPr>
      <w:r w:rsidRPr="004424BA">
        <w:t>–</w:t>
      </w:r>
      <w:r w:rsidRPr="004424BA">
        <w:tab/>
        <w:t>s ohledem na prohlášení o věrohodnosti</w:t>
      </w:r>
      <w:r w:rsidRPr="004424BA">
        <w:rPr>
          <w:rStyle w:val="FootnoteReference"/>
        </w:rPr>
        <w:footnoteReference w:id="2"/>
      </w:r>
      <w:r w:rsidRPr="004424BA">
        <w:t xml:space="preserve"> účetnictví a o legalitě a správnosti uskutečněných operací, které předložil Účetní dvůr za rozpočtový rok 2022 podle článku 287 Smlouvy o fungování Evropské unie,</w:t>
      </w:r>
    </w:p>
    <w:p w:rsidR="0005730C" w:rsidRPr="004424BA" w:rsidRDefault="0005730C" w:rsidP="0005730C">
      <w:pPr>
        <w:pStyle w:val="NormalHanging12a"/>
      </w:pPr>
      <w:r w:rsidRPr="004424BA">
        <w:t>–</w:t>
      </w:r>
      <w:r w:rsidRPr="004424BA">
        <w:tab/>
        <w:t>s ohledem na doporučení Rady ze dne 22. února 2024 o udělení absolutoria institutu za plnění rozpočtu na</w:t>
      </w:r>
      <w:r w:rsidR="00C56FD4">
        <w:t xml:space="preserve"> rozpočtový rok 2022 (06180/2024 – C9</w:t>
      </w:r>
      <w:r w:rsidR="00C56FD4">
        <w:noBreakHyphen/>
        <w:t>0092</w:t>
      </w:r>
      <w:r w:rsidRPr="004424BA">
        <w:t>/2024),</w:t>
      </w:r>
    </w:p>
    <w:p w:rsidR="0005730C" w:rsidRPr="004424BA" w:rsidRDefault="0005730C" w:rsidP="0005730C">
      <w:pPr>
        <w:pStyle w:val="NormalHanging12a"/>
      </w:pPr>
      <w:r w:rsidRPr="004424BA">
        <w:t>–</w:t>
      </w:r>
      <w:r w:rsidRPr="004424BA">
        <w:tab/>
        <w:t>s ohledem na článek 319 Smlouvy o fungování Evropské unie,</w:t>
      </w:r>
    </w:p>
    <w:p w:rsidR="0005730C" w:rsidRPr="004424BA" w:rsidRDefault="0005730C" w:rsidP="0005730C">
      <w:pPr>
        <w:pStyle w:val="NormalHanging12a"/>
      </w:pPr>
      <w:r w:rsidRPr="004424BA">
        <w:t>–</w:t>
      </w:r>
      <w:r w:rsidRPr="004424BA">
        <w:tab/>
        <w:t>s ohledem na nařízení Evropského parlamentu a Rady (EU, Euratom) 2018/1046 ze dne 18. července 2018, kterým se stanoví finanční pravidla pro souhrnný rozpočet Unie, mění nařízení (EU) č. 1296/2013, (EU) č. 1301/2013, (EU) č. 1303/2013, (EU) č. 1304/2013, (EU) č. 1309/2013, (EU) č. 1316/2013, (EU) č. 223/2014, (EU) č. 283</w:t>
      </w:r>
      <w:r w:rsidR="000B195D">
        <w:t>/2014 a rozhodnutí č. 541/2014/</w:t>
      </w:r>
      <w:r w:rsidRPr="004424BA">
        <w:t>EU a zrušuje nařízení (EU, Euratom) č. 966/2012</w:t>
      </w:r>
      <w:r w:rsidRPr="004424BA">
        <w:rPr>
          <w:rStyle w:val="FootnoteReference"/>
        </w:rPr>
        <w:footnoteReference w:id="3"/>
      </w:r>
      <w:r w:rsidRPr="004424BA">
        <w:t>, a zejména článek 70 tohoto nařízení,</w:t>
      </w:r>
    </w:p>
    <w:p w:rsidR="0005730C" w:rsidRPr="004424BA" w:rsidRDefault="0005730C" w:rsidP="0005730C">
      <w:pPr>
        <w:pStyle w:val="NormalHanging12a"/>
      </w:pPr>
      <w:r w:rsidRPr="004424BA">
        <w:t>–</w:t>
      </w:r>
      <w:r w:rsidRPr="004424BA">
        <w:tab/>
        <w:t>s ohledem na nařízení Evropského parlamentu a Rady (EU) 2021/819 ze dne 20. května 2021 o Evropském inovačním a technologickém institutu</w:t>
      </w:r>
      <w:r w:rsidRPr="004424BA">
        <w:rPr>
          <w:rStyle w:val="FootnoteReference"/>
        </w:rPr>
        <w:footnoteReference w:id="4"/>
      </w:r>
      <w:r w:rsidRPr="004424BA">
        <w:t xml:space="preserve">, a zejména na článek 23 </w:t>
      </w:r>
      <w:r w:rsidRPr="004424BA">
        <w:lastRenderedPageBreak/>
        <w:t>tohoto nařízení,</w:t>
      </w:r>
    </w:p>
    <w:p w:rsidR="0005730C" w:rsidRPr="004424BA" w:rsidRDefault="0005730C" w:rsidP="0005730C">
      <w:pPr>
        <w:pStyle w:val="NormalHanging12a"/>
      </w:pPr>
      <w:r w:rsidRPr="004424BA">
        <w:t>–</w:t>
      </w:r>
      <w:r w:rsidRPr="004424BA">
        <w:tab/>
        <w:t xml:space="preserve">s ohledem na nařízení Komise v přenesené pravomoci (EU) 2019/715 ze dne 18. prosince 2018 o rámcovém finančním nařízení pro subjekty zřízené podle </w:t>
      </w:r>
      <w:r w:rsidR="00A06AC6" w:rsidRPr="00A06AC6">
        <w:t>Smlouvy o fungování Evropské unie</w:t>
      </w:r>
      <w:r w:rsidRPr="004424BA">
        <w:t xml:space="preserve"> a Smlouvy o Euratomu a uvedené v článku 70 nařízení Evropského parlamentu a Rady (EU, Euratom) 2018/1046</w:t>
      </w:r>
      <w:r w:rsidRPr="004424BA">
        <w:rPr>
          <w:rStyle w:val="FootnoteReference"/>
        </w:rPr>
        <w:footnoteReference w:id="5"/>
      </w:r>
      <w:r w:rsidRPr="004424BA">
        <w:t>, a zejména na článek 105 tohoto nařízení,</w:t>
      </w:r>
    </w:p>
    <w:p w:rsidR="0005730C" w:rsidRPr="004424BA" w:rsidRDefault="0005730C" w:rsidP="0005730C">
      <w:pPr>
        <w:pStyle w:val="NormalHanging12a"/>
      </w:pPr>
      <w:r w:rsidRPr="004424BA">
        <w:t>–</w:t>
      </w:r>
      <w:r w:rsidRPr="004424BA">
        <w:tab/>
        <w:t>s ohledem na článek 100 a přílohu V jednacího řádu,</w:t>
      </w:r>
    </w:p>
    <w:p w:rsidR="0005730C" w:rsidRPr="004424BA" w:rsidRDefault="0005730C" w:rsidP="0005730C">
      <w:pPr>
        <w:pStyle w:val="NormalHanging12a"/>
      </w:pPr>
      <w:r w:rsidRPr="004424BA">
        <w:t>–</w:t>
      </w:r>
      <w:r w:rsidRPr="004424BA">
        <w:tab/>
        <w:t>s ohledem na zprávu Výboru pro rozpočtovou kontrolu (A9</w:t>
      </w:r>
      <w:r w:rsidRPr="004424BA">
        <w:noBreakHyphen/>
        <w:t>0132/2024),</w:t>
      </w:r>
    </w:p>
    <w:p w:rsidR="0005730C" w:rsidRPr="004424BA" w:rsidRDefault="0005730C" w:rsidP="0005730C">
      <w:pPr>
        <w:pStyle w:val="NormalHanging12a"/>
      </w:pPr>
      <w:r w:rsidRPr="004424BA">
        <w:t>1.</w:t>
      </w:r>
      <w:r w:rsidRPr="004424BA">
        <w:tab/>
        <w:t>uděluje absolutorium řediteli Evropského inovačního a technologického institutu (EIT) za plnění rozpočtu institutu na rozpočtový rok 2022;</w:t>
      </w:r>
    </w:p>
    <w:p w:rsidR="0005730C" w:rsidRPr="004424BA" w:rsidRDefault="0005730C" w:rsidP="0005730C">
      <w:pPr>
        <w:pStyle w:val="NormalHanging12a"/>
      </w:pPr>
      <w:r w:rsidRPr="004424BA">
        <w:t>2.</w:t>
      </w:r>
      <w:r w:rsidRPr="004424BA">
        <w:tab/>
        <w:t>předkládá své připomínky v níže uvedeném usnesení;</w:t>
      </w:r>
    </w:p>
    <w:p w:rsidR="0005730C" w:rsidRPr="004424BA" w:rsidRDefault="0005730C" w:rsidP="0005730C">
      <w:pPr>
        <w:pStyle w:val="NormalHanging12a"/>
      </w:pPr>
      <w:r w:rsidRPr="004424BA">
        <w:t>3.</w:t>
      </w:r>
      <w:r w:rsidRPr="004424BA">
        <w:tab/>
        <w:t>pověřuje svou předsedkyni, aby předala toto rozhodnutí a usnesení, které je jeho nedílnou součástí, řediteli Evropského inovačního a technologického institutu (EIT), Radě, Komisi a Účetnímu dvoru a aby zajistila jejich zveřejnění v </w:t>
      </w:r>
      <w:r w:rsidRPr="004424BA">
        <w:rPr>
          <w:i/>
        </w:rPr>
        <w:t>Úředním věstníku Evropské unie</w:t>
      </w:r>
      <w:r w:rsidRPr="004424BA">
        <w:t xml:space="preserve"> (řada L).</w:t>
      </w:r>
    </w:p>
    <w:p w:rsidR="0005730C" w:rsidRPr="004424BA" w:rsidRDefault="0005730C" w:rsidP="0005730C"/>
    <w:p w:rsidR="0005730C" w:rsidRPr="004424BA" w:rsidRDefault="0005730C" w:rsidP="0005730C">
      <w:pPr>
        <w:widowControl/>
        <w:rPr>
          <w:rFonts w:ascii="Arial" w:hAnsi="Arial" w:cs="Arial"/>
          <w:b/>
        </w:rPr>
        <w:sectPr w:rsidR="0005730C" w:rsidRPr="004424BA" w:rsidSect="004424BA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05730C" w:rsidRPr="000B195D" w:rsidRDefault="0005730C" w:rsidP="000B195D">
      <w:pPr>
        <w:pStyle w:val="PageHeading"/>
        <w:jc w:val="left"/>
        <w:rPr>
          <w:rFonts w:ascii="Times New Roman" w:hAnsi="Times New Roman" w:cs="Times New Roman"/>
        </w:rPr>
      </w:pPr>
      <w:bookmarkStart w:id="8" w:name="_Toc146809150"/>
      <w:bookmarkStart w:id="9" w:name="_Toc161936442"/>
      <w:r w:rsidRPr="000B195D">
        <w:rPr>
          <w:rFonts w:ascii="Times New Roman" w:hAnsi="Times New Roman" w:cs="Times New Roman"/>
        </w:rPr>
        <w:lastRenderedPageBreak/>
        <w:t xml:space="preserve">2. </w:t>
      </w:r>
      <w:r w:rsidR="000B195D">
        <w:rPr>
          <w:rFonts w:ascii="Times New Roman" w:hAnsi="Times New Roman" w:cs="Times New Roman"/>
        </w:rPr>
        <w:t>Rozhodnutí E</w:t>
      </w:r>
      <w:r w:rsidR="000B195D" w:rsidRPr="000B195D">
        <w:rPr>
          <w:rFonts w:ascii="Times New Roman" w:hAnsi="Times New Roman" w:cs="Times New Roman"/>
        </w:rPr>
        <w:t>vropského parlamentu</w:t>
      </w:r>
      <w:bookmarkEnd w:id="8"/>
      <w:bookmarkEnd w:id="9"/>
      <w:r w:rsidR="000B195D" w:rsidRPr="000B195D">
        <w:rPr>
          <w:rFonts w:ascii="Times New Roman" w:hAnsi="Times New Roman" w:cs="Times New Roman"/>
        </w:rPr>
        <w:t xml:space="preserve"> ze dne 11. dubna 2024 </w:t>
      </w:r>
      <w:r w:rsidRPr="000B195D">
        <w:rPr>
          <w:rFonts w:ascii="Times New Roman" w:hAnsi="Times New Roman" w:cs="Times New Roman"/>
        </w:rPr>
        <w:t>o uzavření účtů Evropského inovačního a technologického institutu (EIT) za rozpočtový rok 2022</w:t>
      </w:r>
      <w:r w:rsidR="000B195D" w:rsidRPr="000B195D">
        <w:rPr>
          <w:rFonts w:ascii="Times New Roman" w:hAnsi="Times New Roman" w:cs="Times New Roman"/>
        </w:rPr>
        <w:t xml:space="preserve"> </w:t>
      </w:r>
      <w:r w:rsidRPr="000B195D">
        <w:rPr>
          <w:rFonts w:ascii="Times New Roman" w:hAnsi="Times New Roman" w:cs="Times New Roman"/>
        </w:rPr>
        <w:t>(2023/2154(DEC))</w:t>
      </w:r>
    </w:p>
    <w:p w:rsidR="0005730C" w:rsidRPr="004424BA" w:rsidRDefault="0005730C" w:rsidP="0005730C">
      <w:pPr>
        <w:pStyle w:val="EPComma"/>
      </w:pPr>
      <w:r w:rsidRPr="004424BA">
        <w:rPr>
          <w:i/>
        </w:rPr>
        <w:t>Evropský parlament</w:t>
      </w:r>
      <w:r w:rsidRPr="004424BA">
        <w:t>,</w:t>
      </w:r>
    </w:p>
    <w:p w:rsidR="0005730C" w:rsidRPr="004424BA" w:rsidRDefault="0005730C" w:rsidP="0005730C">
      <w:pPr>
        <w:pStyle w:val="NormalHanging12a"/>
      </w:pPr>
      <w:r w:rsidRPr="004424BA">
        <w:t>–</w:t>
      </w:r>
      <w:r w:rsidRPr="004424BA">
        <w:tab/>
        <w:t>s ohledem na konečnou roční účetní závěrku Evropského inovačního a technologického institutu za rozpočtový rok 2022,</w:t>
      </w:r>
    </w:p>
    <w:p w:rsidR="0005730C" w:rsidRPr="004424BA" w:rsidRDefault="0005730C" w:rsidP="0005730C">
      <w:pPr>
        <w:pStyle w:val="NormalHanging12a"/>
      </w:pPr>
      <w:r w:rsidRPr="004424BA">
        <w:t>–</w:t>
      </w:r>
      <w:r w:rsidRPr="004424BA">
        <w:tab/>
        <w:t>s ohledem na výroční zprávu Účetního dvora o agenturách EU za rozpočtový rok 2022 spolu s odpověďmi agentur</w:t>
      </w:r>
      <w:r w:rsidRPr="004424BA">
        <w:rPr>
          <w:rStyle w:val="FootnoteReference"/>
        </w:rPr>
        <w:footnoteReference w:id="6"/>
      </w:r>
      <w:r w:rsidRPr="004424BA">
        <w:t>,</w:t>
      </w:r>
    </w:p>
    <w:p w:rsidR="0005730C" w:rsidRPr="004424BA" w:rsidRDefault="0005730C" w:rsidP="0005730C">
      <w:pPr>
        <w:pStyle w:val="NormalHanging12a"/>
      </w:pPr>
      <w:r w:rsidRPr="004424BA">
        <w:t>–</w:t>
      </w:r>
      <w:r w:rsidRPr="004424BA">
        <w:tab/>
        <w:t>s ohledem na prohlášení o věrohodnosti</w:t>
      </w:r>
      <w:r w:rsidRPr="004424BA">
        <w:rPr>
          <w:rStyle w:val="FootnoteReference"/>
        </w:rPr>
        <w:footnoteReference w:id="7"/>
      </w:r>
      <w:r w:rsidRPr="004424BA">
        <w:t xml:space="preserve"> účetnictví a o legalitě a správnosti uskutečněných operací, které předložil Účetní dvůr za rozpočtový rok 2022 podle článku 287 Smlouvy o fungování Evropské unie,</w:t>
      </w:r>
    </w:p>
    <w:p w:rsidR="0005730C" w:rsidRPr="004424BA" w:rsidRDefault="0005730C" w:rsidP="0005730C">
      <w:pPr>
        <w:pStyle w:val="NormalHanging12a"/>
      </w:pPr>
      <w:r w:rsidRPr="004424BA">
        <w:t>–</w:t>
      </w:r>
      <w:r w:rsidRPr="004424BA">
        <w:tab/>
        <w:t>s ohledem na doporučení Rady ze dne 22. února 2024 o udělení absolutoria institutu za plnění rozpoč</w:t>
      </w:r>
      <w:r w:rsidR="00C56FD4">
        <w:t>tu na rozpočtový rok 2022 (06180/2024 – C9</w:t>
      </w:r>
      <w:r w:rsidR="00C56FD4">
        <w:noBreakHyphen/>
        <w:t>0092</w:t>
      </w:r>
      <w:r w:rsidRPr="004424BA">
        <w:t>/2024),</w:t>
      </w:r>
    </w:p>
    <w:p w:rsidR="0005730C" w:rsidRPr="004424BA" w:rsidRDefault="0005730C" w:rsidP="0005730C">
      <w:pPr>
        <w:pStyle w:val="NormalHanging12a"/>
      </w:pPr>
      <w:r w:rsidRPr="004424BA">
        <w:t>–</w:t>
      </w:r>
      <w:r w:rsidRPr="004424BA">
        <w:tab/>
        <w:t>s ohledem na článek 319 Smlouvy o fungování Evropské unie,</w:t>
      </w:r>
    </w:p>
    <w:p w:rsidR="0005730C" w:rsidRPr="004424BA" w:rsidRDefault="0005730C" w:rsidP="0005730C">
      <w:pPr>
        <w:pStyle w:val="NormalHanging12a"/>
      </w:pPr>
      <w:r w:rsidRPr="004424BA">
        <w:t>–</w:t>
      </w:r>
      <w:r w:rsidRPr="004424BA">
        <w:tab/>
        <w:t>s ohledem na nařízení Evropského parlamentu a Rady (EU, Euratom) 2018/1046 ze dne 18. července 2018, kterým se stanoví finanční pravidla pro souhrnný rozpočet Unie, mění nařízení (EU) č. 1296/2013, (EU) č. 1301/2013, (EU) č. 1303/2013, (EU) č. 1304/2013, (EU) č. 1309/2013, (EU) č. 1316/2013, (EU) č. 223/2014, (EU) č. 283</w:t>
      </w:r>
      <w:r w:rsidR="000B195D">
        <w:t>/2014 a rozhodnutí č. 541/2014/</w:t>
      </w:r>
      <w:r w:rsidRPr="004424BA">
        <w:t>EU a zrušuje nařízení (EU, Euratom) č. 966/2012</w:t>
      </w:r>
      <w:r w:rsidRPr="004424BA">
        <w:rPr>
          <w:rStyle w:val="FootnoteReference"/>
        </w:rPr>
        <w:footnoteReference w:id="8"/>
      </w:r>
      <w:r w:rsidRPr="004424BA">
        <w:t>, a zejména článek 70 tohoto nařízení,</w:t>
      </w:r>
    </w:p>
    <w:p w:rsidR="0005730C" w:rsidRPr="004424BA" w:rsidRDefault="0005730C" w:rsidP="0005730C">
      <w:pPr>
        <w:pStyle w:val="NormalHanging12a"/>
      </w:pPr>
      <w:r w:rsidRPr="004424BA">
        <w:t>–</w:t>
      </w:r>
      <w:r w:rsidRPr="004424BA">
        <w:tab/>
        <w:t>s ohledem na nařízení Evropského parlamentu a Rady (EU) 2021/819 ze dne 20. května 2021 o Evropském inovačním a technologickém institutu</w:t>
      </w:r>
      <w:r w:rsidRPr="004424BA">
        <w:rPr>
          <w:rStyle w:val="FootnoteReference"/>
        </w:rPr>
        <w:footnoteReference w:id="9"/>
      </w:r>
      <w:r w:rsidRPr="004424BA">
        <w:t>, a zejména na článek 23 tohoto nařízení,</w:t>
      </w:r>
    </w:p>
    <w:p w:rsidR="0005730C" w:rsidRPr="004424BA" w:rsidRDefault="0005730C" w:rsidP="0005730C">
      <w:pPr>
        <w:pStyle w:val="NormalHanging12a"/>
      </w:pPr>
      <w:r w:rsidRPr="004424BA">
        <w:t>–</w:t>
      </w:r>
      <w:r w:rsidRPr="004424BA">
        <w:tab/>
        <w:t xml:space="preserve">s ohledem na nařízení Komise v přenesené pravomoci (EU) 2019/715 ze dne 18. prosince 2018 o rámcovém finančním nařízení pro subjekty zřízené podle </w:t>
      </w:r>
      <w:r w:rsidR="00A06AC6" w:rsidRPr="00A06AC6">
        <w:t>Smlouvy o fungování Evropské unie</w:t>
      </w:r>
      <w:r w:rsidRPr="004424BA">
        <w:t xml:space="preserve"> a Smlouvy o Euratomu a uvedené v článku 70 nařízení Evropského parlamentu a Rady (EU, Euratom) 2018/1046</w:t>
      </w:r>
      <w:r w:rsidRPr="004424BA">
        <w:rPr>
          <w:rStyle w:val="FootnoteReference"/>
        </w:rPr>
        <w:footnoteReference w:id="10"/>
      </w:r>
      <w:r w:rsidRPr="004424BA">
        <w:t>, a zejména na článek 105 tohoto nařízení,</w:t>
      </w:r>
    </w:p>
    <w:p w:rsidR="0005730C" w:rsidRPr="004424BA" w:rsidRDefault="0005730C" w:rsidP="0005730C">
      <w:pPr>
        <w:pStyle w:val="NormalHanging12a"/>
      </w:pPr>
      <w:r w:rsidRPr="004424BA">
        <w:t>–</w:t>
      </w:r>
      <w:r w:rsidRPr="004424BA">
        <w:tab/>
        <w:t>s ohledem na článek 100 a přílohu V jednacího řádu,</w:t>
      </w:r>
    </w:p>
    <w:p w:rsidR="0005730C" w:rsidRPr="004424BA" w:rsidRDefault="0005730C" w:rsidP="0005730C">
      <w:pPr>
        <w:pStyle w:val="NormalHanging12a"/>
      </w:pPr>
      <w:r w:rsidRPr="004424BA">
        <w:t>–</w:t>
      </w:r>
      <w:r w:rsidRPr="004424BA">
        <w:tab/>
        <w:t>s ohledem na zprávu Výboru pro rozpočtovou kontrolu (A9</w:t>
      </w:r>
      <w:r w:rsidRPr="004424BA">
        <w:noBreakHyphen/>
        <w:t>0132/2024),</w:t>
      </w:r>
    </w:p>
    <w:p w:rsidR="0005730C" w:rsidRPr="004424BA" w:rsidRDefault="0005730C" w:rsidP="0005730C">
      <w:pPr>
        <w:pStyle w:val="NormalHanging12a"/>
      </w:pPr>
      <w:r w:rsidRPr="004424BA">
        <w:t>1.</w:t>
      </w:r>
      <w:r w:rsidRPr="004424BA">
        <w:tab/>
        <w:t>schvaluje uzavření účtů Evropského inovačního a technologického institutu (EIT) za rozpočtový rok 2022;</w:t>
      </w:r>
    </w:p>
    <w:p w:rsidR="0005730C" w:rsidRPr="004424BA" w:rsidRDefault="0005730C" w:rsidP="0005730C">
      <w:pPr>
        <w:pStyle w:val="NormalHanging12a"/>
      </w:pPr>
      <w:r w:rsidRPr="004424BA">
        <w:t>2.</w:t>
      </w:r>
      <w:r w:rsidRPr="004424BA">
        <w:tab/>
        <w:t xml:space="preserve">pověřuje svou předsedkyni, aby předala toto rozhodnutí řediteli Evropského inovačního </w:t>
      </w:r>
      <w:r w:rsidRPr="004424BA">
        <w:lastRenderedPageBreak/>
        <w:t>a technologického institutu (EIT), Radě, Komisi a Účetnímu dvoru a aby zajistila jeho zveřejnění v </w:t>
      </w:r>
      <w:r w:rsidRPr="004424BA">
        <w:rPr>
          <w:i/>
        </w:rPr>
        <w:t>Úředním věstníku Evropské unie</w:t>
      </w:r>
      <w:r w:rsidRPr="004424BA">
        <w:t xml:space="preserve"> (řada L).</w:t>
      </w:r>
    </w:p>
    <w:p w:rsidR="0005730C" w:rsidRPr="004424BA" w:rsidRDefault="0005730C" w:rsidP="0005730C"/>
    <w:p w:rsidR="0005730C" w:rsidRPr="004424BA" w:rsidRDefault="0005730C" w:rsidP="0005730C">
      <w:pPr>
        <w:widowControl/>
        <w:rPr>
          <w:rFonts w:ascii="Arial" w:hAnsi="Arial" w:cs="Arial"/>
          <w:b/>
        </w:rPr>
        <w:sectPr w:rsidR="0005730C" w:rsidRPr="004424BA" w:rsidSect="004424BA"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:rsidR="0005730C" w:rsidRPr="000B195D" w:rsidRDefault="0005730C" w:rsidP="000B195D">
      <w:pPr>
        <w:pStyle w:val="PageHeading"/>
        <w:jc w:val="left"/>
        <w:rPr>
          <w:rFonts w:ascii="Times New Roman" w:hAnsi="Times New Roman" w:cs="Times New Roman"/>
        </w:rPr>
      </w:pPr>
      <w:bookmarkStart w:id="10" w:name="_Toc146809151"/>
      <w:bookmarkStart w:id="11" w:name="_Toc161936443"/>
      <w:r w:rsidRPr="000B195D">
        <w:rPr>
          <w:rFonts w:ascii="Times New Roman" w:hAnsi="Times New Roman" w:cs="Times New Roman"/>
        </w:rPr>
        <w:lastRenderedPageBreak/>
        <w:t xml:space="preserve">3. </w:t>
      </w:r>
      <w:r w:rsidR="000B195D">
        <w:rPr>
          <w:rFonts w:ascii="Times New Roman" w:hAnsi="Times New Roman" w:cs="Times New Roman"/>
        </w:rPr>
        <w:t>Usnesení E</w:t>
      </w:r>
      <w:r w:rsidR="000B195D" w:rsidRPr="000B195D">
        <w:rPr>
          <w:rFonts w:ascii="Times New Roman" w:hAnsi="Times New Roman" w:cs="Times New Roman"/>
        </w:rPr>
        <w:t>vropského parlamentu</w:t>
      </w:r>
      <w:bookmarkEnd w:id="10"/>
      <w:bookmarkEnd w:id="11"/>
      <w:r w:rsidR="000B195D" w:rsidRPr="000B195D">
        <w:rPr>
          <w:rFonts w:ascii="Times New Roman" w:hAnsi="Times New Roman" w:cs="Times New Roman"/>
        </w:rPr>
        <w:t xml:space="preserve"> ze dne 11. dubna 2024 obsahující</w:t>
      </w:r>
      <w:r w:rsidRPr="000B195D">
        <w:rPr>
          <w:rFonts w:ascii="Times New Roman" w:hAnsi="Times New Roman" w:cs="Times New Roman"/>
        </w:rPr>
        <w:t xml:space="preserve"> připomínky, které jsou nedílnou součástí rozhodnutí o udělení absolutoria za plnění rozpočtu Evropského inovačního a technologického institutu (EIT) na rozpočtový rok 2022</w:t>
      </w:r>
      <w:r w:rsidR="000B195D" w:rsidRPr="000B195D">
        <w:rPr>
          <w:rFonts w:ascii="Times New Roman" w:hAnsi="Times New Roman" w:cs="Times New Roman"/>
        </w:rPr>
        <w:t xml:space="preserve"> </w:t>
      </w:r>
      <w:r w:rsidRPr="000B195D">
        <w:rPr>
          <w:rFonts w:ascii="Times New Roman" w:hAnsi="Times New Roman" w:cs="Times New Roman"/>
        </w:rPr>
        <w:t>(2023/2154(DEC))</w:t>
      </w:r>
    </w:p>
    <w:p w:rsidR="0005730C" w:rsidRPr="004424BA" w:rsidRDefault="0005730C" w:rsidP="0005730C">
      <w:pPr>
        <w:pStyle w:val="EPComma"/>
      </w:pPr>
      <w:r w:rsidRPr="004424BA">
        <w:rPr>
          <w:i/>
        </w:rPr>
        <w:t>Evropský parlament</w:t>
      </w:r>
      <w:r w:rsidRPr="004424BA">
        <w:t>,</w:t>
      </w:r>
    </w:p>
    <w:p w:rsidR="0005730C" w:rsidRPr="004424BA" w:rsidRDefault="0005730C" w:rsidP="0005730C">
      <w:pPr>
        <w:pStyle w:val="NormalHanging12a"/>
      </w:pPr>
      <w:r w:rsidRPr="004424BA">
        <w:t>–</w:t>
      </w:r>
      <w:r w:rsidRPr="004424BA">
        <w:tab/>
        <w:t>s ohledem na své rozhodnutí o udělení absolutoria za plnění rozpočtu Evropského inovačního a technologického institutu (dále jen „institutu“) na rozpočtový rok 2022,</w:t>
      </w:r>
    </w:p>
    <w:p w:rsidR="0005730C" w:rsidRPr="004424BA" w:rsidRDefault="0005730C" w:rsidP="0005730C">
      <w:pPr>
        <w:pStyle w:val="NormalHanging12a"/>
      </w:pPr>
      <w:r w:rsidRPr="004424BA">
        <w:t>–</w:t>
      </w:r>
      <w:r w:rsidRPr="004424BA">
        <w:tab/>
        <w:t>s ohledem na článek 100 a přílohu V jednacího řádu,</w:t>
      </w:r>
    </w:p>
    <w:p w:rsidR="0005730C" w:rsidRPr="004424BA" w:rsidRDefault="0005730C" w:rsidP="0005730C">
      <w:pPr>
        <w:pStyle w:val="NormalHanging12a"/>
      </w:pPr>
      <w:r w:rsidRPr="004424BA">
        <w:t>–</w:t>
      </w:r>
      <w:r w:rsidRPr="004424BA">
        <w:tab/>
        <w:t>s ohledem na zprávu Výboru pro rozpočtovou kontrolu (A9-0132/2024),</w:t>
      </w:r>
    </w:p>
    <w:p w:rsidR="0005730C" w:rsidRPr="004424BA" w:rsidRDefault="0005730C" w:rsidP="0005730C">
      <w:pPr>
        <w:pStyle w:val="Default"/>
        <w:spacing w:after="240"/>
        <w:ind w:left="567" w:hanging="567"/>
        <w:rPr>
          <w:rFonts w:eastAsia="Times New Roman"/>
          <w:color w:val="auto"/>
        </w:rPr>
      </w:pPr>
      <w:r w:rsidRPr="004424BA">
        <w:rPr>
          <w:color w:val="auto"/>
        </w:rPr>
        <w:t>A.</w:t>
      </w:r>
      <w:r w:rsidRPr="004424BA">
        <w:rPr>
          <w:color w:val="auto"/>
        </w:rPr>
        <w:tab/>
        <w:t>vzhledem k tomu, že konečný rozpočet institutu na rozpočtový rok 2022 činil podle jeho výkazu příjmů a výdajů</w:t>
      </w:r>
      <w:r w:rsidRPr="004424BA">
        <w:rPr>
          <w:rStyle w:val="FootnoteReference"/>
          <w:rFonts w:eastAsia="Times New Roman"/>
          <w:color w:val="auto"/>
          <w:lang w:eastAsia="en-GB"/>
        </w:rPr>
        <w:footnoteReference w:id="11"/>
      </w:r>
      <w:r w:rsidRPr="004424BA">
        <w:rPr>
          <w:color w:val="auto"/>
        </w:rPr>
        <w:t xml:space="preserve"> 406 585 390,99 EUR, což ve srovnání s rokem 2021 představuje zvýšení o 12,65 %; vzhledem k tomu, že rozpočet institutu se odvíjí převážně od rozpočtu Unie;</w:t>
      </w:r>
    </w:p>
    <w:p w:rsidR="0005730C" w:rsidRPr="004424BA" w:rsidRDefault="0005730C" w:rsidP="0005730C">
      <w:pPr>
        <w:spacing w:after="240"/>
        <w:ind w:left="567" w:hanging="567"/>
        <w:rPr>
          <w:szCs w:val="24"/>
        </w:rPr>
      </w:pPr>
      <w:r w:rsidRPr="004424BA">
        <w:t>B.</w:t>
      </w:r>
      <w:r w:rsidRPr="004424BA">
        <w:tab/>
        <w:t>vzhledem k tomu, že Účetní dvůr ve své zprávě o roční účetní závěrce institutu za rozpočtový rok 2022 (dále jen „zpráva Účetního dvora“) uvedl, že Účetní dvůr získal přiměřenou jistotu, že účetní závěrka institutu je spolehlivá a že uskutečněné operace jsou legální a správné;</w:t>
      </w:r>
    </w:p>
    <w:p w:rsidR="0005730C" w:rsidRPr="004424BA" w:rsidRDefault="0005730C" w:rsidP="0005730C">
      <w:pPr>
        <w:spacing w:after="240"/>
        <w:ind w:left="567" w:hanging="567"/>
        <w:rPr>
          <w:b/>
          <w:i/>
          <w:szCs w:val="24"/>
        </w:rPr>
      </w:pPr>
      <w:r w:rsidRPr="004424BA">
        <w:rPr>
          <w:b/>
          <w:i/>
        </w:rPr>
        <w:t>Rozpočtové a finanční řízení</w:t>
      </w:r>
    </w:p>
    <w:p w:rsidR="0005730C" w:rsidRPr="004424BA" w:rsidRDefault="0005730C" w:rsidP="0005730C">
      <w:pPr>
        <w:spacing w:after="240"/>
        <w:ind w:left="567" w:hanging="567"/>
        <w:rPr>
          <w:szCs w:val="24"/>
        </w:rPr>
      </w:pPr>
      <w:r w:rsidRPr="004424BA">
        <w:t>1.</w:t>
      </w:r>
      <w:r w:rsidRPr="004424BA">
        <w:tab/>
        <w:t>bere na vědomí, že díky monitorování rozpočtu v rozpočtovém roce 2022 dosáhla míra plnění prostředků na závazky na běžný rok 94,03 %, což ve srovnání s rokem 2021 představuje pokles o 3,88 %; konstatuje, že míra čerpání prostředků na platby na běžný rok činila 98,42 %, což ve srovnání s rokem 2021 představuje pokles o 1,06 %;</w:t>
      </w:r>
    </w:p>
    <w:p w:rsidR="0005730C" w:rsidRPr="004424BA" w:rsidRDefault="0005730C" w:rsidP="0005730C">
      <w:pPr>
        <w:spacing w:after="240"/>
        <w:ind w:left="567" w:hanging="567"/>
        <w:rPr>
          <w:szCs w:val="24"/>
        </w:rPr>
      </w:pPr>
      <w:r w:rsidRPr="004424BA">
        <w:t>2.</w:t>
      </w:r>
      <w:r w:rsidRPr="004424BA">
        <w:tab/>
        <w:t>bere na vědomí, že částka konečného rozpočtu institutu je výsledkem změny ve výši 656 930,67 EUR, kterou přijala správní rada v důsledku úprav ročního pracovního programu institutu na rok 2022;</w:t>
      </w:r>
    </w:p>
    <w:p w:rsidR="0005730C" w:rsidRPr="004424BA" w:rsidRDefault="0005730C" w:rsidP="0005730C">
      <w:pPr>
        <w:spacing w:after="240"/>
        <w:ind w:left="567" w:hanging="567"/>
        <w:rPr>
          <w:szCs w:val="24"/>
        </w:rPr>
      </w:pPr>
      <w:r w:rsidRPr="004424BA">
        <w:t>3.</w:t>
      </w:r>
      <w:r w:rsidRPr="004424BA">
        <w:tab/>
        <w:t>se znepokojením bere na vědomí připomínku Účetního dvora ohledně legality a správnosti grantů institutu, jež byly ověřeny ex post nezávislým externím auditorem, kdy míra chyb v roce 2021 činila 1,73 % (ve srovnání s 0,66 % v roce 2020), a zdůrazňuje, že ačkoli míra chyb nepřekročila práh významnosti 2 %, kritická rizika vyplývající z vyššího rozpočtu, rozšířeného mandátu a činností v rámci programu Horizont Evropa a z většího počtu znalostních a inovačních společenství mohou zatížit schopnost institutu účinně dohlížet na znalostní a inovační společenství a sledovat je, což by mohlo v budoucnu vést k vyšší míře chyb a přehlédnutí nesrovnalostí; vyzývá institut, aby přijal konkrétní opatření ke snížení míry chyb;</w:t>
      </w:r>
    </w:p>
    <w:p w:rsidR="0005730C" w:rsidRPr="004424BA" w:rsidRDefault="0005730C" w:rsidP="0005730C">
      <w:pPr>
        <w:spacing w:after="240"/>
        <w:ind w:left="567" w:hanging="567"/>
        <w:rPr>
          <w:szCs w:val="24"/>
        </w:rPr>
      </w:pPr>
      <w:r w:rsidRPr="004424BA">
        <w:t>4.</w:t>
      </w:r>
      <w:r w:rsidRPr="004424BA">
        <w:tab/>
        <w:t>poznamenává, že jak vyplývá ze zprávy Účetního dvora, institut v roce 2022 dvakrát zaplatil úroky z prodlení v souvislosti s granty v celkové výši 32 070 EUR; se znepokojením konstatuje, že v obou případech institut řádně nesledoval zákonné lhůty, což svědčí o nedostatcích v platebním toku institutu;</w:t>
      </w:r>
      <w:r w:rsidRPr="004424BA">
        <w:rPr>
          <w:rFonts w:ascii="Calibri" w:hAnsi="Calibri"/>
          <w:color w:val="000000"/>
          <w:sz w:val="22"/>
        </w:rPr>
        <w:t xml:space="preserve"> </w:t>
      </w:r>
      <w:r w:rsidRPr="004424BA">
        <w:t xml:space="preserve">bere na vědomí odpověď institutu na připomínku Účetního dvora, že v roce 2023 provedl přezkum svých postupů pro </w:t>
      </w:r>
      <w:r w:rsidRPr="004424BA">
        <w:lastRenderedPageBreak/>
        <w:t>řízení grantů, vyškolil příslušné zaměstnance a k řízení grantů začal používat informační systém Komise (</w:t>
      </w:r>
      <w:proofErr w:type="spellStart"/>
      <w:r w:rsidRPr="004424BA">
        <w:t>eGrants</w:t>
      </w:r>
      <w:proofErr w:type="spellEnd"/>
      <w:r w:rsidRPr="004424BA">
        <w:t>), čímž výrazně snížil pravděpodobnost výskytu podobné chyby v budoucnosti;</w:t>
      </w:r>
    </w:p>
    <w:p w:rsidR="0005730C" w:rsidRPr="004424BA" w:rsidRDefault="0005730C" w:rsidP="0005730C">
      <w:pPr>
        <w:spacing w:after="240"/>
        <w:ind w:left="567" w:hanging="567"/>
        <w:rPr>
          <w:b/>
          <w:i/>
          <w:szCs w:val="24"/>
        </w:rPr>
      </w:pPr>
      <w:r w:rsidRPr="004424BA">
        <w:rPr>
          <w:b/>
          <w:i/>
        </w:rPr>
        <w:t>Výkonnost</w:t>
      </w:r>
    </w:p>
    <w:p w:rsidR="0005730C" w:rsidRPr="004424BA" w:rsidRDefault="0005730C" w:rsidP="0005730C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4424BA">
        <w:t>5.</w:t>
      </w:r>
      <w:r w:rsidRPr="004424BA">
        <w:tab/>
        <w:t>s uspokojením bere na vědomí, že institut používá pro provozní činnosti, řízení a institucionální komunikaci systém klíčových ukazatelů výkonnosti; dále bere na vědomí, že institut s určitým zpožděním splnil přibližně 95 % svého pracovního programu na rok 2022; bere na vědomí, že v rámci Nového evropského programu inovací byl institut pověřen novými činnostmi, které nebyly zahrnuty do původního plánu a na jejichž realizaci nebyly přiděleny žádné dodatečné zdroje;</w:t>
      </w:r>
    </w:p>
    <w:p w:rsidR="0005730C" w:rsidRPr="004424BA" w:rsidRDefault="0005730C" w:rsidP="0005730C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4424BA">
        <w:t>6.</w:t>
      </w:r>
      <w:r w:rsidRPr="004424BA">
        <w:tab/>
        <w:t>s potěšením konstatuje, že institut v roce 2022 nadále zvyšoval dopad své činnosti a umožnil vznik téměř 1 670 inovativních produktů a služeb, poskytl školení tisícům podnikatelů a podpořil 5 600 začínajících a rozvíjejících se podniků, které přilákaly investice ve výši téměř 6 miliard EUR; dále bere na vědomí, že institut dokončil svou integraci do programu Horizont Evropa a přešel na víceletý model financování;</w:t>
      </w:r>
    </w:p>
    <w:p w:rsidR="0005730C" w:rsidRPr="004424BA" w:rsidRDefault="0005730C" w:rsidP="0005730C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4424BA">
        <w:t>7.</w:t>
      </w:r>
      <w:r w:rsidRPr="004424BA">
        <w:tab/>
        <w:t xml:space="preserve">konstatuje, že institut pokročil v provádění pilotní iniciativy „Budování inovačních kapacit pro vysokoškolské vzdělávání“, která byla zahájena v roce 2021, a že se zvýšil zájem a účast vysokoškolských institucí; bere na vědomí, že institut byl oceněn jako jeden z klíčových aktérů evropského inovačního ekosystému díky zahájení iniciativy pro talenty v oblasti </w:t>
      </w:r>
      <w:proofErr w:type="spellStart"/>
      <w:r w:rsidRPr="004424BA">
        <w:t>deep</w:t>
      </w:r>
      <w:proofErr w:type="spellEnd"/>
      <w:r w:rsidRPr="004424BA">
        <w:t xml:space="preserve"> </w:t>
      </w:r>
      <w:proofErr w:type="spellStart"/>
      <w:r w:rsidRPr="004424BA">
        <w:t>tech</w:t>
      </w:r>
      <w:proofErr w:type="spellEnd"/>
      <w:r w:rsidRPr="004424BA">
        <w:t>, jež má v příštích třech letech zajistit nejméně jednomu milionu talentovaných osob získání či změnu kvalifikace a prohlubování dovedností;</w:t>
      </w:r>
    </w:p>
    <w:p w:rsidR="0005730C" w:rsidRPr="004424BA" w:rsidRDefault="0005730C" w:rsidP="0005730C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4424BA">
        <w:t>8.</w:t>
      </w:r>
      <w:r w:rsidRPr="004424BA">
        <w:tab/>
        <w:t>oceňuje institut za to, že podpořil obyvatele Ukrajiny po nezákonné a nevyprovokované invazi Ruska v únoru 2022 a poskytl pomoc studentům, podnikatelům, výzkumným pracovníkům a vysokoškolským institucím a podnikům; dále bere na vědomí, že institut v rámci programu „Pomoc při oživení pro soudržnost a území Evropy“ zahájil Akademii Evropské bateriové aliance, na niž obdržel první větší příděl finančních prostředků z jiného programu;</w:t>
      </w:r>
    </w:p>
    <w:p w:rsidR="0005730C" w:rsidRPr="004424BA" w:rsidRDefault="0005730C" w:rsidP="0005730C">
      <w:pPr>
        <w:autoSpaceDE w:val="0"/>
        <w:autoSpaceDN w:val="0"/>
        <w:adjustRightInd w:val="0"/>
        <w:spacing w:after="240"/>
        <w:ind w:left="567" w:hanging="567"/>
        <w:rPr>
          <w:b/>
          <w:i/>
          <w:szCs w:val="24"/>
        </w:rPr>
      </w:pPr>
      <w:r w:rsidRPr="004424BA">
        <w:rPr>
          <w:b/>
          <w:i/>
        </w:rPr>
        <w:t>Účinnost a přínosy</w:t>
      </w:r>
    </w:p>
    <w:p w:rsidR="0005730C" w:rsidRPr="004424BA" w:rsidRDefault="0005730C" w:rsidP="0005730C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4424BA">
        <w:t>9.</w:t>
      </w:r>
      <w:r w:rsidRPr="004424BA">
        <w:tab/>
        <w:t>bere na vědomí, že institut podepsal memorandum o porozumění s Agenturou Evropské unie pro vzdělávání a výcvik v oblasti prosazování práva, které zahrnuje několik společných činností a hodnocení bezpečnosti; připomíná, že společné činnosti sbližují různé úhly pohledu, omezují zdvojování činnosti, zlepšují učení a posilují vztahy mezi účastníky; dále bere na vědomí, že v roce 2021 institut zahájil přechod z programu Horizont 2020 na program Horizont Evropa v zájmu zvýšení účinnosti a v roce 2022 jej ve spolupráci s Komisí dokončil;</w:t>
      </w:r>
    </w:p>
    <w:p w:rsidR="0005730C" w:rsidRPr="004424BA" w:rsidRDefault="0005730C" w:rsidP="0005730C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4424BA">
        <w:t>10.</w:t>
      </w:r>
      <w:r w:rsidRPr="004424BA">
        <w:tab/>
        <w:t xml:space="preserve">poznamenává, že institut zavedl odlišná přezkoumání efektivity procesů, která vedla mimo jiné k úpravě popisů práce, stanovení cílů pro zaměstnance a rozdělování úkolů a zdrojů; bere na vědomí, že institut provedl v roce 2022 restrukturalizaci a přijal dokument </w:t>
      </w:r>
      <w:proofErr w:type="spellStart"/>
      <w:r w:rsidRPr="004424BA">
        <w:rPr>
          <w:i/>
          <w:iCs/>
        </w:rPr>
        <w:t>Way</w:t>
      </w:r>
      <w:proofErr w:type="spellEnd"/>
      <w:r w:rsidRPr="004424BA">
        <w:rPr>
          <w:i/>
          <w:iCs/>
        </w:rPr>
        <w:t xml:space="preserve"> </w:t>
      </w:r>
      <w:proofErr w:type="spellStart"/>
      <w:r w:rsidRPr="004424BA">
        <w:rPr>
          <w:i/>
          <w:iCs/>
        </w:rPr>
        <w:t>of</w:t>
      </w:r>
      <w:proofErr w:type="spellEnd"/>
      <w:r w:rsidRPr="004424BA">
        <w:rPr>
          <w:i/>
          <w:iCs/>
        </w:rPr>
        <w:t xml:space="preserve"> </w:t>
      </w:r>
      <w:proofErr w:type="spellStart"/>
      <w:r w:rsidRPr="004424BA">
        <w:rPr>
          <w:i/>
          <w:iCs/>
        </w:rPr>
        <w:t>Working</w:t>
      </w:r>
      <w:proofErr w:type="spellEnd"/>
      <w:r w:rsidRPr="004424BA">
        <w:t xml:space="preserve"> (Způsob práce), který má mimo jiné zefektivnit práci v souvislosti s používáním elektronické pošty, schůze či práci na dálku;</w:t>
      </w:r>
    </w:p>
    <w:p w:rsidR="0005730C" w:rsidRPr="004424BA" w:rsidRDefault="0005730C" w:rsidP="0005730C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4424BA">
        <w:t>11.</w:t>
      </w:r>
      <w:r w:rsidRPr="004424BA">
        <w:tab/>
        <w:t xml:space="preserve">s potěšením konstatuje, že v roce 2022 byly zprovozněny nové nástroje IT na podporu administrativních činností institutu, jejichž konečným cílem je zvýšení účinnosti a </w:t>
      </w:r>
      <w:r w:rsidRPr="004424BA">
        <w:lastRenderedPageBreak/>
        <w:t>účelnosti provozu, včetně zavedení nástroje pro zadávání veřejných zakázek PPMT, elektronického podpisu (Q-Sign) a různých modulů informačního systému Evropské komise pro řízení lidských zdrojů (SYSPER); vyzývá institut, aby identifikoval další interní postupy, které by mohly být zefektivněny pomocí nových nástrojů IT;</w:t>
      </w:r>
    </w:p>
    <w:p w:rsidR="0005730C" w:rsidRPr="004424BA" w:rsidRDefault="0005730C" w:rsidP="0005730C">
      <w:pPr>
        <w:pStyle w:val="NormalHanging12a"/>
      </w:pPr>
      <w:r w:rsidRPr="004424BA">
        <w:t>12.</w:t>
      </w:r>
      <w:r w:rsidRPr="004424BA">
        <w:tab/>
        <w:t>připomíná, že je důležité zvýšit i urychlit digitalizaci vnitřního chodu a řízení institutu i urychlit digitalizaci jeho postupů; zdůrazňuje, že je třeba, aby byl institut v tomto ohledu nadále aktivní, aby se zabránilo rozdílům v digitalizaci agentur Unie; upozorňuje však na to, že je třeba přijmout veškerá nezbytná bezpečnostní opatření, aby se na internetu zabránilo bezpečnostním rizikům pro zpracovávané informace, a trvá na tom, že je nutné posílit opatření proti kybernetickým útokům nebo pokusům o infiltraci, zejména útoků pocházejících z Ruska nebo Číny;</w:t>
      </w:r>
    </w:p>
    <w:p w:rsidR="0005730C" w:rsidRPr="004424BA" w:rsidRDefault="0005730C" w:rsidP="0005730C">
      <w:pPr>
        <w:spacing w:after="240"/>
        <w:ind w:left="567" w:hanging="567"/>
        <w:rPr>
          <w:szCs w:val="24"/>
        </w:rPr>
      </w:pPr>
      <w:r w:rsidRPr="004424BA">
        <w:rPr>
          <w:b/>
          <w:i/>
        </w:rPr>
        <w:t>Personální politika</w:t>
      </w:r>
    </w:p>
    <w:p w:rsidR="0005730C" w:rsidRPr="004424BA" w:rsidRDefault="0005730C" w:rsidP="0005730C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4424BA">
        <w:t>13.</w:t>
      </w:r>
      <w:r w:rsidRPr="004424BA">
        <w:tab/>
        <w:t>bere na vědomí, že ke dni 31. prosince 2022 byl plán pracovních míst naplněn z 93 %, přičemž ze 45 schválených pracovních míst v rámci rozpočtu Unie bylo jmenováno 40 dočasných zaměstnanců (stejný počet schválených pracovních míst jako v roce 2021); konstatuje, že v roce 2022 pro institut dále pracovalo 25 smluvních zaměstnanců, 10 dočasných zaměstnanců a jeden vyslaný národní odborník;</w:t>
      </w:r>
    </w:p>
    <w:p w:rsidR="0005730C" w:rsidRPr="004424BA" w:rsidRDefault="0005730C" w:rsidP="0005730C">
      <w:pPr>
        <w:autoSpaceDE w:val="0"/>
        <w:autoSpaceDN w:val="0"/>
        <w:adjustRightInd w:val="0"/>
        <w:spacing w:after="240"/>
        <w:ind w:left="567" w:hanging="567"/>
        <w:rPr>
          <w:bCs/>
          <w:szCs w:val="24"/>
        </w:rPr>
      </w:pPr>
      <w:r w:rsidRPr="004424BA">
        <w:t>14.</w:t>
      </w:r>
      <w:r w:rsidRPr="004424BA">
        <w:tab/>
        <w:t>je znepokojen skutečností, že ačkoli Účetní dvůr ve svých výročních zprávách poukazuje na trvalý nedostatek zaměstnanců institutu, dosud nebyla vytvořena další pracovní místa; upozorňuje na to, že institut na začátku roku 2023 znovu požádal o přidělení dalších 10 pracovních míst, aby mohl plnit pracovní program na rok 2024; zdůrazňuje, že je třeba sladit zdroje institutu s očekávánými úkoly vyplývajícími z jeho mandátu;</w:t>
      </w:r>
    </w:p>
    <w:p w:rsidR="0005730C" w:rsidRPr="004424BA" w:rsidRDefault="0005730C" w:rsidP="0005730C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4424BA">
        <w:t>15.</w:t>
      </w:r>
      <w:r w:rsidRPr="004424BA">
        <w:tab/>
        <w:t>bere na vědomí genderové složení ve vyšších a středních úrovních vedení, na nichž pět z osmi pozic jsou obsazeny muži; je znepokojen genderovým složením čtrnáctičlenné správní rady, v níž zasedá devět mužů; všímá si celkového genderového složení institutu, kdy z 65 pracovníků je 28 mužů; bere na vědomí, že v roce 2022 byly schváleny politika a akční plán institutu pro rovnost žen a mužů; připomíná, že je důležité zajistit vyvážené zastoupení žen a mužů, a vyzývá institut, aby tento aspekt v budoucnu zohlednil při přijímání zaměstnanců a jmenování členů vrcholného a středního vedení; žádá Komisi, aby při předkládání nominací do správní rady institutu přihlížela k tomu, že je důležité zajistit vyvážené zastoupení žen a mužů;</w:t>
      </w:r>
    </w:p>
    <w:p w:rsidR="0005730C" w:rsidRPr="004424BA" w:rsidRDefault="0005730C" w:rsidP="0005730C">
      <w:pPr>
        <w:pStyle w:val="NormalHanging12a"/>
      </w:pPr>
      <w:r w:rsidRPr="004424BA">
        <w:t>16.</w:t>
      </w:r>
      <w:r w:rsidRPr="004424BA">
        <w:tab/>
        <w:t>vyjadřuje znepokojení nad geografickou nevyvážeností vrcholného a středního vedení institutu, který má pouze jednoho vedoucího pracovníka z regionu střední a východní Evropy; trvá na tom, že je třeba dosáhnout zlepšení; žádá institut, aby orgánu příslušnému k udělení absolutoria podal v této souvislosti zprávu;</w:t>
      </w:r>
    </w:p>
    <w:p w:rsidR="0005730C" w:rsidRPr="004424BA" w:rsidRDefault="0005730C" w:rsidP="0005730C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4424BA">
        <w:t>17.</w:t>
      </w:r>
      <w:r w:rsidRPr="004424BA">
        <w:tab/>
        <w:t xml:space="preserve">vítá iniciativy institutu, které posilují význam genderové vyváženosti, jako je program </w:t>
      </w:r>
      <w:proofErr w:type="spellStart"/>
      <w:r w:rsidRPr="004424BA">
        <w:t>Girls</w:t>
      </w:r>
      <w:proofErr w:type="spellEnd"/>
      <w:r w:rsidRPr="004424BA">
        <w:t xml:space="preserve"> Go </w:t>
      </w:r>
      <w:proofErr w:type="spellStart"/>
      <w:r w:rsidRPr="004424BA">
        <w:t>Circular</w:t>
      </w:r>
      <w:proofErr w:type="spellEnd"/>
      <w:r w:rsidRPr="004424BA">
        <w:t xml:space="preserve"> určený pro školy a program </w:t>
      </w:r>
      <w:proofErr w:type="spellStart"/>
      <w:r w:rsidRPr="004424BA">
        <w:t>Supernovas</w:t>
      </w:r>
      <w:proofErr w:type="spellEnd"/>
      <w:r w:rsidRPr="004424BA">
        <w:t>, který podporuje podnikatelského duchu a manažerské schopnosti žen; dále bere na vědomí, že institut v roce 2023 přijal Chartu rozmanitosti a začleňování sítě agentur EU, kterou stvrzuje svůj závazek k zajištění rovných příležitostí v každé etapě profesní dráhy a k podpoře pracovního prostředí, v němž je rozmanitost považována za zdroj inovací, obohacení a tvořivosti a v němž vedoucí pracovníci a všichni zaměstnanci podporují začleňování;</w:t>
      </w:r>
    </w:p>
    <w:p w:rsidR="0005730C" w:rsidRPr="004424BA" w:rsidRDefault="0005730C" w:rsidP="0005730C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4424BA">
        <w:lastRenderedPageBreak/>
        <w:t>18</w:t>
      </w:r>
      <w:r w:rsidR="00A37E7E">
        <w:t>.</w:t>
      </w:r>
      <w:r w:rsidRPr="004424BA">
        <w:tab/>
        <w:t>poznamenává, že institut v roce 2022 zavedl většinu modulů systému SYSPER a hodlá v tom pokračovat i v roce 2023; bere na vědomí, že institut přijal Chartu rozmanitosti a začleňování sítě agentur Evropské unie, čímž prokázal svůj závazek k zajišťování rovných příležitostí a zlepšování pracovního prostředí; dále konstatuje, že institut zavedl několik opatření ke zlepšení dobrých pracovních podmínek a rovnováhy mezi pracovním a soukromým životem svých zaměstnanců, mimo jiné úhradu nákladů na veřejnou dopravu, zápis dětí do mezinárodních mateřských škol a flexibilní či hybridní způsob práce;</w:t>
      </w:r>
    </w:p>
    <w:p w:rsidR="0005730C" w:rsidRPr="004424BA" w:rsidRDefault="0005730C" w:rsidP="0005730C">
      <w:pPr>
        <w:pStyle w:val="NormalHanging12a"/>
      </w:pPr>
      <w:r w:rsidRPr="004424BA">
        <w:t>19.</w:t>
      </w:r>
      <w:r w:rsidRPr="004424BA">
        <w:tab/>
        <w:t>konstatuje, že institut v rámci vzdělávacího programu, který byl vypracován s ohledem na potřebu institutu a jeho zaměstnanců zlepšit celkovou výkonnost, i nadále svým zaměstnancům nabízel školení on-line, včetně odborné přípravy v oblasti etiky a bezúhonnosti, prevence obtěžování, ochrany údajů, efektivních hybridních schůzí, informovanosti o bezpečnosti IT a bezpečnostních školení;</w:t>
      </w:r>
    </w:p>
    <w:p w:rsidR="0005730C" w:rsidRPr="004424BA" w:rsidRDefault="0005730C" w:rsidP="0005730C">
      <w:pPr>
        <w:pStyle w:val="NormalHanging12a"/>
      </w:pPr>
      <w:r w:rsidRPr="004424BA">
        <w:t>20.</w:t>
      </w:r>
      <w:r w:rsidRPr="004424BA">
        <w:tab/>
        <w:t>s potěšením konstatuje, že v roce 2022 byla úspěšně vyhlášena dvě řízení pro nabídky stáží; konstatuje, že v roce 2022 se díky nim zúčastnilo stáží v institutu celkem 23 mladých odborníků, kteří v tomto roce stáže zahájili nebo dokončili;</w:t>
      </w:r>
    </w:p>
    <w:p w:rsidR="0005730C" w:rsidRPr="004424BA" w:rsidRDefault="0005730C" w:rsidP="0005730C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4424BA">
        <w:t>21.</w:t>
      </w:r>
      <w:r w:rsidRPr="004424BA">
        <w:tab/>
        <w:t>bere na vědomí, že jeden bývalý komisař a jeden bývalý poslanec Evropského parlamentu pobírají jako členové správní rady z rozpočtu institutu honoráře ve výši 2 000 EUR za každou účast na zasedání správní rady;</w:t>
      </w:r>
    </w:p>
    <w:p w:rsidR="0005730C" w:rsidRPr="004424BA" w:rsidRDefault="0005730C" w:rsidP="0005730C">
      <w:pPr>
        <w:pStyle w:val="NormalHanging12a"/>
      </w:pPr>
      <w:r w:rsidRPr="004424BA">
        <w:t>22.</w:t>
      </w:r>
      <w:r w:rsidRPr="004424BA">
        <w:tab/>
        <w:t xml:space="preserve">je znepokojen tím, že v roce 2022 byl nahlášen jeden případ obtěžování a bylo zahájeno správní šetření, které stále probíhá; vyzývá institut, aby orgán příslušný k udělení absolutoria co nejdříve informoval o dalším vývoji tohoto případu; bere na vědomí, že institut uplatňuje politiku ochrany lidské důstojnosti a předcházení psychickému a sexuálnímu obtěžování a že je členem </w:t>
      </w:r>
      <w:proofErr w:type="spellStart"/>
      <w:r w:rsidRPr="004424BA">
        <w:t>meziagenturní</w:t>
      </w:r>
      <w:proofErr w:type="spellEnd"/>
      <w:r w:rsidRPr="004424BA">
        <w:t xml:space="preserve"> pracovní skupiny důvěrných poradců; se zájmem očekává jejich zprávu a doporučení;</w:t>
      </w:r>
    </w:p>
    <w:p w:rsidR="0005730C" w:rsidRPr="004424BA" w:rsidRDefault="0005730C" w:rsidP="0005730C">
      <w:pPr>
        <w:spacing w:after="240"/>
        <w:ind w:left="567" w:hanging="567"/>
        <w:rPr>
          <w:b/>
          <w:i/>
          <w:szCs w:val="24"/>
        </w:rPr>
      </w:pPr>
      <w:r w:rsidRPr="004424BA">
        <w:rPr>
          <w:b/>
          <w:i/>
        </w:rPr>
        <w:t>Prevence a řešení střetů zájmů a transparentnost</w:t>
      </w:r>
    </w:p>
    <w:p w:rsidR="0005730C" w:rsidRPr="004424BA" w:rsidRDefault="0005730C" w:rsidP="0005730C">
      <w:pPr>
        <w:spacing w:after="240"/>
        <w:ind w:left="567" w:hanging="567"/>
        <w:rPr>
          <w:szCs w:val="24"/>
        </w:rPr>
      </w:pPr>
      <w:r w:rsidRPr="004424BA">
        <w:t>23.</w:t>
      </w:r>
      <w:r w:rsidRPr="004424BA">
        <w:tab/>
        <w:t>bere na vědomí stávající opatření institutu a jeho pokračující úsilí o zajištění transparentnosti, prevence a řešení střetů zájmů a ochrany oznamovatelů; bere na vědomí, že institut na svých internetových stránkách zveřejnil prohlášení o zájmech a životopisy členů správní rady a řídícího týmu;</w:t>
      </w:r>
      <w:r w:rsidRPr="004424BA">
        <w:rPr>
          <w:rFonts w:ascii="Calibri" w:hAnsi="Calibri"/>
          <w:color w:val="1F497D"/>
          <w:sz w:val="22"/>
        </w:rPr>
        <w:t xml:space="preserve"> </w:t>
      </w:r>
      <w:r w:rsidRPr="004424BA">
        <w:t>dále konstatuje, že institut na svých internetových stránkách každý měsíc zveřejňuje informace o všech zasedáních správní rady a řídícího týmu a o účasti na veřejných akcích a schůzkách;</w:t>
      </w:r>
    </w:p>
    <w:p w:rsidR="0005730C" w:rsidRPr="004424BA" w:rsidRDefault="0005730C" w:rsidP="0005730C">
      <w:pPr>
        <w:spacing w:after="240"/>
        <w:ind w:left="567" w:hanging="567"/>
        <w:rPr>
          <w:szCs w:val="24"/>
        </w:rPr>
      </w:pPr>
      <w:r w:rsidRPr="004424BA">
        <w:t>24.</w:t>
      </w:r>
      <w:r w:rsidRPr="004424BA">
        <w:tab/>
        <w:t>bere na vědomí, že institut zavedl politiku prevence a řešení střetů zájmů svých zaměstnanců, včetně postupů pro vydávání a posuzování ročních prohlášení o zájmech a postupu pro případ porušení důvěry v souvislosti s pravidly institutu pro prohlášení o zájmech; dále bere na vědomí, že institut ustavil výbor pro řešení konfliktů a poskytování poradenství, zajišťuje kurzy pro zaměstnance o etice a profesní bezúhonnosti a připravuje rozhodnutí o vzorech a administrativních postupech v souvislosti se střetem zájmů;</w:t>
      </w:r>
    </w:p>
    <w:p w:rsidR="0005730C" w:rsidRPr="004424BA" w:rsidRDefault="0005730C" w:rsidP="0005730C">
      <w:pPr>
        <w:spacing w:after="240"/>
        <w:ind w:left="567" w:hanging="567"/>
        <w:rPr>
          <w:szCs w:val="24"/>
        </w:rPr>
      </w:pPr>
      <w:r w:rsidRPr="004424BA">
        <w:t>25.</w:t>
      </w:r>
      <w:r w:rsidRPr="004424BA">
        <w:tab/>
        <w:t xml:space="preserve">oceňuje úsilí institutu týkající se prohlášení o zájmech členů správní rady, po nichž vyžaduje tři různá prohlášení: roční prohlášení o zájmech, prohlášení o zájmech v souvislosti s posuzováním návrhů znalostních a inovačních společenství a prohlášení o zájmech v souvislosti s plánem činnosti znalostních a inovačních společenství; bere na </w:t>
      </w:r>
      <w:r w:rsidRPr="004424BA">
        <w:lastRenderedPageBreak/>
        <w:t>vědomí, že u některých členů správní rady byly na základě ročních prohlášení o zájmech zjištěny střety zájmů a že dotčení členové byli o této skutečnosti informováni a bylo přijato zmírňující opatření;</w:t>
      </w:r>
    </w:p>
    <w:p w:rsidR="0005730C" w:rsidRPr="004424BA" w:rsidRDefault="0005730C" w:rsidP="0005730C">
      <w:pPr>
        <w:spacing w:after="240"/>
        <w:ind w:left="567" w:hanging="567"/>
        <w:rPr>
          <w:szCs w:val="24"/>
        </w:rPr>
      </w:pPr>
      <w:r w:rsidRPr="004424BA">
        <w:t>26.</w:t>
      </w:r>
      <w:r w:rsidRPr="004424BA">
        <w:tab/>
        <w:t>bere na vědomí, že institut připravuje novou politiku pro posuzování omezení a zákazů po skončení pracovního poměru vedoucích pracovníků, které se vztahují na výkon určitých funkcí po skončení funkčního období v institutu; poznamenává, že v uvedené politice budou určeny funkce, které je zakázáno zastávat po skončení funkčního období, jakož i kritéria, na jejichž základě bude v budoucnu zakázán nástup do těchto funkcí po dobu dvou let; s potěšením konstatuje, že institut na začátku roku 2024 rovněž přijme politiku či rozhodnutí pro předcházení korupci, které vytvoří základ pro vypracování a zavedení interních protikorupčních mechanismů;</w:t>
      </w:r>
    </w:p>
    <w:p w:rsidR="0005730C" w:rsidRPr="004424BA" w:rsidRDefault="0005730C" w:rsidP="0005730C">
      <w:pPr>
        <w:pStyle w:val="NormalHanging12a"/>
        <w:rPr>
          <w:b/>
          <w:i/>
        </w:rPr>
      </w:pPr>
      <w:r w:rsidRPr="004424BA">
        <w:t>27.</w:t>
      </w:r>
      <w:r w:rsidRPr="004424BA">
        <w:tab/>
        <w:t>bere na vědomí, že úřad OLAF vydal dvě doporučení na základě dvou různých vyšetřování, přičemž jedno doporučení bylo provedeno v průběhu roku 2022 a druhé doporučení je prováděno v současné době; žádá institut, aby orgánu příslušnému k udělení absolutoria podal zprávu o opatřeních přijatých v návaznosti na tato doporučení;</w:t>
      </w:r>
    </w:p>
    <w:p w:rsidR="0005730C" w:rsidRPr="004424BA" w:rsidRDefault="0005730C" w:rsidP="0005730C">
      <w:pPr>
        <w:pStyle w:val="NormalHanging12a"/>
      </w:pPr>
      <w:r w:rsidRPr="004424BA">
        <w:t>28.</w:t>
      </w:r>
      <w:r w:rsidRPr="004424BA">
        <w:tab/>
        <w:t>připomíná, že je důležité, aby se institut více zviditelňoval ve sdělovacích prostředcích, na internetu a na sociálních sítích, aby se občané mohli blíže seznámit s jeho činností;</w:t>
      </w:r>
    </w:p>
    <w:p w:rsidR="0005730C" w:rsidRPr="004424BA" w:rsidRDefault="0005730C" w:rsidP="0005730C">
      <w:pPr>
        <w:spacing w:after="240"/>
        <w:ind w:left="567" w:hanging="567"/>
        <w:rPr>
          <w:b/>
          <w:i/>
          <w:szCs w:val="24"/>
        </w:rPr>
      </w:pPr>
      <w:r w:rsidRPr="004424BA">
        <w:rPr>
          <w:b/>
          <w:i/>
        </w:rPr>
        <w:t>Zadávání veřejných zakázek</w:t>
      </w:r>
    </w:p>
    <w:p w:rsidR="0005730C" w:rsidRPr="004424BA" w:rsidRDefault="0005730C" w:rsidP="0005730C">
      <w:pPr>
        <w:spacing w:after="240"/>
        <w:ind w:left="567" w:hanging="567"/>
        <w:rPr>
          <w:szCs w:val="24"/>
        </w:rPr>
      </w:pPr>
      <w:r w:rsidRPr="004424BA">
        <w:t>29.</w:t>
      </w:r>
      <w:r w:rsidRPr="004424BA">
        <w:tab/>
        <w:t>bere na vědomí, že u tří kontrolovaných administrativních plateb ve výši 337 116 EUR schválil institut rozpočtové závazky až po podpisu souvisejících právních závazků; zdůrazňuje, že se nejedná o ojedinělý případ, neboť Účetní dvůr zaznamenal podobný problém už ve své zprávě za rok 2021; připomíná, že tento postup je v rozporu s čl. 73 odst. 2 nařízení Komise v přenesené pravomoci (EU) 2019/715</w:t>
      </w:r>
      <w:r w:rsidRPr="004424BA">
        <w:rPr>
          <w:rStyle w:val="FootnoteReference"/>
          <w:szCs w:val="24"/>
        </w:rPr>
        <w:footnoteReference w:id="12"/>
      </w:r>
      <w:r w:rsidRPr="004424BA">
        <w:t xml:space="preserve"> (rámcové finanční nařízení); konstatuje, že institut ve své odpovědi uvedl, že přijme další opatření k zajištění plného souladu s ustanovením čl. 73 odst. 2, konkrétně že uspořádá specializované informační schůzky pro zaměstnance, provede aktualizaci zavedených postupů a posílí související vnitřní kontroly; naléhavě vyzývá institut, aby neprodleně přijal opatření, která zajistí, že všechny finanční transakce budou v souladu s rámcovým finančním nařízením;</w:t>
      </w:r>
    </w:p>
    <w:p w:rsidR="0005730C" w:rsidRPr="004424BA" w:rsidRDefault="0005730C" w:rsidP="0005730C">
      <w:pPr>
        <w:spacing w:after="240"/>
        <w:ind w:left="567" w:hanging="567"/>
        <w:rPr>
          <w:b/>
          <w:i/>
          <w:szCs w:val="24"/>
        </w:rPr>
      </w:pPr>
      <w:r w:rsidRPr="004424BA">
        <w:rPr>
          <w:b/>
          <w:i/>
        </w:rPr>
        <w:t>Interní audit</w:t>
      </w:r>
    </w:p>
    <w:p w:rsidR="0005730C" w:rsidRPr="004424BA" w:rsidRDefault="0005730C" w:rsidP="0005730C">
      <w:pPr>
        <w:spacing w:after="240"/>
        <w:ind w:left="567" w:hanging="567"/>
        <w:rPr>
          <w:szCs w:val="24"/>
        </w:rPr>
      </w:pPr>
      <w:r w:rsidRPr="004424BA">
        <w:t>30.</w:t>
      </w:r>
      <w:r w:rsidRPr="004424BA">
        <w:tab/>
        <w:t xml:space="preserve">bere na vědomí, že institut dokončil přechod z funkce interního auditu na funkci monitorování a kontroly znalostních a inovačních společenství přijatou rozhodnutím správní rady 12/2022 s účinností od 1. dubna 2022; bere na vědomí, že funkci interního auditu nyní vykonává Útvar interního auditu Komise; poznamenává, že navíc byla posílena úloha koordinátora vnitřní kontroly, jehož úkoly zahrnují koordinaci činností vnitřní kontroly a podávání zpráv v rámci institutu, provádění doporučení vydaná v rámci auditu, koordinaci auditů, styk s externími kontrolními orgány a účast na finančním a provozním řízení v oblastech, jako je zadávání veřejných zakázek, plnění </w:t>
      </w:r>
      <w:r w:rsidRPr="004424BA">
        <w:lastRenderedPageBreak/>
        <w:t>smluv, platby a podávání zpráv;</w:t>
      </w:r>
    </w:p>
    <w:p w:rsidR="0005730C" w:rsidRPr="004424BA" w:rsidRDefault="0005730C" w:rsidP="0005730C">
      <w:pPr>
        <w:spacing w:after="240"/>
        <w:ind w:left="567" w:hanging="567"/>
        <w:rPr>
          <w:szCs w:val="24"/>
        </w:rPr>
      </w:pPr>
      <w:r w:rsidRPr="004424BA">
        <w:t>31</w:t>
      </w:r>
      <w:r w:rsidR="00A37E7E">
        <w:t>.</w:t>
      </w:r>
      <w:r w:rsidRPr="004424BA">
        <w:tab/>
        <w:t>bere na vědomí, že Útvar interního auditu zahájil v roce 2022 přípravy strategického plánu institutu pro interní audit na období 2023–2025; dále bere na vědomí, že Útvar interního auditu zahájil audit řízení odborníků institutu, který byl ukončen v roce 2023, s cílem posoudit účinnost systému vnitřní kontroly pro procesy řízení odborníků, včetně výběru, uzavírání smluv a odměňování v rámci institutu;</w:t>
      </w:r>
    </w:p>
    <w:p w:rsidR="0005730C" w:rsidRPr="004424BA" w:rsidRDefault="0005730C" w:rsidP="0005730C">
      <w:pPr>
        <w:spacing w:after="240"/>
        <w:ind w:left="567" w:hanging="567"/>
        <w:rPr>
          <w:szCs w:val="24"/>
        </w:rPr>
      </w:pPr>
      <w:r w:rsidRPr="004424BA">
        <w:t>32.</w:t>
      </w:r>
      <w:r w:rsidRPr="004424BA">
        <w:tab/>
        <w:t>poukazuje na to, že důležité doporučení vydané Útvarem interního auditu na základě auditu řízení lidských zdrojů v roce 2021, které se týká postupů hodnocení a změny pracovního zařazení, bylo výrazně zpožděno o 15 měsíců; bere na vědomí, že zjištěná rizika zahrnovala potenciální zpoždění a neefektivnost postupů, možnost nesprávně odůvodněných rozhodnutí vedení, která by mohla mít za následek napadení v přezkumném řízení nebo u Soudního dvora, nespokojenost a demotivaci zaměstnanců, obavy, že společný výbor pro změny pracovního zařazení neplní svou úlohu, a celkovou ztrátu důvěryhodnosti postupu změny pracovního zařazení a mechanismu přezkumu, což vede ke ztrátě motivace zaměstnanců; vyzývá institut, aby přijal preventivní opatření k řešení případných zpoždění a případné neefektivnosti postupů hodnocení a změny pracovního zařazení a aby o dosažených výsledcích informoval orgán příslušný k udělení absolutoria;</w:t>
      </w:r>
    </w:p>
    <w:p w:rsidR="0005730C" w:rsidRPr="004424BA" w:rsidRDefault="0005730C" w:rsidP="0005730C">
      <w:pPr>
        <w:spacing w:after="240"/>
        <w:ind w:left="567" w:hanging="567"/>
        <w:rPr>
          <w:szCs w:val="24"/>
        </w:rPr>
      </w:pPr>
      <w:r w:rsidRPr="004424BA">
        <w:t>33.</w:t>
      </w:r>
      <w:r w:rsidRPr="004424BA">
        <w:tab/>
        <w:t>poznamenává, že institut zintenzivnil spolupráci s úřadem OLAF a uspořádal dvoustranné schůze a školení zaměřená na boj proti podvodům; dále bere na vědomí, že institut zavedl strategii boje proti podvodům na období 2021–2023, která byla přijata v květnu 2021;</w:t>
      </w:r>
    </w:p>
    <w:p w:rsidR="0005730C" w:rsidRPr="004424BA" w:rsidRDefault="0005730C" w:rsidP="0005730C">
      <w:pPr>
        <w:spacing w:after="240"/>
        <w:ind w:left="567" w:hanging="567"/>
        <w:rPr>
          <w:szCs w:val="24"/>
        </w:rPr>
      </w:pPr>
      <w:r w:rsidRPr="004424BA">
        <w:t>34.</w:t>
      </w:r>
      <w:r w:rsidRPr="004424BA">
        <w:tab/>
        <w:t>bere na vědomí, že institut provedl hodnocení rizik a zanesl je do registru rizik institutu za rok 2022, přičemž zaznamenal mimo jiné tato rizika: neprovedení některých prvků ročního pracovního programu kvůli nedostatku lidských zdrojů, nesprávné provádění dohod o znalostních a inovačních společenstvích či zpoždění v zadávacích řízeních institutu a v zavádění informačních systémů Komise; vyzývá institut, aby orgán příslušný k udělení absolutoria informoval o dalším vývoji v této oblasti;</w:t>
      </w:r>
    </w:p>
    <w:p w:rsidR="0005730C" w:rsidRPr="004424BA" w:rsidRDefault="0005730C" w:rsidP="0005730C">
      <w:pPr>
        <w:spacing w:after="240"/>
        <w:ind w:left="567" w:hanging="567"/>
        <w:rPr>
          <w:szCs w:val="24"/>
        </w:rPr>
      </w:pPr>
      <w:r w:rsidRPr="004424BA">
        <w:t>35.</w:t>
      </w:r>
      <w:r w:rsidRPr="004424BA">
        <w:tab/>
        <w:t>bere na vědomí, že Účetní dvůr ve své zprávě uvedl, že institut v případě objednávky na obnovení softwaru neprovedl ověření ex ante, aby potvrdil, zda dodavatel účtoval správnou cenu a odměnu za úspěch, jak je stanoveno v příslušné rámcové smlouvě, a konstatuje, že to je v rozporu s ustanoveními článku 30 rámcového finančního nařízení o kontrolách ex ante a obnáší riziko, že institut za získané služby bude hradit nesprávné částky; bere na vědomí odpověď institutu, že za účelem vyhodnocení případného cenového rizika bude od dodavatele vyžadovat rozpis nabídky s jasným uvedením ceny a marže;</w:t>
      </w:r>
    </w:p>
    <w:p w:rsidR="0005730C" w:rsidRPr="004424BA" w:rsidRDefault="0005730C" w:rsidP="0005730C">
      <w:pPr>
        <w:autoSpaceDE w:val="0"/>
        <w:autoSpaceDN w:val="0"/>
        <w:adjustRightInd w:val="0"/>
        <w:spacing w:after="240"/>
        <w:ind w:left="567" w:hanging="567"/>
        <w:rPr>
          <w:b/>
          <w:i/>
          <w:szCs w:val="24"/>
        </w:rPr>
      </w:pPr>
      <w:r w:rsidRPr="004424BA">
        <w:rPr>
          <w:b/>
          <w:i/>
        </w:rPr>
        <w:t>Další připomínky</w:t>
      </w:r>
    </w:p>
    <w:p w:rsidR="0005730C" w:rsidRPr="004424BA" w:rsidRDefault="0005730C" w:rsidP="0005730C">
      <w:pPr>
        <w:spacing w:after="240"/>
        <w:ind w:left="567" w:hanging="567"/>
        <w:rPr>
          <w:szCs w:val="24"/>
        </w:rPr>
      </w:pPr>
      <w:r w:rsidRPr="004424BA">
        <w:t>36.</w:t>
      </w:r>
      <w:r w:rsidRPr="004424BA">
        <w:tab/>
        <w:t xml:space="preserve">bere na vědomí, že institut v roce 2022 uspořádal akce za účelem svého většího zviditelnění v členských státech a v Unii a také dny otevřených dveří, aby informoval o možnostech, které nabízí potenciálním uchazečům; dále konstatuje, že institut rovněž zahájil iniciativu pro talenty v oblasti </w:t>
      </w:r>
      <w:proofErr w:type="spellStart"/>
      <w:r w:rsidRPr="004424BA">
        <w:t>deep</w:t>
      </w:r>
      <w:proofErr w:type="spellEnd"/>
      <w:r w:rsidRPr="004424BA">
        <w:t xml:space="preserve"> </w:t>
      </w:r>
      <w:proofErr w:type="spellStart"/>
      <w:r w:rsidRPr="004424BA">
        <w:t>tech</w:t>
      </w:r>
      <w:proofErr w:type="spellEnd"/>
      <w:r w:rsidRPr="004424BA">
        <w:t>, která je součástí Nového evropského programu inovací a která má do budoucna pomoci rozvíjet dovednosti občanů v technologických oblastech;</w:t>
      </w:r>
    </w:p>
    <w:p w:rsidR="0005730C" w:rsidRPr="004424BA" w:rsidRDefault="0005730C" w:rsidP="0005730C">
      <w:pPr>
        <w:spacing w:after="240"/>
        <w:ind w:left="567" w:hanging="567"/>
        <w:rPr>
          <w:szCs w:val="24"/>
        </w:rPr>
      </w:pPr>
      <w:r w:rsidRPr="004424BA">
        <w:lastRenderedPageBreak/>
        <w:t>37.</w:t>
      </w:r>
      <w:r w:rsidRPr="004424BA">
        <w:tab/>
        <w:t xml:space="preserve">poznamenává, že institut usiluje o to, aby se stal klimaticky neutrální agenturou, a podniká nezbytné kroky k environmentálnímu řízení; konstatuje, že institut je největším evropským inovačním ekosystémem a hlavním nástrojem programu Horizont Evropa pro řešení změny klimatu a souvisejících problémů; vítá opatření, která institut přijal v roce 2022 ke splnění svých environmentálních cílů: ustavil výbor pro udržitelnost, stal se členem podsítě pro ekologizaci sítě agentur EU a uspořádal akci </w:t>
      </w:r>
      <w:proofErr w:type="spellStart"/>
      <w:r w:rsidRPr="004424BA">
        <w:t>EITree</w:t>
      </w:r>
      <w:proofErr w:type="spellEnd"/>
      <w:r w:rsidRPr="004424BA">
        <w:t>, při níž zaměstnanci v městské oblasti sázeli stromy;</w:t>
      </w:r>
      <w:bookmarkStart w:id="12" w:name="_GoBack"/>
      <w:bookmarkEnd w:id="12"/>
    </w:p>
    <w:p w:rsidR="0005730C" w:rsidRPr="004424BA" w:rsidRDefault="0005730C" w:rsidP="0005730C">
      <w:pPr>
        <w:spacing w:after="240"/>
        <w:ind w:left="567" w:hanging="567"/>
        <w:rPr>
          <w:szCs w:val="24"/>
        </w:rPr>
      </w:pPr>
      <w:r w:rsidRPr="004424BA">
        <w:t>38.</w:t>
      </w:r>
      <w:r w:rsidRPr="004424BA">
        <w:tab/>
        <w:t>bere na vědomí, že certifikace systému EMAS je ve střednědobém nebo dlouhodobém plánu institutu;</w:t>
      </w:r>
    </w:p>
    <w:p w:rsidR="00A37E7E" w:rsidRDefault="00A37E7E" w:rsidP="00A37E7E">
      <w:pPr>
        <w:pStyle w:val="NormalCenter12a"/>
        <w:widowControl/>
      </w:pPr>
      <w:r>
        <w:t>°</w:t>
      </w:r>
    </w:p>
    <w:p w:rsidR="00A37E7E" w:rsidRDefault="00A37E7E" w:rsidP="00A37E7E">
      <w:pPr>
        <w:pStyle w:val="NormalCenter12a"/>
        <w:widowControl/>
      </w:pPr>
      <w:r>
        <w:t>°     °</w:t>
      </w:r>
    </w:p>
    <w:p w:rsidR="00E365E1" w:rsidRPr="004424BA" w:rsidRDefault="0005730C" w:rsidP="00A37E7E">
      <w:pPr>
        <w:pStyle w:val="NormalHanging12a"/>
      </w:pPr>
      <w:r w:rsidRPr="004424BA">
        <w:t>39.</w:t>
      </w:r>
      <w:r w:rsidRPr="004424BA">
        <w:tab/>
        <w:t>pokud jde o další připomínky, které jsou připojeny k rozhodnutí o udělení absolutoria a jsou horizontální povahy, odk</w:t>
      </w:r>
      <w:r w:rsidR="000B195D">
        <w:t>azuje na své usnesení ze dne 11. dubna</w:t>
      </w:r>
      <w:r w:rsidRPr="004424BA">
        <w:t xml:space="preserve"> 2024</w:t>
      </w:r>
      <w:r w:rsidRPr="004424BA">
        <w:rPr>
          <w:rStyle w:val="FootnoteReference"/>
        </w:rPr>
        <w:footnoteReference w:id="13"/>
      </w:r>
      <w:r w:rsidRPr="004424BA">
        <w:t xml:space="preserve"> o výkonnosti, finančním řízení a kontrole agentur.</w:t>
      </w:r>
      <w:bookmarkStart w:id="13" w:name="TextBodyEnd"/>
      <w:bookmarkEnd w:id="13"/>
    </w:p>
    <w:sectPr w:rsidR="00E365E1" w:rsidRPr="004424BA" w:rsidSect="004424B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58D5" w:rsidRPr="004424BA" w:rsidRDefault="00B258D5">
      <w:r w:rsidRPr="004424BA">
        <w:separator/>
      </w:r>
    </w:p>
  </w:endnote>
  <w:endnote w:type="continuationSeparator" w:id="0">
    <w:p w:rsidR="00B258D5" w:rsidRPr="004424BA" w:rsidRDefault="00B258D5">
      <w:r w:rsidRPr="004424B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730C" w:rsidRPr="004424BA" w:rsidRDefault="0005730C" w:rsidP="009611E8">
    <w:pPr>
      <w:pStyle w:val="EPFooter"/>
    </w:pPr>
    <w:r w:rsidRPr="004424BA">
      <w:t>PE</w:t>
    </w:r>
    <w:r w:rsidRPr="004424BA">
      <w:rPr>
        <w:rStyle w:val="HideTWBExt"/>
      </w:rPr>
      <w:t>&lt;</w:t>
    </w:r>
    <w:proofErr w:type="spellStart"/>
    <w:r w:rsidRPr="004424BA">
      <w:rPr>
        <w:rStyle w:val="HideTWBExt"/>
      </w:rPr>
      <w:t>NoPE</w:t>
    </w:r>
    <w:proofErr w:type="spellEnd"/>
    <w:r w:rsidRPr="004424BA">
      <w:rPr>
        <w:rStyle w:val="HideTWBExt"/>
      </w:rPr>
      <w:t>&gt;</w:t>
    </w:r>
    <w:r w:rsidRPr="004424BA">
      <w:t>753.522</w:t>
    </w:r>
    <w:r w:rsidRPr="004424BA">
      <w:rPr>
        <w:rStyle w:val="HideTWBExt"/>
      </w:rPr>
      <w:t>&lt;/</w:t>
    </w:r>
    <w:proofErr w:type="spellStart"/>
    <w:r w:rsidRPr="004424BA">
      <w:rPr>
        <w:rStyle w:val="HideTWBExt"/>
      </w:rPr>
      <w:t>NoPE</w:t>
    </w:r>
    <w:proofErr w:type="spellEnd"/>
    <w:r w:rsidRPr="004424BA">
      <w:rPr>
        <w:rStyle w:val="HideTWBExt"/>
      </w:rPr>
      <w:t>&gt;&lt;Version&gt;</w:t>
    </w:r>
    <w:r w:rsidRPr="004424BA">
      <w:t>v03-00</w:t>
    </w:r>
    <w:r w:rsidRPr="004424BA">
      <w:rPr>
        <w:rStyle w:val="HideTWBExt"/>
      </w:rPr>
      <w:t>&lt;/</w:t>
    </w:r>
    <w:proofErr w:type="spellStart"/>
    <w:r w:rsidRPr="004424BA">
      <w:rPr>
        <w:rStyle w:val="HideTWBExt"/>
      </w:rPr>
      <w:t>Version</w:t>
    </w:r>
    <w:proofErr w:type="spellEnd"/>
    <w:r w:rsidRPr="004424BA">
      <w:rPr>
        <w:rStyle w:val="HideTWBExt"/>
      </w:rPr>
      <w:t>&gt;</w:t>
    </w:r>
    <w:r w:rsidRPr="004424BA">
      <w:tab/>
    </w:r>
    <w:r w:rsidRPr="004424BA">
      <w:fldChar w:fldCharType="begin"/>
    </w:r>
    <w:r w:rsidRPr="004424BA">
      <w:instrText xml:space="preserve"> PAGE  \* MERGEFORMAT </w:instrText>
    </w:r>
    <w:r w:rsidRPr="004424BA">
      <w:fldChar w:fldCharType="separate"/>
    </w:r>
    <w:r w:rsidRPr="004424BA">
      <w:rPr>
        <w:noProof/>
      </w:rPr>
      <w:t>4</w:t>
    </w:r>
    <w:r w:rsidRPr="004424BA">
      <w:fldChar w:fldCharType="end"/>
    </w:r>
    <w:r w:rsidRPr="004424BA">
      <w:t>/</w:t>
    </w:r>
    <w:r w:rsidR="00A37E7E">
      <w:fldChar w:fldCharType="begin"/>
    </w:r>
    <w:r w:rsidR="00A37E7E">
      <w:instrText xml:space="preserve"> NUMPAGES  \* MERGEFORMAT </w:instrText>
    </w:r>
    <w:r w:rsidR="00A37E7E">
      <w:fldChar w:fldCharType="separate"/>
    </w:r>
    <w:r w:rsidRPr="004424BA">
      <w:rPr>
        <w:noProof/>
      </w:rPr>
      <w:t>4</w:t>
    </w:r>
    <w:r w:rsidR="00A37E7E">
      <w:rPr>
        <w:noProof/>
      </w:rPr>
      <w:fldChar w:fldCharType="end"/>
    </w:r>
    <w:r w:rsidRPr="004424BA">
      <w:tab/>
    </w:r>
    <w:r w:rsidRPr="004424BA">
      <w:rPr>
        <w:rStyle w:val="HideTWBExt"/>
      </w:rPr>
      <w:t>&lt;PathFdR&gt;</w:t>
    </w:r>
    <w:r w:rsidRPr="004424BA">
      <w:t>RR\1299238CS.docx</w:t>
    </w:r>
    <w:r w:rsidRPr="004424BA">
      <w:rPr>
        <w:rStyle w:val="HideTWBExt"/>
      </w:rPr>
      <w:t>&lt;/</w:t>
    </w:r>
    <w:proofErr w:type="spellStart"/>
    <w:r w:rsidRPr="004424BA">
      <w:rPr>
        <w:rStyle w:val="HideTWBExt"/>
      </w:rPr>
      <w:t>PathFdR</w:t>
    </w:r>
    <w:proofErr w:type="spellEnd"/>
    <w:r w:rsidRPr="004424BA">
      <w:rPr>
        <w:rStyle w:val="HideTWBExt"/>
      </w:rPr>
      <w:t>&gt;</w:t>
    </w:r>
  </w:p>
  <w:p w:rsidR="0005730C" w:rsidRPr="004424BA" w:rsidRDefault="0005730C" w:rsidP="009611E8">
    <w:pPr>
      <w:pStyle w:val="EPFooter2"/>
    </w:pPr>
    <w:r w:rsidRPr="004424BA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730C" w:rsidRPr="004424BA" w:rsidRDefault="0005730C" w:rsidP="009611E8">
    <w:pPr>
      <w:pStyle w:val="EPFooter"/>
    </w:pPr>
    <w:r w:rsidRPr="004424BA">
      <w:rPr>
        <w:rStyle w:val="HideTWBExt"/>
      </w:rPr>
      <w:t>&lt;PathFdR&gt;</w:t>
    </w:r>
    <w:r w:rsidRPr="004424BA">
      <w:t>RR\1299238CS.docx</w:t>
    </w:r>
    <w:r w:rsidRPr="004424BA">
      <w:rPr>
        <w:rStyle w:val="HideTWBExt"/>
      </w:rPr>
      <w:t>&lt;/</w:t>
    </w:r>
    <w:proofErr w:type="spellStart"/>
    <w:r w:rsidRPr="004424BA">
      <w:rPr>
        <w:rStyle w:val="HideTWBExt"/>
      </w:rPr>
      <w:t>PathFdR</w:t>
    </w:r>
    <w:proofErr w:type="spellEnd"/>
    <w:r w:rsidRPr="004424BA">
      <w:rPr>
        <w:rStyle w:val="HideTWBExt"/>
      </w:rPr>
      <w:t>&gt;</w:t>
    </w:r>
    <w:r w:rsidRPr="004424BA">
      <w:tab/>
    </w:r>
    <w:r w:rsidRPr="004424BA">
      <w:tab/>
      <w:t>PE</w:t>
    </w:r>
    <w:r w:rsidRPr="004424BA">
      <w:rPr>
        <w:rStyle w:val="HideTWBExt"/>
      </w:rPr>
      <w:t>&lt;</w:t>
    </w:r>
    <w:proofErr w:type="spellStart"/>
    <w:r w:rsidRPr="004424BA">
      <w:rPr>
        <w:rStyle w:val="HideTWBExt"/>
      </w:rPr>
      <w:t>NoPE</w:t>
    </w:r>
    <w:proofErr w:type="spellEnd"/>
    <w:r w:rsidRPr="004424BA">
      <w:rPr>
        <w:rStyle w:val="HideTWBExt"/>
      </w:rPr>
      <w:t>&gt;</w:t>
    </w:r>
    <w:r w:rsidRPr="004424BA">
      <w:t>753.522</w:t>
    </w:r>
    <w:r w:rsidRPr="004424BA">
      <w:rPr>
        <w:rStyle w:val="HideTWBExt"/>
      </w:rPr>
      <w:t>&lt;/</w:t>
    </w:r>
    <w:proofErr w:type="spellStart"/>
    <w:r w:rsidRPr="004424BA">
      <w:rPr>
        <w:rStyle w:val="HideTWBExt"/>
      </w:rPr>
      <w:t>NoPE</w:t>
    </w:r>
    <w:proofErr w:type="spellEnd"/>
    <w:r w:rsidRPr="004424BA">
      <w:rPr>
        <w:rStyle w:val="HideTWBExt"/>
      </w:rPr>
      <w:t>&gt;&lt;Version&gt;</w:t>
    </w:r>
    <w:r w:rsidRPr="004424BA">
      <w:t>v03-00</w:t>
    </w:r>
    <w:r w:rsidRPr="004424BA">
      <w:rPr>
        <w:rStyle w:val="HideTWBExt"/>
      </w:rPr>
      <w:t>&lt;/</w:t>
    </w:r>
    <w:proofErr w:type="spellStart"/>
    <w:r w:rsidRPr="004424BA">
      <w:rPr>
        <w:rStyle w:val="HideTWBExt"/>
      </w:rPr>
      <w:t>Version</w:t>
    </w:r>
    <w:proofErr w:type="spellEnd"/>
    <w:r w:rsidRPr="004424BA">
      <w:rPr>
        <w:rStyle w:val="HideTWBExt"/>
      </w:rPr>
      <w:t>&gt;</w:t>
    </w:r>
  </w:p>
  <w:p w:rsidR="0005730C" w:rsidRPr="004424BA" w:rsidRDefault="0005730C" w:rsidP="009611E8">
    <w:pPr>
      <w:pStyle w:val="EPFooter2"/>
    </w:pPr>
    <w:r w:rsidRPr="004424BA">
      <w:t>CS</w:t>
    </w:r>
    <w:r w:rsidRPr="004424BA">
      <w:tab/>
    </w:r>
    <w:r w:rsidRPr="004424BA">
      <w:rPr>
        <w:b w:val="0"/>
        <w:i/>
        <w:color w:val="C0C0C0"/>
        <w:sz w:val="22"/>
      </w:rPr>
      <w:t>Jednotná v rozmanitosti</w:t>
    </w:r>
    <w:r w:rsidRPr="004424BA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424BA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424BA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424B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58D5" w:rsidRPr="004424BA" w:rsidRDefault="00B258D5">
      <w:r w:rsidRPr="004424BA">
        <w:separator/>
      </w:r>
    </w:p>
  </w:footnote>
  <w:footnote w:type="continuationSeparator" w:id="0">
    <w:p w:rsidR="00B258D5" w:rsidRPr="004424BA" w:rsidRDefault="00B258D5">
      <w:r w:rsidRPr="004424BA">
        <w:continuationSeparator/>
      </w:r>
    </w:p>
  </w:footnote>
  <w:footnote w:id="1">
    <w:p w:rsidR="0005730C" w:rsidRPr="004424BA" w:rsidRDefault="0005730C" w:rsidP="004424BA">
      <w:pPr>
        <w:pStyle w:val="FootnoteText"/>
        <w:ind w:left="567" w:hanging="567"/>
        <w:rPr>
          <w:sz w:val="24"/>
          <w:lang w:val="cs-CZ"/>
        </w:rPr>
      </w:pPr>
      <w:r w:rsidRPr="004424BA">
        <w:rPr>
          <w:rStyle w:val="FootnoteReference"/>
          <w:sz w:val="24"/>
          <w:lang w:val="cs-CZ"/>
        </w:rPr>
        <w:footnoteRef/>
      </w:r>
      <w:r w:rsidR="004424BA" w:rsidRPr="004424BA">
        <w:rPr>
          <w:sz w:val="24"/>
          <w:lang w:val="cs-CZ"/>
        </w:rPr>
        <w:t xml:space="preserve"> </w:t>
      </w:r>
      <w:r w:rsidR="004424BA" w:rsidRPr="004424BA">
        <w:rPr>
          <w:sz w:val="24"/>
          <w:lang w:val="cs-CZ"/>
        </w:rPr>
        <w:tab/>
      </w:r>
      <w:proofErr w:type="spellStart"/>
      <w:r w:rsidRPr="004424BA">
        <w:rPr>
          <w:sz w:val="24"/>
          <w:lang w:val="cs-CZ"/>
        </w:rPr>
        <w:t>Úř</w:t>
      </w:r>
      <w:proofErr w:type="spellEnd"/>
      <w:r w:rsidRPr="004424BA">
        <w:rPr>
          <w:sz w:val="24"/>
          <w:lang w:val="cs-CZ"/>
        </w:rPr>
        <w:t xml:space="preserve">. </w:t>
      </w:r>
      <w:proofErr w:type="spellStart"/>
      <w:proofErr w:type="gramStart"/>
      <w:r w:rsidRPr="004424BA">
        <w:rPr>
          <w:sz w:val="24"/>
          <w:lang w:val="cs-CZ"/>
        </w:rPr>
        <w:t>věst</w:t>
      </w:r>
      <w:proofErr w:type="spellEnd"/>
      <w:proofErr w:type="gramEnd"/>
      <w:r w:rsidRPr="004424BA">
        <w:rPr>
          <w:sz w:val="24"/>
          <w:lang w:val="cs-CZ"/>
        </w:rPr>
        <w:t xml:space="preserve">. C, C/2023/594, </w:t>
      </w:r>
      <w:proofErr w:type="gramStart"/>
      <w:r w:rsidRPr="004424BA">
        <w:rPr>
          <w:sz w:val="24"/>
          <w:lang w:val="cs-CZ"/>
        </w:rPr>
        <w:t>27.10.2023</w:t>
      </w:r>
      <w:proofErr w:type="gramEnd"/>
      <w:r w:rsidRPr="004424BA">
        <w:rPr>
          <w:sz w:val="24"/>
          <w:lang w:val="cs-CZ"/>
        </w:rPr>
        <w:t>.</w:t>
      </w:r>
    </w:p>
  </w:footnote>
  <w:footnote w:id="2">
    <w:p w:rsidR="0005730C" w:rsidRPr="004424BA" w:rsidRDefault="0005730C" w:rsidP="004424BA">
      <w:pPr>
        <w:pStyle w:val="FootnoteText"/>
        <w:ind w:left="567" w:hanging="567"/>
        <w:rPr>
          <w:sz w:val="24"/>
          <w:lang w:val="cs-CZ"/>
        </w:rPr>
      </w:pPr>
      <w:r w:rsidRPr="004424BA">
        <w:rPr>
          <w:rStyle w:val="FootnoteReference"/>
          <w:sz w:val="24"/>
          <w:lang w:val="cs-CZ"/>
        </w:rPr>
        <w:footnoteRef/>
      </w:r>
      <w:r w:rsidR="004424BA" w:rsidRPr="004424BA">
        <w:rPr>
          <w:sz w:val="24"/>
          <w:lang w:val="cs-CZ"/>
        </w:rPr>
        <w:t xml:space="preserve"> </w:t>
      </w:r>
      <w:r w:rsidR="004424BA" w:rsidRPr="004424BA">
        <w:rPr>
          <w:sz w:val="24"/>
          <w:lang w:val="cs-CZ"/>
        </w:rPr>
        <w:tab/>
      </w:r>
      <w:proofErr w:type="spellStart"/>
      <w:r w:rsidRPr="004424BA">
        <w:rPr>
          <w:sz w:val="24"/>
          <w:lang w:val="cs-CZ"/>
        </w:rPr>
        <w:t>Úř</w:t>
      </w:r>
      <w:proofErr w:type="spellEnd"/>
      <w:r w:rsidRPr="004424BA">
        <w:rPr>
          <w:sz w:val="24"/>
          <w:lang w:val="cs-CZ"/>
        </w:rPr>
        <w:t xml:space="preserve">. </w:t>
      </w:r>
      <w:proofErr w:type="spellStart"/>
      <w:proofErr w:type="gramStart"/>
      <w:r w:rsidRPr="004424BA">
        <w:rPr>
          <w:sz w:val="24"/>
          <w:lang w:val="cs-CZ"/>
        </w:rPr>
        <w:t>věst</w:t>
      </w:r>
      <w:proofErr w:type="spellEnd"/>
      <w:proofErr w:type="gramEnd"/>
      <w:r w:rsidRPr="004424BA">
        <w:rPr>
          <w:sz w:val="24"/>
          <w:lang w:val="cs-CZ"/>
        </w:rPr>
        <w:t xml:space="preserve">. C, C/2023/112, </w:t>
      </w:r>
      <w:proofErr w:type="gramStart"/>
      <w:r w:rsidRPr="004424BA">
        <w:rPr>
          <w:sz w:val="24"/>
          <w:lang w:val="cs-CZ"/>
        </w:rPr>
        <w:t>12.10.2023</w:t>
      </w:r>
      <w:proofErr w:type="gramEnd"/>
      <w:r w:rsidRPr="004424BA">
        <w:rPr>
          <w:sz w:val="24"/>
          <w:lang w:val="cs-CZ"/>
        </w:rPr>
        <w:t>.</w:t>
      </w:r>
    </w:p>
  </w:footnote>
  <w:footnote w:id="3">
    <w:p w:rsidR="0005730C" w:rsidRPr="004424BA" w:rsidRDefault="0005730C" w:rsidP="004424BA">
      <w:pPr>
        <w:pStyle w:val="FootnoteText"/>
        <w:ind w:left="567" w:hanging="567"/>
        <w:rPr>
          <w:sz w:val="24"/>
          <w:lang w:val="cs-CZ"/>
        </w:rPr>
      </w:pPr>
      <w:r w:rsidRPr="004424BA">
        <w:rPr>
          <w:rStyle w:val="FootnoteReference"/>
          <w:sz w:val="24"/>
          <w:lang w:val="cs-CZ"/>
        </w:rPr>
        <w:footnoteRef/>
      </w:r>
      <w:r w:rsidR="004424BA" w:rsidRPr="004424BA">
        <w:rPr>
          <w:sz w:val="24"/>
          <w:lang w:val="cs-CZ"/>
        </w:rPr>
        <w:t xml:space="preserve"> </w:t>
      </w:r>
      <w:r w:rsidR="004424BA" w:rsidRPr="004424BA">
        <w:rPr>
          <w:sz w:val="24"/>
          <w:lang w:val="cs-CZ"/>
        </w:rPr>
        <w:tab/>
      </w:r>
      <w:proofErr w:type="spellStart"/>
      <w:r w:rsidRPr="004424BA">
        <w:rPr>
          <w:sz w:val="24"/>
          <w:lang w:val="cs-CZ"/>
        </w:rPr>
        <w:t>Úř</w:t>
      </w:r>
      <w:proofErr w:type="spellEnd"/>
      <w:r w:rsidRPr="004424BA">
        <w:rPr>
          <w:sz w:val="24"/>
          <w:lang w:val="cs-CZ"/>
        </w:rPr>
        <w:t xml:space="preserve">. </w:t>
      </w:r>
      <w:proofErr w:type="spellStart"/>
      <w:proofErr w:type="gramStart"/>
      <w:r w:rsidRPr="004424BA">
        <w:rPr>
          <w:sz w:val="24"/>
          <w:lang w:val="cs-CZ"/>
        </w:rPr>
        <w:t>věst</w:t>
      </w:r>
      <w:proofErr w:type="spellEnd"/>
      <w:proofErr w:type="gramEnd"/>
      <w:r w:rsidRPr="004424BA">
        <w:rPr>
          <w:sz w:val="24"/>
          <w:lang w:val="cs-CZ"/>
        </w:rPr>
        <w:t xml:space="preserve">. L 193, </w:t>
      </w:r>
      <w:proofErr w:type="gramStart"/>
      <w:r w:rsidRPr="004424BA">
        <w:rPr>
          <w:sz w:val="24"/>
          <w:lang w:val="cs-CZ"/>
        </w:rPr>
        <w:t>30.7.2018</w:t>
      </w:r>
      <w:proofErr w:type="gramEnd"/>
      <w:r w:rsidRPr="004424BA">
        <w:rPr>
          <w:sz w:val="24"/>
          <w:lang w:val="cs-CZ"/>
        </w:rPr>
        <w:t>, s. 1.</w:t>
      </w:r>
    </w:p>
  </w:footnote>
  <w:footnote w:id="4">
    <w:p w:rsidR="0005730C" w:rsidRPr="004424BA" w:rsidRDefault="0005730C" w:rsidP="004424BA">
      <w:pPr>
        <w:pStyle w:val="FootnoteText"/>
        <w:ind w:left="567" w:hanging="567"/>
        <w:rPr>
          <w:sz w:val="24"/>
          <w:lang w:val="cs-CZ"/>
        </w:rPr>
      </w:pPr>
      <w:r w:rsidRPr="004424BA">
        <w:rPr>
          <w:rStyle w:val="FootnoteReference"/>
          <w:sz w:val="24"/>
          <w:lang w:val="cs-CZ"/>
        </w:rPr>
        <w:footnoteRef/>
      </w:r>
      <w:r w:rsidR="004424BA" w:rsidRPr="004424BA">
        <w:rPr>
          <w:sz w:val="24"/>
          <w:lang w:val="cs-CZ"/>
        </w:rPr>
        <w:t xml:space="preserve"> </w:t>
      </w:r>
      <w:r w:rsidR="004424BA" w:rsidRPr="004424BA">
        <w:rPr>
          <w:sz w:val="24"/>
          <w:lang w:val="cs-CZ"/>
        </w:rPr>
        <w:tab/>
      </w:r>
      <w:proofErr w:type="spellStart"/>
      <w:r w:rsidRPr="004424BA">
        <w:rPr>
          <w:sz w:val="24"/>
          <w:lang w:val="cs-CZ"/>
        </w:rPr>
        <w:t>Úř</w:t>
      </w:r>
      <w:proofErr w:type="spellEnd"/>
      <w:r w:rsidRPr="004424BA">
        <w:rPr>
          <w:sz w:val="24"/>
          <w:lang w:val="cs-CZ"/>
        </w:rPr>
        <w:t xml:space="preserve">. </w:t>
      </w:r>
      <w:proofErr w:type="spellStart"/>
      <w:proofErr w:type="gramStart"/>
      <w:r w:rsidRPr="004424BA">
        <w:rPr>
          <w:sz w:val="24"/>
          <w:lang w:val="cs-CZ"/>
        </w:rPr>
        <w:t>věst</w:t>
      </w:r>
      <w:proofErr w:type="spellEnd"/>
      <w:proofErr w:type="gramEnd"/>
      <w:r w:rsidRPr="004424BA">
        <w:rPr>
          <w:sz w:val="24"/>
          <w:lang w:val="cs-CZ"/>
        </w:rPr>
        <w:t xml:space="preserve">. L 189, </w:t>
      </w:r>
      <w:proofErr w:type="gramStart"/>
      <w:r w:rsidRPr="004424BA">
        <w:rPr>
          <w:sz w:val="24"/>
          <w:lang w:val="cs-CZ"/>
        </w:rPr>
        <w:t>28.5.2021</w:t>
      </w:r>
      <w:proofErr w:type="gramEnd"/>
      <w:r w:rsidRPr="004424BA">
        <w:rPr>
          <w:sz w:val="24"/>
          <w:lang w:val="cs-CZ"/>
        </w:rPr>
        <w:t>, s. 61.</w:t>
      </w:r>
    </w:p>
  </w:footnote>
  <w:footnote w:id="5">
    <w:p w:rsidR="0005730C" w:rsidRPr="004424BA" w:rsidRDefault="0005730C" w:rsidP="004424BA">
      <w:pPr>
        <w:pStyle w:val="FootnoteText"/>
        <w:ind w:left="567" w:hanging="567"/>
        <w:rPr>
          <w:sz w:val="24"/>
          <w:szCs w:val="24"/>
          <w:lang w:val="cs-CZ"/>
        </w:rPr>
      </w:pPr>
      <w:r w:rsidRPr="004424BA">
        <w:rPr>
          <w:rStyle w:val="FootnoteReference"/>
          <w:sz w:val="24"/>
          <w:lang w:val="cs-CZ"/>
        </w:rPr>
        <w:footnoteRef/>
      </w:r>
      <w:r w:rsidR="004424BA" w:rsidRPr="004424BA">
        <w:rPr>
          <w:sz w:val="24"/>
          <w:lang w:val="cs-CZ"/>
        </w:rPr>
        <w:t xml:space="preserve"> </w:t>
      </w:r>
      <w:r w:rsidR="004424BA" w:rsidRPr="004424BA">
        <w:rPr>
          <w:sz w:val="24"/>
          <w:lang w:val="cs-CZ"/>
        </w:rPr>
        <w:tab/>
      </w:r>
      <w:proofErr w:type="spellStart"/>
      <w:r w:rsidRPr="004424BA">
        <w:rPr>
          <w:sz w:val="24"/>
          <w:lang w:val="cs-CZ"/>
        </w:rPr>
        <w:t>Úř</w:t>
      </w:r>
      <w:proofErr w:type="spellEnd"/>
      <w:r w:rsidRPr="004424BA">
        <w:rPr>
          <w:sz w:val="24"/>
          <w:lang w:val="cs-CZ"/>
        </w:rPr>
        <w:t xml:space="preserve">. </w:t>
      </w:r>
      <w:proofErr w:type="spellStart"/>
      <w:proofErr w:type="gramStart"/>
      <w:r w:rsidRPr="004424BA">
        <w:rPr>
          <w:sz w:val="24"/>
          <w:lang w:val="cs-CZ"/>
        </w:rPr>
        <w:t>věst</w:t>
      </w:r>
      <w:proofErr w:type="spellEnd"/>
      <w:proofErr w:type="gramEnd"/>
      <w:r w:rsidRPr="004424BA">
        <w:rPr>
          <w:sz w:val="24"/>
          <w:lang w:val="cs-CZ"/>
        </w:rPr>
        <w:t xml:space="preserve">. L 122, </w:t>
      </w:r>
      <w:proofErr w:type="gramStart"/>
      <w:r w:rsidRPr="004424BA">
        <w:rPr>
          <w:sz w:val="24"/>
          <w:lang w:val="cs-CZ"/>
        </w:rPr>
        <w:t>10.5.2019</w:t>
      </w:r>
      <w:proofErr w:type="gramEnd"/>
      <w:r w:rsidRPr="004424BA">
        <w:rPr>
          <w:sz w:val="24"/>
          <w:lang w:val="cs-CZ"/>
        </w:rPr>
        <w:t>, s. 1.</w:t>
      </w:r>
    </w:p>
  </w:footnote>
  <w:footnote w:id="6">
    <w:p w:rsidR="0005730C" w:rsidRPr="004424BA" w:rsidRDefault="0005730C" w:rsidP="004424BA">
      <w:pPr>
        <w:pStyle w:val="FootnoteText"/>
        <w:ind w:left="567" w:hanging="567"/>
        <w:rPr>
          <w:sz w:val="24"/>
          <w:lang w:val="cs-CZ"/>
        </w:rPr>
      </w:pPr>
      <w:r w:rsidRPr="004424BA">
        <w:rPr>
          <w:rStyle w:val="FootnoteReference"/>
          <w:sz w:val="24"/>
          <w:lang w:val="cs-CZ"/>
        </w:rPr>
        <w:footnoteRef/>
      </w:r>
      <w:r w:rsidR="004424BA" w:rsidRPr="004424BA">
        <w:rPr>
          <w:sz w:val="24"/>
          <w:lang w:val="cs-CZ"/>
        </w:rPr>
        <w:t xml:space="preserve"> </w:t>
      </w:r>
      <w:r w:rsidR="004424BA" w:rsidRPr="004424BA">
        <w:rPr>
          <w:sz w:val="24"/>
          <w:lang w:val="cs-CZ"/>
        </w:rPr>
        <w:tab/>
      </w:r>
      <w:proofErr w:type="spellStart"/>
      <w:r w:rsidRPr="004424BA">
        <w:rPr>
          <w:sz w:val="24"/>
          <w:lang w:val="cs-CZ"/>
        </w:rPr>
        <w:t>Úř</w:t>
      </w:r>
      <w:proofErr w:type="spellEnd"/>
      <w:r w:rsidRPr="004424BA">
        <w:rPr>
          <w:sz w:val="24"/>
          <w:lang w:val="cs-CZ"/>
        </w:rPr>
        <w:t xml:space="preserve">. </w:t>
      </w:r>
      <w:proofErr w:type="spellStart"/>
      <w:proofErr w:type="gramStart"/>
      <w:r w:rsidRPr="004424BA">
        <w:rPr>
          <w:sz w:val="24"/>
          <w:lang w:val="cs-CZ"/>
        </w:rPr>
        <w:t>věst</w:t>
      </w:r>
      <w:proofErr w:type="spellEnd"/>
      <w:proofErr w:type="gramEnd"/>
      <w:r w:rsidRPr="004424BA">
        <w:rPr>
          <w:sz w:val="24"/>
          <w:lang w:val="cs-CZ"/>
        </w:rPr>
        <w:t xml:space="preserve">. C, C/2023/594, </w:t>
      </w:r>
      <w:proofErr w:type="gramStart"/>
      <w:r w:rsidRPr="004424BA">
        <w:rPr>
          <w:sz w:val="24"/>
          <w:lang w:val="cs-CZ"/>
        </w:rPr>
        <w:t>27.10.2023</w:t>
      </w:r>
      <w:proofErr w:type="gramEnd"/>
      <w:r w:rsidRPr="004424BA">
        <w:rPr>
          <w:sz w:val="24"/>
          <w:lang w:val="cs-CZ"/>
        </w:rPr>
        <w:t>.</w:t>
      </w:r>
    </w:p>
  </w:footnote>
  <w:footnote w:id="7">
    <w:p w:rsidR="0005730C" w:rsidRPr="004424BA" w:rsidRDefault="0005730C" w:rsidP="004424BA">
      <w:pPr>
        <w:pStyle w:val="FootnoteText"/>
        <w:ind w:left="567" w:hanging="567"/>
        <w:rPr>
          <w:sz w:val="24"/>
          <w:lang w:val="cs-CZ"/>
        </w:rPr>
      </w:pPr>
      <w:r w:rsidRPr="004424BA">
        <w:rPr>
          <w:rStyle w:val="FootnoteReference"/>
          <w:sz w:val="24"/>
          <w:lang w:val="cs-CZ"/>
        </w:rPr>
        <w:footnoteRef/>
      </w:r>
      <w:r w:rsidR="004424BA" w:rsidRPr="004424BA">
        <w:rPr>
          <w:sz w:val="24"/>
          <w:lang w:val="cs-CZ"/>
        </w:rPr>
        <w:t xml:space="preserve"> </w:t>
      </w:r>
      <w:r w:rsidR="004424BA" w:rsidRPr="004424BA">
        <w:rPr>
          <w:sz w:val="24"/>
          <w:lang w:val="cs-CZ"/>
        </w:rPr>
        <w:tab/>
      </w:r>
      <w:proofErr w:type="spellStart"/>
      <w:r w:rsidRPr="004424BA">
        <w:rPr>
          <w:sz w:val="24"/>
          <w:lang w:val="cs-CZ"/>
        </w:rPr>
        <w:t>Úř</w:t>
      </w:r>
      <w:proofErr w:type="spellEnd"/>
      <w:r w:rsidRPr="004424BA">
        <w:rPr>
          <w:sz w:val="24"/>
          <w:lang w:val="cs-CZ"/>
        </w:rPr>
        <w:t xml:space="preserve">. </w:t>
      </w:r>
      <w:proofErr w:type="spellStart"/>
      <w:proofErr w:type="gramStart"/>
      <w:r w:rsidRPr="004424BA">
        <w:rPr>
          <w:sz w:val="24"/>
          <w:lang w:val="cs-CZ"/>
        </w:rPr>
        <w:t>věst</w:t>
      </w:r>
      <w:proofErr w:type="spellEnd"/>
      <w:proofErr w:type="gramEnd"/>
      <w:r w:rsidRPr="004424BA">
        <w:rPr>
          <w:sz w:val="24"/>
          <w:lang w:val="cs-CZ"/>
        </w:rPr>
        <w:t xml:space="preserve">. C, C/2023/112, </w:t>
      </w:r>
      <w:proofErr w:type="gramStart"/>
      <w:r w:rsidRPr="004424BA">
        <w:rPr>
          <w:sz w:val="24"/>
          <w:lang w:val="cs-CZ"/>
        </w:rPr>
        <w:t>12.10.2023</w:t>
      </w:r>
      <w:proofErr w:type="gramEnd"/>
      <w:r w:rsidRPr="004424BA">
        <w:rPr>
          <w:sz w:val="24"/>
          <w:lang w:val="cs-CZ"/>
        </w:rPr>
        <w:t>.</w:t>
      </w:r>
    </w:p>
  </w:footnote>
  <w:footnote w:id="8">
    <w:p w:rsidR="0005730C" w:rsidRPr="004424BA" w:rsidRDefault="0005730C" w:rsidP="004424BA">
      <w:pPr>
        <w:pStyle w:val="FootnoteText"/>
        <w:ind w:left="567" w:hanging="567"/>
        <w:rPr>
          <w:sz w:val="24"/>
          <w:lang w:val="cs-CZ"/>
        </w:rPr>
      </w:pPr>
      <w:r w:rsidRPr="004424BA">
        <w:rPr>
          <w:rStyle w:val="FootnoteReference"/>
          <w:sz w:val="24"/>
          <w:lang w:val="cs-CZ"/>
        </w:rPr>
        <w:footnoteRef/>
      </w:r>
      <w:r w:rsidR="004424BA" w:rsidRPr="004424BA">
        <w:rPr>
          <w:sz w:val="24"/>
          <w:lang w:val="cs-CZ"/>
        </w:rPr>
        <w:t xml:space="preserve"> </w:t>
      </w:r>
      <w:r w:rsidR="004424BA" w:rsidRPr="004424BA">
        <w:rPr>
          <w:sz w:val="24"/>
          <w:lang w:val="cs-CZ"/>
        </w:rPr>
        <w:tab/>
      </w:r>
      <w:proofErr w:type="spellStart"/>
      <w:r w:rsidRPr="004424BA">
        <w:rPr>
          <w:sz w:val="24"/>
          <w:lang w:val="cs-CZ"/>
        </w:rPr>
        <w:t>Úř</w:t>
      </w:r>
      <w:proofErr w:type="spellEnd"/>
      <w:r w:rsidRPr="004424BA">
        <w:rPr>
          <w:sz w:val="24"/>
          <w:lang w:val="cs-CZ"/>
        </w:rPr>
        <w:t xml:space="preserve">. </w:t>
      </w:r>
      <w:proofErr w:type="spellStart"/>
      <w:proofErr w:type="gramStart"/>
      <w:r w:rsidRPr="004424BA">
        <w:rPr>
          <w:sz w:val="24"/>
          <w:lang w:val="cs-CZ"/>
        </w:rPr>
        <w:t>věst</w:t>
      </w:r>
      <w:proofErr w:type="spellEnd"/>
      <w:proofErr w:type="gramEnd"/>
      <w:r w:rsidRPr="004424BA">
        <w:rPr>
          <w:sz w:val="24"/>
          <w:lang w:val="cs-CZ"/>
        </w:rPr>
        <w:t xml:space="preserve">. L 193, </w:t>
      </w:r>
      <w:proofErr w:type="gramStart"/>
      <w:r w:rsidRPr="004424BA">
        <w:rPr>
          <w:sz w:val="24"/>
          <w:lang w:val="cs-CZ"/>
        </w:rPr>
        <w:t>30.7.2018</w:t>
      </w:r>
      <w:proofErr w:type="gramEnd"/>
      <w:r w:rsidRPr="004424BA">
        <w:rPr>
          <w:sz w:val="24"/>
          <w:lang w:val="cs-CZ"/>
        </w:rPr>
        <w:t>, s. 1.</w:t>
      </w:r>
    </w:p>
  </w:footnote>
  <w:footnote w:id="9">
    <w:p w:rsidR="0005730C" w:rsidRPr="004424BA" w:rsidRDefault="0005730C" w:rsidP="004424BA">
      <w:pPr>
        <w:pStyle w:val="FootnoteText"/>
        <w:ind w:left="567" w:hanging="567"/>
        <w:rPr>
          <w:sz w:val="24"/>
          <w:lang w:val="cs-CZ"/>
        </w:rPr>
      </w:pPr>
      <w:r w:rsidRPr="004424BA">
        <w:rPr>
          <w:rStyle w:val="FootnoteReference"/>
          <w:sz w:val="24"/>
          <w:lang w:val="cs-CZ"/>
        </w:rPr>
        <w:footnoteRef/>
      </w:r>
      <w:r w:rsidR="004424BA" w:rsidRPr="004424BA">
        <w:rPr>
          <w:sz w:val="24"/>
          <w:lang w:val="cs-CZ"/>
        </w:rPr>
        <w:t xml:space="preserve"> </w:t>
      </w:r>
      <w:r w:rsidR="004424BA" w:rsidRPr="004424BA">
        <w:rPr>
          <w:sz w:val="24"/>
          <w:lang w:val="cs-CZ"/>
        </w:rPr>
        <w:tab/>
      </w:r>
      <w:proofErr w:type="spellStart"/>
      <w:r w:rsidRPr="004424BA">
        <w:rPr>
          <w:sz w:val="24"/>
          <w:lang w:val="cs-CZ"/>
        </w:rPr>
        <w:t>Úř</w:t>
      </w:r>
      <w:proofErr w:type="spellEnd"/>
      <w:r w:rsidRPr="004424BA">
        <w:rPr>
          <w:sz w:val="24"/>
          <w:lang w:val="cs-CZ"/>
        </w:rPr>
        <w:t xml:space="preserve">. </w:t>
      </w:r>
      <w:proofErr w:type="spellStart"/>
      <w:proofErr w:type="gramStart"/>
      <w:r w:rsidRPr="004424BA">
        <w:rPr>
          <w:sz w:val="24"/>
          <w:lang w:val="cs-CZ"/>
        </w:rPr>
        <w:t>věst</w:t>
      </w:r>
      <w:proofErr w:type="spellEnd"/>
      <w:proofErr w:type="gramEnd"/>
      <w:r w:rsidRPr="004424BA">
        <w:rPr>
          <w:sz w:val="24"/>
          <w:lang w:val="cs-CZ"/>
        </w:rPr>
        <w:t xml:space="preserve">. L 189, </w:t>
      </w:r>
      <w:proofErr w:type="gramStart"/>
      <w:r w:rsidRPr="004424BA">
        <w:rPr>
          <w:sz w:val="24"/>
          <w:lang w:val="cs-CZ"/>
        </w:rPr>
        <w:t>28.5.2021</w:t>
      </w:r>
      <w:proofErr w:type="gramEnd"/>
      <w:r w:rsidRPr="004424BA">
        <w:rPr>
          <w:sz w:val="24"/>
          <w:lang w:val="cs-CZ"/>
        </w:rPr>
        <w:t>, s. 61.</w:t>
      </w:r>
    </w:p>
  </w:footnote>
  <w:footnote w:id="10">
    <w:p w:rsidR="0005730C" w:rsidRPr="004424BA" w:rsidRDefault="0005730C" w:rsidP="004424BA">
      <w:pPr>
        <w:pStyle w:val="FootnoteText"/>
        <w:ind w:left="567" w:hanging="567"/>
        <w:rPr>
          <w:sz w:val="24"/>
          <w:szCs w:val="24"/>
          <w:lang w:val="cs-CZ"/>
        </w:rPr>
      </w:pPr>
      <w:r w:rsidRPr="004424BA">
        <w:rPr>
          <w:rStyle w:val="FootnoteReference"/>
          <w:sz w:val="24"/>
          <w:lang w:val="cs-CZ"/>
        </w:rPr>
        <w:footnoteRef/>
      </w:r>
      <w:r w:rsidR="004424BA" w:rsidRPr="004424BA">
        <w:rPr>
          <w:sz w:val="24"/>
          <w:lang w:val="cs-CZ"/>
        </w:rPr>
        <w:t xml:space="preserve"> </w:t>
      </w:r>
      <w:r w:rsidR="004424BA" w:rsidRPr="004424BA">
        <w:rPr>
          <w:sz w:val="24"/>
          <w:lang w:val="cs-CZ"/>
        </w:rPr>
        <w:tab/>
      </w:r>
      <w:proofErr w:type="spellStart"/>
      <w:r w:rsidRPr="004424BA">
        <w:rPr>
          <w:sz w:val="24"/>
          <w:lang w:val="cs-CZ"/>
        </w:rPr>
        <w:t>Úř</w:t>
      </w:r>
      <w:proofErr w:type="spellEnd"/>
      <w:r w:rsidRPr="004424BA">
        <w:rPr>
          <w:sz w:val="24"/>
          <w:lang w:val="cs-CZ"/>
        </w:rPr>
        <w:t xml:space="preserve">. </w:t>
      </w:r>
      <w:proofErr w:type="spellStart"/>
      <w:proofErr w:type="gramStart"/>
      <w:r w:rsidRPr="004424BA">
        <w:rPr>
          <w:sz w:val="24"/>
          <w:lang w:val="cs-CZ"/>
        </w:rPr>
        <w:t>věst</w:t>
      </w:r>
      <w:proofErr w:type="spellEnd"/>
      <w:proofErr w:type="gramEnd"/>
      <w:r w:rsidRPr="004424BA">
        <w:rPr>
          <w:sz w:val="24"/>
          <w:lang w:val="cs-CZ"/>
        </w:rPr>
        <w:t xml:space="preserve">. L 122, </w:t>
      </w:r>
      <w:proofErr w:type="gramStart"/>
      <w:r w:rsidRPr="004424BA">
        <w:rPr>
          <w:sz w:val="24"/>
          <w:lang w:val="cs-CZ"/>
        </w:rPr>
        <w:t>10.5.2019</w:t>
      </w:r>
      <w:proofErr w:type="gramEnd"/>
      <w:r w:rsidRPr="004424BA">
        <w:rPr>
          <w:sz w:val="24"/>
          <w:lang w:val="cs-CZ"/>
        </w:rPr>
        <w:t>, s. 1.</w:t>
      </w:r>
    </w:p>
  </w:footnote>
  <w:footnote w:id="11">
    <w:p w:rsidR="0005730C" w:rsidRPr="004424BA" w:rsidRDefault="0005730C" w:rsidP="004424BA">
      <w:pPr>
        <w:pStyle w:val="FootnoteText"/>
        <w:ind w:left="567" w:hanging="567"/>
        <w:rPr>
          <w:sz w:val="24"/>
          <w:lang w:val="cs-CZ"/>
        </w:rPr>
      </w:pPr>
      <w:r w:rsidRPr="004424BA">
        <w:rPr>
          <w:rStyle w:val="FootnoteReference"/>
          <w:sz w:val="24"/>
          <w:lang w:val="cs-CZ"/>
        </w:rPr>
        <w:footnoteRef/>
      </w:r>
      <w:r w:rsidR="004424BA" w:rsidRPr="004424BA">
        <w:rPr>
          <w:sz w:val="24"/>
          <w:lang w:val="cs-CZ"/>
        </w:rPr>
        <w:t xml:space="preserve"> </w:t>
      </w:r>
      <w:r w:rsidR="004424BA" w:rsidRPr="004424BA">
        <w:rPr>
          <w:sz w:val="24"/>
          <w:lang w:val="cs-CZ"/>
        </w:rPr>
        <w:tab/>
      </w:r>
      <w:proofErr w:type="spellStart"/>
      <w:r w:rsidRPr="004424BA">
        <w:rPr>
          <w:sz w:val="24"/>
          <w:lang w:val="cs-CZ"/>
        </w:rPr>
        <w:t>Úř</w:t>
      </w:r>
      <w:proofErr w:type="spellEnd"/>
      <w:r w:rsidRPr="004424BA">
        <w:rPr>
          <w:sz w:val="24"/>
          <w:lang w:val="cs-CZ"/>
        </w:rPr>
        <w:t xml:space="preserve">. </w:t>
      </w:r>
      <w:proofErr w:type="spellStart"/>
      <w:proofErr w:type="gramStart"/>
      <w:r w:rsidRPr="004424BA">
        <w:rPr>
          <w:sz w:val="24"/>
          <w:lang w:val="cs-CZ"/>
        </w:rPr>
        <w:t>věst</w:t>
      </w:r>
      <w:proofErr w:type="spellEnd"/>
      <w:proofErr w:type="gramEnd"/>
      <w:r w:rsidRPr="004424BA">
        <w:rPr>
          <w:sz w:val="24"/>
          <w:lang w:val="cs-CZ"/>
        </w:rPr>
        <w:t xml:space="preserve">. C 489, </w:t>
      </w:r>
      <w:proofErr w:type="gramStart"/>
      <w:r w:rsidRPr="004424BA">
        <w:rPr>
          <w:sz w:val="24"/>
          <w:lang w:val="cs-CZ"/>
        </w:rPr>
        <w:t>22.12.2022</w:t>
      </w:r>
      <w:proofErr w:type="gramEnd"/>
      <w:r w:rsidRPr="004424BA">
        <w:rPr>
          <w:sz w:val="24"/>
          <w:lang w:val="cs-CZ"/>
        </w:rPr>
        <w:t>, s. 56.</w:t>
      </w:r>
    </w:p>
  </w:footnote>
  <w:footnote w:id="12">
    <w:p w:rsidR="0005730C" w:rsidRPr="004424BA" w:rsidRDefault="0005730C" w:rsidP="004424BA">
      <w:pPr>
        <w:pStyle w:val="FootnoteText"/>
        <w:ind w:left="567" w:hanging="567"/>
        <w:rPr>
          <w:sz w:val="24"/>
          <w:lang w:val="cs-CZ"/>
        </w:rPr>
      </w:pPr>
      <w:r w:rsidRPr="004424BA">
        <w:rPr>
          <w:rStyle w:val="FootnoteReference"/>
          <w:sz w:val="24"/>
          <w:lang w:val="cs-CZ"/>
        </w:rPr>
        <w:footnoteRef/>
      </w:r>
      <w:r w:rsidR="004424BA" w:rsidRPr="004424BA">
        <w:rPr>
          <w:sz w:val="24"/>
          <w:lang w:val="cs-CZ"/>
        </w:rPr>
        <w:t xml:space="preserve"> </w:t>
      </w:r>
      <w:r w:rsidR="004424BA" w:rsidRPr="004424BA">
        <w:rPr>
          <w:sz w:val="24"/>
          <w:lang w:val="cs-CZ"/>
        </w:rPr>
        <w:tab/>
      </w:r>
      <w:r w:rsidRPr="004424BA">
        <w:rPr>
          <w:sz w:val="24"/>
          <w:lang w:val="cs-CZ"/>
        </w:rPr>
        <w:t xml:space="preserve">Nařízení Komise v přenesené pravomoci (EU) 2019/715 ze dne 18. prosince 2018 o rámcovém finančním nařízení pro subjekty zřízené podle </w:t>
      </w:r>
      <w:r w:rsidR="00A06AC6" w:rsidRPr="00A06AC6">
        <w:rPr>
          <w:sz w:val="24"/>
          <w:lang w:val="cs-CZ"/>
        </w:rPr>
        <w:t>Smlouvy o fungování Evropské unie</w:t>
      </w:r>
      <w:r w:rsidRPr="004424BA">
        <w:rPr>
          <w:sz w:val="24"/>
          <w:lang w:val="cs-CZ"/>
        </w:rPr>
        <w:t xml:space="preserve"> a Smlouvy o Euratomu a uvedené v článku 70 nařízení Evropského parlamentu a Rady (EU, Euratom) 2018/1046 (</w:t>
      </w:r>
      <w:proofErr w:type="spellStart"/>
      <w:r w:rsidRPr="004424BA">
        <w:rPr>
          <w:sz w:val="24"/>
          <w:lang w:val="cs-CZ"/>
        </w:rPr>
        <w:t>Úř</w:t>
      </w:r>
      <w:proofErr w:type="spellEnd"/>
      <w:r w:rsidRPr="004424BA">
        <w:rPr>
          <w:sz w:val="24"/>
          <w:lang w:val="cs-CZ"/>
        </w:rPr>
        <w:t xml:space="preserve">. </w:t>
      </w:r>
      <w:proofErr w:type="spellStart"/>
      <w:proofErr w:type="gramStart"/>
      <w:r w:rsidRPr="004424BA">
        <w:rPr>
          <w:sz w:val="24"/>
          <w:lang w:val="cs-CZ"/>
        </w:rPr>
        <w:t>věst</w:t>
      </w:r>
      <w:proofErr w:type="spellEnd"/>
      <w:proofErr w:type="gramEnd"/>
      <w:r w:rsidRPr="004424BA">
        <w:rPr>
          <w:sz w:val="24"/>
          <w:lang w:val="cs-CZ"/>
        </w:rPr>
        <w:t xml:space="preserve">. L 122, </w:t>
      </w:r>
      <w:proofErr w:type="gramStart"/>
      <w:r w:rsidRPr="004424BA">
        <w:rPr>
          <w:sz w:val="24"/>
          <w:lang w:val="cs-CZ"/>
        </w:rPr>
        <w:t>10.5.2019</w:t>
      </w:r>
      <w:proofErr w:type="gramEnd"/>
      <w:r w:rsidRPr="004424BA">
        <w:rPr>
          <w:sz w:val="24"/>
          <w:lang w:val="cs-CZ"/>
        </w:rPr>
        <w:t>, s. 1).</w:t>
      </w:r>
    </w:p>
  </w:footnote>
  <w:footnote w:id="13">
    <w:p w:rsidR="0005730C" w:rsidRPr="004424BA" w:rsidRDefault="0005730C" w:rsidP="004424BA">
      <w:pPr>
        <w:pStyle w:val="FootnoteText"/>
        <w:ind w:left="567" w:hanging="567"/>
        <w:rPr>
          <w:sz w:val="24"/>
          <w:lang w:val="cs-CZ"/>
        </w:rPr>
      </w:pPr>
      <w:r w:rsidRPr="004424BA">
        <w:rPr>
          <w:rStyle w:val="FootnoteReference"/>
          <w:sz w:val="24"/>
          <w:lang w:val="cs-CZ"/>
        </w:rPr>
        <w:footnoteRef/>
      </w:r>
      <w:r w:rsidR="004424BA" w:rsidRPr="004424BA">
        <w:rPr>
          <w:sz w:val="24"/>
          <w:lang w:val="cs-CZ"/>
        </w:rPr>
        <w:t xml:space="preserve"> </w:t>
      </w:r>
      <w:r w:rsidR="004424BA" w:rsidRPr="004424BA">
        <w:rPr>
          <w:sz w:val="24"/>
          <w:lang w:val="cs-CZ"/>
        </w:rPr>
        <w:tab/>
      </w:r>
      <w:r w:rsidR="0017443D">
        <w:rPr>
          <w:sz w:val="24"/>
          <w:lang w:val="cs-CZ"/>
        </w:rPr>
        <w:t>Přijaté texty, P9_TA(2024)0280</w:t>
      </w:r>
      <w:r w:rsidRPr="004424BA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424B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424B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424B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32/2024"/>
    <w:docVar w:name="dvlangue" w:val="CS"/>
    <w:docVar w:name="dvnumam" w:val="0"/>
    <w:docVar w:name="dvpe" w:val="753.522"/>
    <w:docVar w:name="dvrapporteur" w:val="Zpravodaj: "/>
    <w:docVar w:name="dvtitre" w:val="1. Rozhodnutí Evropského parlamentu ze dne.... 2024 o udělení absolutoria za plnění rozpočtu Evropského inovačního a technologického institutu (EIT) na rozpočtový rok 2022(2023/2154(DEC))"/>
  </w:docVars>
  <w:rsids>
    <w:rsidRoot w:val="00B258D5"/>
    <w:rsid w:val="00002272"/>
    <w:rsid w:val="0005730C"/>
    <w:rsid w:val="00064002"/>
    <w:rsid w:val="000677B9"/>
    <w:rsid w:val="000831BA"/>
    <w:rsid w:val="000A42CC"/>
    <w:rsid w:val="000B195D"/>
    <w:rsid w:val="000E7DD9"/>
    <w:rsid w:val="0010095E"/>
    <w:rsid w:val="00125B37"/>
    <w:rsid w:val="0017443D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24BA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0F6D"/>
    <w:rsid w:val="00A06AC6"/>
    <w:rsid w:val="00A1687D"/>
    <w:rsid w:val="00A37E7E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58D5"/>
    <w:rsid w:val="00B558F0"/>
    <w:rsid w:val="00BD48FE"/>
    <w:rsid w:val="00BD7BD8"/>
    <w:rsid w:val="00BE6ADC"/>
    <w:rsid w:val="00C05BFE"/>
    <w:rsid w:val="00C23CD4"/>
    <w:rsid w:val="00C56F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2707AB"/>
  <w15:chartTrackingRefBased/>
  <w15:docId w15:val="{AC71E7C1-586C-481D-8215-84B669DC7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05730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05730C"/>
    <w:pPr>
      <w:spacing w:before="480" w:after="240"/>
    </w:pPr>
  </w:style>
  <w:style w:type="paragraph" w:customStyle="1" w:styleId="PageHeading">
    <w:name w:val="PageHeading"/>
    <w:basedOn w:val="Normal"/>
    <w:rsid w:val="0005730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05730C"/>
    <w:rPr>
      <w:b/>
    </w:rPr>
  </w:style>
  <w:style w:type="paragraph" w:customStyle="1" w:styleId="NormalHanging12a">
    <w:name w:val="NormalHanging12a"/>
    <w:basedOn w:val="Normal"/>
    <w:link w:val="NormalHanging12aChar"/>
    <w:rsid w:val="0005730C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05730C"/>
    <w:pPr>
      <w:spacing w:after="240"/>
      <w:jc w:val="center"/>
    </w:pPr>
  </w:style>
  <w:style w:type="paragraph" w:styleId="Header">
    <w:name w:val="header"/>
    <w:basedOn w:val="Normal"/>
    <w:link w:val="HeaderChar"/>
    <w:rsid w:val="000573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5730C"/>
    <w:rPr>
      <w:sz w:val="24"/>
      <w:lang w:val="cs-CZ"/>
    </w:rPr>
  </w:style>
  <w:style w:type="paragraph" w:customStyle="1" w:styleId="EPFooter">
    <w:name w:val="EPFooter"/>
    <w:basedOn w:val="Normal"/>
    <w:rsid w:val="0005730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Default">
    <w:name w:val="Default"/>
    <w:rsid w:val="0005730C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cs-CZ" w:eastAsia="en-US"/>
    </w:rPr>
  </w:style>
  <w:style w:type="character" w:customStyle="1" w:styleId="NormalHanging12aChar">
    <w:name w:val="NormalHanging12a Char"/>
    <w:basedOn w:val="DefaultParagraphFont"/>
    <w:link w:val="NormalHanging12a"/>
    <w:locked/>
    <w:rsid w:val="0005730C"/>
    <w:rPr>
      <w:sz w:val="24"/>
      <w:lang w:val="cs-CZ"/>
    </w:rPr>
  </w:style>
  <w:style w:type="paragraph" w:styleId="Footer">
    <w:name w:val="footer"/>
    <w:basedOn w:val="Normal"/>
    <w:link w:val="FooterChar"/>
    <w:rsid w:val="000B195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B195D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6023B5-4C54-4E50-AFD3-3DD1EA6C9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3646</Words>
  <Characters>21013</Characters>
  <Application>Microsoft Office Word</Application>
  <DocSecurity>0</DocSecurity>
  <Lines>175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Jindra Konopková</cp:lastModifiedBy>
  <cp:revision>2</cp:revision>
  <cp:lastPrinted>2004-11-19T15:42:00Z</cp:lastPrinted>
  <dcterms:created xsi:type="dcterms:W3CDTF">2024-05-15T11:57:00Z</dcterms:created>
  <dcterms:modified xsi:type="dcterms:W3CDTF">2024-05-15T11:57:00Z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P9_TA(2024)0267_</vt:lpwstr>
  </property>
  <property fmtid="{D5CDD505-2E9C-101B-9397-08002B2CF9AE}" pid="4" name="&lt;Type&gt;">
    <vt:lpwstr>RR</vt:lpwstr>
  </property>
</Properties>
</file>