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2F7F" w14:paraId="5B1CD3E7" w14:textId="77777777" w:rsidTr="0010095E">
        <w:trPr>
          <w:trHeight w:hRule="exact" w:val="1418"/>
        </w:trPr>
        <w:tc>
          <w:tcPr>
            <w:tcW w:w="6804" w:type="dxa"/>
            <w:shd w:val="clear" w:color="auto" w:fill="auto"/>
            <w:vAlign w:val="center"/>
          </w:tcPr>
          <w:p w14:paraId="3964A050" w14:textId="77777777" w:rsidR="00751A4A" w:rsidRPr="00672F7F" w:rsidRDefault="00D67272" w:rsidP="0010095E">
            <w:pPr>
              <w:pStyle w:val="EPName"/>
            </w:pPr>
            <w:r w:rsidRPr="00672F7F">
              <w:t>Europa-Parlamentet</w:t>
            </w:r>
          </w:p>
          <w:p w14:paraId="6466DF26" w14:textId="77777777" w:rsidR="00751A4A" w:rsidRPr="00672F7F" w:rsidRDefault="00817416" w:rsidP="00756632">
            <w:pPr>
              <w:pStyle w:val="EPTerm"/>
              <w:rPr>
                <w:rStyle w:val="HideTWBExt"/>
                <w:noProof w:val="0"/>
                <w:vanish w:val="0"/>
                <w:color w:val="auto"/>
              </w:rPr>
            </w:pPr>
            <w:r w:rsidRPr="00672F7F">
              <w:t>2019-2024</w:t>
            </w:r>
          </w:p>
        </w:tc>
        <w:tc>
          <w:tcPr>
            <w:tcW w:w="2268" w:type="dxa"/>
            <w:shd w:val="clear" w:color="auto" w:fill="auto"/>
          </w:tcPr>
          <w:p w14:paraId="598B9696" w14:textId="77777777" w:rsidR="00751A4A" w:rsidRPr="00672F7F" w:rsidRDefault="00187494" w:rsidP="0010095E">
            <w:pPr>
              <w:pStyle w:val="EPLogo"/>
            </w:pPr>
            <w:r w:rsidRPr="00672F7F">
              <w:rPr>
                <w:noProof/>
                <w:lang w:val="en-GB"/>
              </w:rPr>
              <w:drawing>
                <wp:inline distT="0" distB="0" distL="0" distR="0" wp14:anchorId="215EED98" wp14:editId="51CDB7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FA35D5" w14:textId="77777777" w:rsidR="00D058B8" w:rsidRPr="00672F7F" w:rsidRDefault="00D058B8" w:rsidP="004C5D52">
      <w:pPr>
        <w:pStyle w:val="LineTop"/>
      </w:pPr>
    </w:p>
    <w:p w14:paraId="48F02251" w14:textId="77777777" w:rsidR="00680577" w:rsidRPr="00672F7F" w:rsidRDefault="00D67272" w:rsidP="00680577">
      <w:pPr>
        <w:pStyle w:val="EPBodyTA1"/>
      </w:pPr>
      <w:r w:rsidRPr="00672F7F">
        <w:t>VEDTAGNE TEKSTER</w:t>
      </w:r>
    </w:p>
    <w:p w14:paraId="3F6153AB" w14:textId="77777777" w:rsidR="00D058B8" w:rsidRPr="00672F7F" w:rsidRDefault="00D058B8" w:rsidP="00D058B8">
      <w:pPr>
        <w:pStyle w:val="LineBottom"/>
      </w:pPr>
    </w:p>
    <w:p w14:paraId="13D3A396" w14:textId="616A2C10" w:rsidR="00D67272" w:rsidRPr="00672F7F" w:rsidRDefault="00D67272" w:rsidP="00D67272">
      <w:pPr>
        <w:pStyle w:val="ATHeading1"/>
      </w:pPr>
      <w:bookmarkStart w:id="0" w:name="TANumber"/>
      <w:r w:rsidRPr="00672F7F">
        <w:t>P9_TA(2024)0</w:t>
      </w:r>
      <w:r w:rsidR="00116FBD">
        <w:t>267</w:t>
      </w:r>
      <w:bookmarkEnd w:id="0"/>
    </w:p>
    <w:p w14:paraId="39376A83" w14:textId="77777777" w:rsidR="00D67272" w:rsidRPr="00672F7F" w:rsidRDefault="00D67272" w:rsidP="00D67272">
      <w:pPr>
        <w:pStyle w:val="ATHeading2"/>
      </w:pPr>
      <w:bookmarkStart w:id="1" w:name="title"/>
      <w:r w:rsidRPr="00672F7F">
        <w:t>Decharge 2022: Det Europæiske Institut for Innovation og Teknologi (EIT)</w:t>
      </w:r>
      <w:bookmarkEnd w:id="1"/>
    </w:p>
    <w:p w14:paraId="1DFE0633" w14:textId="77777777" w:rsidR="00D67272" w:rsidRPr="00672F7F" w:rsidRDefault="00D67272" w:rsidP="00D67272">
      <w:pPr>
        <w:rPr>
          <w:i/>
          <w:vanish/>
        </w:rPr>
      </w:pPr>
      <w:r w:rsidRPr="00672F7F">
        <w:rPr>
          <w:i/>
        </w:rPr>
        <w:fldChar w:fldCharType="begin"/>
      </w:r>
      <w:r w:rsidRPr="00672F7F">
        <w:rPr>
          <w:i/>
        </w:rPr>
        <w:instrText xml:space="preserve"> TC"(</w:instrText>
      </w:r>
      <w:bookmarkStart w:id="2" w:name="DocNumber"/>
      <w:r w:rsidRPr="00672F7F">
        <w:rPr>
          <w:i/>
        </w:rPr>
        <w:instrText>A9-0132/2024</w:instrText>
      </w:r>
      <w:bookmarkEnd w:id="2"/>
      <w:r w:rsidRPr="00672F7F">
        <w:rPr>
          <w:i/>
        </w:rPr>
        <w:instrText xml:space="preserve"> - Ordfører: Petri Sarvamaa)"\l3 \n&gt; \* MERGEFORMAT </w:instrText>
      </w:r>
      <w:r w:rsidRPr="00672F7F">
        <w:rPr>
          <w:i/>
        </w:rPr>
        <w:fldChar w:fldCharType="end"/>
      </w:r>
    </w:p>
    <w:p w14:paraId="35408781" w14:textId="77777777" w:rsidR="00D67272" w:rsidRPr="00672F7F" w:rsidRDefault="00D67272" w:rsidP="00D67272">
      <w:pPr>
        <w:rPr>
          <w:vanish/>
        </w:rPr>
      </w:pPr>
      <w:bookmarkStart w:id="3" w:name="Commission"/>
      <w:r w:rsidRPr="00672F7F">
        <w:rPr>
          <w:vanish/>
        </w:rPr>
        <w:t>Budgetkontroludvalget</w:t>
      </w:r>
      <w:bookmarkEnd w:id="3"/>
    </w:p>
    <w:p w14:paraId="079B2374" w14:textId="77777777" w:rsidR="00D67272" w:rsidRPr="00672F7F" w:rsidRDefault="00D67272" w:rsidP="00D67272">
      <w:pPr>
        <w:rPr>
          <w:vanish/>
        </w:rPr>
      </w:pPr>
      <w:bookmarkStart w:id="4" w:name="PE"/>
      <w:r w:rsidRPr="00672F7F">
        <w:rPr>
          <w:vanish/>
        </w:rPr>
        <w:t>PE753.522</w:t>
      </w:r>
      <w:bookmarkEnd w:id="4"/>
    </w:p>
    <w:p w14:paraId="65ABC678" w14:textId="77777777" w:rsidR="00D67272" w:rsidRPr="00672F7F" w:rsidRDefault="00D67272" w:rsidP="00D67272">
      <w:pPr>
        <w:pStyle w:val="ATHeading3"/>
      </w:pPr>
      <w:bookmarkStart w:id="5" w:name="Sujet"/>
      <w:r w:rsidRPr="00672F7F">
        <w:t>1. Europa-Parlamentets afgørelse af 11. april 2024 om decharge for gennemførelsen af budgettet for Det Europæiske Institut for Innovation og Teknologi (EIT) for regnskabsåret 2022</w:t>
      </w:r>
      <w:bookmarkEnd w:id="5"/>
      <w:r w:rsidRPr="00672F7F">
        <w:t xml:space="preserve"> </w:t>
      </w:r>
      <w:bookmarkStart w:id="6" w:name="References"/>
      <w:r w:rsidRPr="00672F7F">
        <w:t>(2023/2154(DEC))</w:t>
      </w:r>
      <w:bookmarkEnd w:id="6"/>
    </w:p>
    <w:p w14:paraId="09E9E5AE" w14:textId="77777777" w:rsidR="00525AD6" w:rsidRPr="00672F7F" w:rsidRDefault="00525AD6" w:rsidP="00525AD6">
      <w:pPr>
        <w:pStyle w:val="EPComma"/>
      </w:pPr>
      <w:bookmarkStart w:id="7" w:name="TextBodyBegin"/>
      <w:bookmarkEnd w:id="7"/>
      <w:r w:rsidRPr="00672F7F">
        <w:rPr>
          <w:i/>
        </w:rPr>
        <w:t>Europa-Parlamentet</w:t>
      </w:r>
      <w:r w:rsidRPr="00672F7F">
        <w:t>,</w:t>
      </w:r>
    </w:p>
    <w:p w14:paraId="6D1CEFE4" w14:textId="77777777" w:rsidR="00525AD6" w:rsidRPr="00672F7F" w:rsidRDefault="00525AD6" w:rsidP="00525AD6">
      <w:pPr>
        <w:pStyle w:val="NormalHanging12a"/>
      </w:pPr>
      <w:r w:rsidRPr="00672F7F">
        <w:t>–</w:t>
      </w:r>
      <w:r w:rsidRPr="00672F7F">
        <w:tab/>
        <w:t>der henviser til det endelige årsregnskab for Det Europæiske Institut for Innovation og Teknologi (EIT) for regnskabsåret 2022,</w:t>
      </w:r>
    </w:p>
    <w:p w14:paraId="0A2BFA10" w14:textId="77777777" w:rsidR="00525AD6" w:rsidRPr="00672F7F" w:rsidRDefault="00525AD6" w:rsidP="00525AD6">
      <w:pPr>
        <w:pStyle w:val="NormalHanging12a"/>
      </w:pPr>
      <w:r w:rsidRPr="00672F7F">
        <w:t>–</w:t>
      </w:r>
      <w:r w:rsidRPr="00672F7F">
        <w:tab/>
        <w:t>der henviser til Revisionsrettens årsberetning om EU-agenturerne for regnskabsåret 2022, med agenturernes svar</w:t>
      </w:r>
      <w:r w:rsidRPr="00672F7F">
        <w:rPr>
          <w:rStyle w:val="FootnoteReference"/>
        </w:rPr>
        <w:footnoteReference w:id="1"/>
      </w:r>
      <w:r w:rsidRPr="00672F7F">
        <w:t>,</w:t>
      </w:r>
    </w:p>
    <w:p w14:paraId="5424F195" w14:textId="77777777" w:rsidR="00525AD6" w:rsidRPr="00672F7F" w:rsidRDefault="00525AD6" w:rsidP="00525AD6">
      <w:pPr>
        <w:pStyle w:val="NormalHanging12a"/>
      </w:pPr>
      <w:r w:rsidRPr="00672F7F">
        <w:t>–</w:t>
      </w:r>
      <w:r w:rsidRPr="00672F7F">
        <w:tab/>
        <w:t>der henviser til Revisionsrettens erklæring</w:t>
      </w:r>
      <w:r w:rsidRPr="00672F7F">
        <w:rPr>
          <w:rStyle w:val="FootnoteReference"/>
        </w:rPr>
        <w:footnoteReference w:id="2"/>
      </w:r>
      <w:r w:rsidRPr="00672F7F">
        <w:t xml:space="preserve"> for regnskabsåret 2022 om regnskabernes rigtighed og de underliggende transaktioners lovlighed og formelle rigtighed, jf. artikel 287 i traktaten om Den Europæiske Unions funktionsmåde,</w:t>
      </w:r>
    </w:p>
    <w:p w14:paraId="2854BCB1" w14:textId="5C0914E2" w:rsidR="00525AD6" w:rsidRPr="00672F7F" w:rsidRDefault="00525AD6" w:rsidP="00525AD6">
      <w:pPr>
        <w:pStyle w:val="NormalHanging12a"/>
      </w:pPr>
      <w:r w:rsidRPr="00672F7F">
        <w:t>–</w:t>
      </w:r>
      <w:r w:rsidRPr="00672F7F">
        <w:tab/>
        <w:t>der henviser til Rådets henstilling af 22. februar 2024 om decharge til instituttet for gennemførelsen af budgettet for regnskabsåret 2022 (0</w:t>
      </w:r>
      <w:r w:rsidR="001F446E" w:rsidRPr="00672F7F">
        <w:t>6180</w:t>
      </w:r>
      <w:r w:rsidRPr="00672F7F">
        <w:t>/2024 – C9</w:t>
      </w:r>
      <w:r w:rsidRPr="00672F7F">
        <w:noBreakHyphen/>
        <w:t>00</w:t>
      </w:r>
      <w:r w:rsidR="001F446E" w:rsidRPr="00672F7F">
        <w:t>92</w:t>
      </w:r>
      <w:r w:rsidRPr="00672F7F">
        <w:t>/2024),</w:t>
      </w:r>
    </w:p>
    <w:p w14:paraId="55D7AACA" w14:textId="77777777" w:rsidR="00525AD6" w:rsidRPr="00672F7F" w:rsidRDefault="00525AD6" w:rsidP="00525AD6">
      <w:pPr>
        <w:pStyle w:val="NormalHanging12a"/>
      </w:pPr>
      <w:r w:rsidRPr="00672F7F">
        <w:t>–</w:t>
      </w:r>
      <w:r w:rsidRPr="00672F7F">
        <w:tab/>
        <w:t>der henviser til artikel 319 i traktaten om Den Europæiske Unions funktionsmåde,</w:t>
      </w:r>
    </w:p>
    <w:p w14:paraId="4DBFF514" w14:textId="77777777" w:rsidR="00525AD6" w:rsidRPr="00672F7F" w:rsidRDefault="00525AD6" w:rsidP="00525AD6">
      <w:pPr>
        <w:pStyle w:val="NormalHanging12a"/>
      </w:pPr>
      <w:r w:rsidRPr="00672F7F">
        <w:t>–</w:t>
      </w:r>
      <w:r w:rsidRPr="00672F7F">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672F7F">
        <w:rPr>
          <w:rStyle w:val="FootnoteReference"/>
        </w:rPr>
        <w:footnoteReference w:id="3"/>
      </w:r>
      <w:r w:rsidRPr="00672F7F">
        <w:t>, særlig artikel 70,</w:t>
      </w:r>
    </w:p>
    <w:p w14:paraId="5829D71B" w14:textId="77777777" w:rsidR="00525AD6" w:rsidRPr="00672F7F" w:rsidRDefault="00525AD6" w:rsidP="00525AD6">
      <w:pPr>
        <w:pStyle w:val="NormalHanging12a"/>
      </w:pPr>
      <w:r w:rsidRPr="00672F7F">
        <w:t>–</w:t>
      </w:r>
      <w:r w:rsidRPr="00672F7F">
        <w:tab/>
        <w:t>der henviser til Europa-Parlamentets og Rådets forordning (EU) 2021/819 af 20. maj 2021 om Det Europæiske Institut for Innovation og Teknologi</w:t>
      </w:r>
      <w:r w:rsidRPr="00672F7F">
        <w:rPr>
          <w:rStyle w:val="FootnoteReference"/>
        </w:rPr>
        <w:footnoteReference w:id="4"/>
      </w:r>
      <w:r w:rsidRPr="00672F7F">
        <w:t>, særlig artikel 23,</w:t>
      </w:r>
    </w:p>
    <w:p w14:paraId="582E14A7" w14:textId="77777777" w:rsidR="00525AD6" w:rsidRPr="00672F7F" w:rsidRDefault="00525AD6" w:rsidP="00525AD6">
      <w:pPr>
        <w:pStyle w:val="NormalHanging12a"/>
      </w:pPr>
      <w:r w:rsidRPr="00672F7F">
        <w:lastRenderedPageBreak/>
        <w:t>–</w:t>
      </w:r>
      <w:r w:rsidRPr="00672F7F">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672F7F">
        <w:rPr>
          <w:rStyle w:val="FootnoteReference"/>
        </w:rPr>
        <w:footnoteReference w:id="5"/>
      </w:r>
      <w:r w:rsidRPr="00672F7F">
        <w:t>, særlig artikel 105,</w:t>
      </w:r>
    </w:p>
    <w:p w14:paraId="7ADB2F71" w14:textId="77777777" w:rsidR="00525AD6" w:rsidRPr="00672F7F" w:rsidRDefault="00525AD6" w:rsidP="00525AD6">
      <w:pPr>
        <w:pStyle w:val="NormalHanging12a"/>
      </w:pPr>
      <w:r w:rsidRPr="00672F7F">
        <w:t>–</w:t>
      </w:r>
      <w:r w:rsidRPr="00672F7F">
        <w:tab/>
        <w:t>der henviser til forretningsordenens artikel 100 og bilag V,</w:t>
      </w:r>
    </w:p>
    <w:p w14:paraId="45B80E04" w14:textId="77777777" w:rsidR="00525AD6" w:rsidRPr="00672F7F" w:rsidRDefault="00525AD6" w:rsidP="00525AD6">
      <w:pPr>
        <w:pStyle w:val="NormalHanging12a"/>
      </w:pPr>
      <w:r w:rsidRPr="00672F7F">
        <w:t>–</w:t>
      </w:r>
      <w:r w:rsidRPr="00672F7F">
        <w:tab/>
        <w:t>der henviser til betænkning fra Budgetkontroludvalget (A9-0132/2024),</w:t>
      </w:r>
    </w:p>
    <w:p w14:paraId="40FE94FB" w14:textId="77777777" w:rsidR="00525AD6" w:rsidRPr="00672F7F" w:rsidRDefault="00525AD6" w:rsidP="00525AD6">
      <w:pPr>
        <w:pStyle w:val="NormalHanging12a"/>
      </w:pPr>
      <w:r w:rsidRPr="00672F7F">
        <w:t>1.</w:t>
      </w:r>
      <w:r w:rsidRPr="00672F7F">
        <w:tab/>
        <w:t>meddeler direktøren for Det Europæiske Institut for Innovation og Teknologi (EIT) decharge for gennemførelsen af instituttets budget for regnskabsåret 2022;</w:t>
      </w:r>
    </w:p>
    <w:p w14:paraId="01A63FBF" w14:textId="77777777" w:rsidR="00525AD6" w:rsidRPr="00672F7F" w:rsidRDefault="00525AD6" w:rsidP="00525AD6">
      <w:pPr>
        <w:pStyle w:val="NormalHanging12a"/>
      </w:pPr>
      <w:r w:rsidRPr="00672F7F">
        <w:t>2.</w:t>
      </w:r>
      <w:r w:rsidRPr="00672F7F">
        <w:tab/>
        <w:t>fremsætter sine bemærkninger i nedenstående beslutning;</w:t>
      </w:r>
    </w:p>
    <w:p w14:paraId="61E83EB4" w14:textId="77777777" w:rsidR="00525AD6" w:rsidRPr="00672F7F" w:rsidRDefault="00525AD6" w:rsidP="00525AD6">
      <w:pPr>
        <w:pStyle w:val="NormalHanging12a"/>
      </w:pPr>
      <w:r w:rsidRPr="00672F7F">
        <w:t>3.</w:t>
      </w:r>
      <w:r w:rsidRPr="00672F7F">
        <w:tab/>
        <w:t xml:space="preserve">pålægger sin formand at sende denne afgørelse og beslutningen, der er en integrerende del heraf, til direktøren for Det Europæiske Institut for Innovation og Teknologi (EIT), Rådet, Kommissionen og Revisionsretten og drage omsorg for, at de offentliggøres i </w:t>
      </w:r>
      <w:r w:rsidRPr="00672F7F">
        <w:rPr>
          <w:i/>
          <w:iCs/>
        </w:rPr>
        <w:t>Den Europæiske Unions Tidende</w:t>
      </w:r>
      <w:r w:rsidRPr="00672F7F">
        <w:t xml:space="preserve"> (L-udgaven).</w:t>
      </w:r>
    </w:p>
    <w:p w14:paraId="25BA61B3" w14:textId="77777777" w:rsidR="00525AD6" w:rsidRPr="00672F7F" w:rsidRDefault="00525AD6" w:rsidP="00525AD6"/>
    <w:p w14:paraId="7A42DAF4" w14:textId="77777777" w:rsidR="00525AD6" w:rsidRPr="00672F7F" w:rsidRDefault="00525AD6" w:rsidP="00525AD6">
      <w:pPr>
        <w:widowControl/>
        <w:rPr>
          <w:rFonts w:ascii="Arial" w:hAnsi="Arial" w:cs="Arial"/>
          <w:b/>
        </w:rPr>
        <w:sectPr w:rsidR="00525AD6" w:rsidRPr="00672F7F" w:rsidSect="0055736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71D6B50E" w14:textId="77777777" w:rsidR="00525AD6" w:rsidRPr="00672F7F" w:rsidRDefault="00525AD6" w:rsidP="001F446E">
      <w:pPr>
        <w:pStyle w:val="ATHeading3"/>
      </w:pPr>
      <w:bookmarkStart w:id="8" w:name="_Toc146809150"/>
      <w:bookmarkStart w:id="9" w:name="_Toc161733891"/>
      <w:bookmarkStart w:id="10" w:name="_Toc161992578"/>
      <w:r w:rsidRPr="00672F7F">
        <w:t xml:space="preserve">2. </w:t>
      </w:r>
      <w:bookmarkEnd w:id="8"/>
      <w:bookmarkEnd w:id="9"/>
      <w:bookmarkEnd w:id="10"/>
      <w:r w:rsidR="001F446E" w:rsidRPr="00672F7F">
        <w:t xml:space="preserve">Europa-Parlamentets afgørelse af 11. april 2024 </w:t>
      </w:r>
      <w:r w:rsidRPr="00672F7F">
        <w:t>om afslutning af regnskaberne for Det Europæiske Institut for Innovation og Teknologi (EIT) for regnskabsåret 2022</w:t>
      </w:r>
      <w:r w:rsidR="001F446E" w:rsidRPr="00672F7F">
        <w:t xml:space="preserve"> (2023</w:t>
      </w:r>
      <w:r w:rsidRPr="00672F7F">
        <w:t>/2154(DEC))</w:t>
      </w:r>
    </w:p>
    <w:p w14:paraId="54ECC203" w14:textId="77777777" w:rsidR="00525AD6" w:rsidRPr="00672F7F" w:rsidRDefault="00525AD6" w:rsidP="00525AD6">
      <w:pPr>
        <w:pStyle w:val="EPComma"/>
      </w:pPr>
      <w:r w:rsidRPr="00672F7F">
        <w:rPr>
          <w:i/>
          <w:iCs/>
        </w:rPr>
        <w:t>Europa-Parlamentet,</w:t>
      </w:r>
    </w:p>
    <w:p w14:paraId="19DBC489" w14:textId="77777777" w:rsidR="00525AD6" w:rsidRPr="00672F7F" w:rsidRDefault="00525AD6" w:rsidP="00525AD6">
      <w:pPr>
        <w:pStyle w:val="NormalHanging12a"/>
      </w:pPr>
      <w:r w:rsidRPr="00672F7F">
        <w:t>–</w:t>
      </w:r>
      <w:r w:rsidRPr="00672F7F">
        <w:tab/>
        <w:t>der henviser til det endelige årsregnskab for Det Europæiske Institut for Innovation og Teknologi (EIT) for regnskabsåret 2022,</w:t>
      </w:r>
    </w:p>
    <w:p w14:paraId="1F0F6E46" w14:textId="77777777" w:rsidR="00525AD6" w:rsidRPr="00672F7F" w:rsidRDefault="00525AD6" w:rsidP="00525AD6">
      <w:pPr>
        <w:pStyle w:val="NormalHanging12a"/>
      </w:pPr>
      <w:r w:rsidRPr="00672F7F">
        <w:t>–</w:t>
      </w:r>
      <w:r w:rsidRPr="00672F7F">
        <w:tab/>
        <w:t>der henviser til Revisionsrettens årsberetning om EU-agenturerne for regnskabsåret 2022, med agenturernes svar</w:t>
      </w:r>
      <w:r w:rsidRPr="00672F7F">
        <w:rPr>
          <w:rStyle w:val="FootnoteReference"/>
        </w:rPr>
        <w:footnoteReference w:id="6"/>
      </w:r>
      <w:r w:rsidRPr="00672F7F">
        <w:t>,</w:t>
      </w:r>
    </w:p>
    <w:p w14:paraId="2E06373E" w14:textId="77777777" w:rsidR="00525AD6" w:rsidRPr="00672F7F" w:rsidRDefault="00525AD6" w:rsidP="00525AD6">
      <w:pPr>
        <w:pStyle w:val="NormalHanging12a"/>
      </w:pPr>
      <w:r w:rsidRPr="00672F7F">
        <w:t>–</w:t>
      </w:r>
      <w:r w:rsidRPr="00672F7F">
        <w:tab/>
        <w:t>der henviser til Revisionsrettens erklæring</w:t>
      </w:r>
      <w:r w:rsidRPr="00672F7F">
        <w:rPr>
          <w:rStyle w:val="FootnoteReference"/>
        </w:rPr>
        <w:footnoteReference w:id="7"/>
      </w:r>
      <w:r w:rsidRPr="00672F7F">
        <w:t xml:space="preserve"> for regnskabsåret 2022 om regnskabernes rigtighed og de underliggende transaktioners lovlighed og formelle rigtighed, jf. artikel 287 i traktaten om Den Europæiske Unions funktionsmåde,</w:t>
      </w:r>
    </w:p>
    <w:p w14:paraId="3F8207C3" w14:textId="5E4EDBAA" w:rsidR="00525AD6" w:rsidRPr="00672F7F" w:rsidRDefault="00525AD6" w:rsidP="00525AD6">
      <w:pPr>
        <w:pStyle w:val="NormalHanging12a"/>
      </w:pPr>
      <w:r w:rsidRPr="00672F7F">
        <w:t>–</w:t>
      </w:r>
      <w:r w:rsidRPr="00672F7F">
        <w:tab/>
        <w:t>der henviser til Rådets henstilling af 22. februar 2024 om decharge til instituttet for gennemførelsen af budgettet for regnskabsåret 2022 (0</w:t>
      </w:r>
      <w:r w:rsidR="001F446E" w:rsidRPr="00672F7F">
        <w:t>6180</w:t>
      </w:r>
      <w:r w:rsidRPr="00672F7F">
        <w:t>/2024 – C9</w:t>
      </w:r>
      <w:r w:rsidRPr="00672F7F">
        <w:noBreakHyphen/>
        <w:t>00</w:t>
      </w:r>
      <w:r w:rsidR="001F446E" w:rsidRPr="00672F7F">
        <w:t>92</w:t>
      </w:r>
      <w:r w:rsidRPr="00672F7F">
        <w:t>/2024),</w:t>
      </w:r>
    </w:p>
    <w:p w14:paraId="7A708D31" w14:textId="77777777" w:rsidR="00525AD6" w:rsidRPr="00672F7F" w:rsidRDefault="00525AD6" w:rsidP="00525AD6">
      <w:pPr>
        <w:pStyle w:val="NormalHanging12a"/>
      </w:pPr>
      <w:r w:rsidRPr="00672F7F">
        <w:t>–</w:t>
      </w:r>
      <w:r w:rsidRPr="00672F7F">
        <w:tab/>
        <w:t>der henviser til artikel 319 i traktaten om Den Europæiske Unions funktionsmåde,</w:t>
      </w:r>
    </w:p>
    <w:p w14:paraId="4AE58A56" w14:textId="77777777" w:rsidR="00525AD6" w:rsidRPr="00672F7F" w:rsidRDefault="00525AD6" w:rsidP="00525AD6">
      <w:pPr>
        <w:pStyle w:val="NormalHanging12a"/>
      </w:pPr>
      <w:r w:rsidRPr="00672F7F">
        <w:t>–</w:t>
      </w:r>
      <w:r w:rsidRPr="00672F7F">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672F7F">
        <w:rPr>
          <w:rStyle w:val="FootnoteReference"/>
        </w:rPr>
        <w:footnoteReference w:id="8"/>
      </w:r>
      <w:r w:rsidRPr="00672F7F">
        <w:t>, særlig artikel 70,</w:t>
      </w:r>
    </w:p>
    <w:p w14:paraId="62F8D0B1" w14:textId="77777777" w:rsidR="00525AD6" w:rsidRPr="00672F7F" w:rsidRDefault="00525AD6" w:rsidP="00525AD6">
      <w:pPr>
        <w:pStyle w:val="NormalHanging12a"/>
      </w:pPr>
      <w:r w:rsidRPr="00672F7F">
        <w:t>–</w:t>
      </w:r>
      <w:r w:rsidRPr="00672F7F">
        <w:tab/>
        <w:t>der henviser til Europa-Parlamentets og Rådets forordning (EU) 2021/819 af 20. maj 2021 om Det Europæiske Institut for Innovation og Teknologi</w:t>
      </w:r>
      <w:r w:rsidRPr="00672F7F">
        <w:rPr>
          <w:rStyle w:val="FootnoteReference"/>
        </w:rPr>
        <w:footnoteReference w:id="9"/>
      </w:r>
      <w:r w:rsidRPr="00672F7F">
        <w:t>, særlig artikel 23,</w:t>
      </w:r>
    </w:p>
    <w:p w14:paraId="7E6B1321" w14:textId="77777777" w:rsidR="00525AD6" w:rsidRPr="00672F7F" w:rsidRDefault="00525AD6" w:rsidP="00525AD6">
      <w:pPr>
        <w:pStyle w:val="NormalHanging12a"/>
      </w:pPr>
      <w:r w:rsidRPr="00672F7F">
        <w:t>–</w:t>
      </w:r>
      <w:r w:rsidRPr="00672F7F">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672F7F">
        <w:rPr>
          <w:rStyle w:val="FootnoteReference"/>
        </w:rPr>
        <w:footnoteReference w:id="10"/>
      </w:r>
      <w:r w:rsidRPr="00672F7F">
        <w:t>, særlig artikel 105,</w:t>
      </w:r>
    </w:p>
    <w:p w14:paraId="6CC9CA5A" w14:textId="77777777" w:rsidR="00525AD6" w:rsidRPr="00672F7F" w:rsidRDefault="00525AD6" w:rsidP="00525AD6">
      <w:pPr>
        <w:pStyle w:val="NormalHanging12a"/>
      </w:pPr>
      <w:r w:rsidRPr="00672F7F">
        <w:t>–</w:t>
      </w:r>
      <w:r w:rsidRPr="00672F7F">
        <w:tab/>
        <w:t>der henviser til forretningsordenens artikel 100 og bilag V,</w:t>
      </w:r>
    </w:p>
    <w:p w14:paraId="1464D828" w14:textId="77777777" w:rsidR="00525AD6" w:rsidRPr="00672F7F" w:rsidRDefault="00525AD6" w:rsidP="00525AD6">
      <w:pPr>
        <w:pStyle w:val="NormalHanging12a"/>
      </w:pPr>
      <w:r w:rsidRPr="00672F7F">
        <w:t>–</w:t>
      </w:r>
      <w:r w:rsidRPr="00672F7F">
        <w:tab/>
        <w:t>der henviser til betænkning fra Budgetkontroludvalget (A9-0132/2024),</w:t>
      </w:r>
    </w:p>
    <w:p w14:paraId="7BC53AF0" w14:textId="77777777" w:rsidR="00525AD6" w:rsidRPr="00672F7F" w:rsidRDefault="00525AD6" w:rsidP="00525AD6">
      <w:pPr>
        <w:pStyle w:val="NormalHanging12a"/>
      </w:pPr>
      <w:r w:rsidRPr="00672F7F">
        <w:t>1.</w:t>
      </w:r>
      <w:r w:rsidRPr="00672F7F">
        <w:tab/>
        <w:t>godkender afslutningen af regnskaberne for Det Europæiske Institut for Innovation og Teknologi (EIT) for regnskabsåret 2022,</w:t>
      </w:r>
    </w:p>
    <w:p w14:paraId="5873032B" w14:textId="77777777" w:rsidR="00525AD6" w:rsidRPr="00672F7F" w:rsidRDefault="00525AD6" w:rsidP="00525AD6">
      <w:pPr>
        <w:pStyle w:val="NormalHanging12a"/>
      </w:pPr>
      <w:r w:rsidRPr="00672F7F">
        <w:t>2.</w:t>
      </w:r>
      <w:r w:rsidRPr="00672F7F">
        <w:tab/>
        <w:t xml:space="preserve">pålægger sin formand at sende denne afgørelse til direktøren for Det Europæiske Institut for Innovation og Teknologi (EIT), Rådet, Kommissionen og Revisionsretten og drage omsorg for, at den offentliggøres i </w:t>
      </w:r>
      <w:r w:rsidRPr="00672F7F">
        <w:rPr>
          <w:i/>
          <w:iCs/>
        </w:rPr>
        <w:t>Den Europæiske Unions Tidende</w:t>
      </w:r>
      <w:r w:rsidRPr="00672F7F">
        <w:t xml:space="preserve"> (L-udgaven).</w:t>
      </w:r>
    </w:p>
    <w:p w14:paraId="4F4D7DBC" w14:textId="77777777" w:rsidR="00525AD6" w:rsidRPr="00672F7F" w:rsidRDefault="00525AD6" w:rsidP="00525AD6"/>
    <w:p w14:paraId="6ADD6B76" w14:textId="77777777" w:rsidR="00525AD6" w:rsidRPr="00672F7F" w:rsidRDefault="00525AD6" w:rsidP="00525AD6">
      <w:pPr>
        <w:widowControl/>
        <w:rPr>
          <w:rFonts w:ascii="Arial" w:hAnsi="Arial" w:cs="Arial"/>
          <w:b/>
        </w:rPr>
        <w:sectPr w:rsidR="00525AD6" w:rsidRPr="00672F7F" w:rsidSect="0055736F">
          <w:footnotePr>
            <w:numRestart w:val="eachPage"/>
          </w:footnotePr>
          <w:endnotePr>
            <w:numFmt w:val="decimal"/>
          </w:endnotePr>
          <w:pgSz w:w="11906" w:h="16838"/>
          <w:pgMar w:top="1134" w:right="1418" w:bottom="1418" w:left="1418" w:header="567" w:footer="567" w:gutter="0"/>
          <w:cols w:space="720"/>
          <w:docGrid w:linePitch="326"/>
        </w:sectPr>
      </w:pPr>
    </w:p>
    <w:p w14:paraId="4B7089B9" w14:textId="77777777" w:rsidR="00525AD6" w:rsidRPr="00672F7F" w:rsidRDefault="00525AD6" w:rsidP="001F446E">
      <w:pPr>
        <w:pStyle w:val="ATHeading3"/>
      </w:pPr>
      <w:bookmarkStart w:id="11" w:name="_Toc146809151"/>
      <w:bookmarkStart w:id="12" w:name="_Toc161733892"/>
      <w:bookmarkStart w:id="13" w:name="_Toc161992579"/>
      <w:r w:rsidRPr="00672F7F">
        <w:t xml:space="preserve">3. </w:t>
      </w:r>
      <w:bookmarkEnd w:id="11"/>
      <w:bookmarkEnd w:id="12"/>
      <w:bookmarkEnd w:id="13"/>
      <w:r w:rsidR="001F446E" w:rsidRPr="00672F7F">
        <w:t xml:space="preserve">Europa-Parlamentets beslutning af 11. april 2024 </w:t>
      </w:r>
      <w:r w:rsidRPr="00672F7F">
        <w:t>med bemærkningerne, der er en integrerende del af afgørelsen om decharge for gennemførelsen af budgettet for Det Europæiske Institut for Innovation og Teknologi (EIT) for regnskabsåret 2022</w:t>
      </w:r>
      <w:r w:rsidR="001F446E" w:rsidRPr="00672F7F">
        <w:t xml:space="preserve"> (2023</w:t>
      </w:r>
      <w:r w:rsidRPr="00672F7F">
        <w:t>/2154(DEC))</w:t>
      </w:r>
    </w:p>
    <w:p w14:paraId="376061CA" w14:textId="77777777" w:rsidR="00525AD6" w:rsidRPr="00672F7F" w:rsidRDefault="00525AD6" w:rsidP="00525AD6">
      <w:pPr>
        <w:pStyle w:val="EPComma"/>
      </w:pPr>
      <w:r w:rsidRPr="00672F7F">
        <w:rPr>
          <w:i/>
          <w:iCs/>
        </w:rPr>
        <w:t>Europa-Parlamentet,</w:t>
      </w:r>
    </w:p>
    <w:p w14:paraId="07944539" w14:textId="77777777" w:rsidR="00525AD6" w:rsidRPr="00672F7F" w:rsidRDefault="00525AD6" w:rsidP="00525AD6">
      <w:pPr>
        <w:pStyle w:val="NormalHanging12a"/>
      </w:pPr>
      <w:r w:rsidRPr="00672F7F">
        <w:t>–</w:t>
      </w:r>
      <w:r w:rsidRPr="00672F7F">
        <w:tab/>
        <w:t>der henviser til sin afgørelse om decharge for gennemførelsen af budgettet for Det Europæiske Institut for Innovation og Teknologi ("instituttet") for regnskabsåret 2022,</w:t>
      </w:r>
    </w:p>
    <w:p w14:paraId="5E305015" w14:textId="77777777" w:rsidR="00525AD6" w:rsidRPr="00672F7F" w:rsidRDefault="00525AD6" w:rsidP="00525AD6">
      <w:pPr>
        <w:pStyle w:val="NormalHanging12a"/>
      </w:pPr>
      <w:r w:rsidRPr="00672F7F">
        <w:t>–</w:t>
      </w:r>
      <w:r w:rsidRPr="00672F7F">
        <w:tab/>
        <w:t>der henviser til forretningsordenens artikel 100 og bilag V,</w:t>
      </w:r>
    </w:p>
    <w:p w14:paraId="7E7D0E31" w14:textId="77777777" w:rsidR="00525AD6" w:rsidRPr="00672F7F" w:rsidRDefault="00525AD6" w:rsidP="00525AD6">
      <w:pPr>
        <w:pStyle w:val="NormalHanging12a"/>
      </w:pPr>
      <w:r w:rsidRPr="00672F7F">
        <w:t>–</w:t>
      </w:r>
      <w:r w:rsidRPr="00672F7F">
        <w:tab/>
        <w:t>der henviser til betænkning fra Budgetkontroludvalget (A9-0132/2024),</w:t>
      </w:r>
    </w:p>
    <w:p w14:paraId="1E966277" w14:textId="77777777" w:rsidR="00525AD6" w:rsidRPr="00672F7F" w:rsidRDefault="00525AD6" w:rsidP="00525AD6">
      <w:pPr>
        <w:pStyle w:val="Default"/>
        <w:spacing w:after="240"/>
        <w:ind w:left="567" w:hanging="567"/>
        <w:rPr>
          <w:rFonts w:eastAsia="Times New Roman"/>
          <w:color w:val="auto"/>
        </w:rPr>
      </w:pPr>
      <w:r w:rsidRPr="00672F7F">
        <w:rPr>
          <w:color w:val="auto"/>
        </w:rPr>
        <w:t>A.</w:t>
      </w:r>
      <w:r w:rsidRPr="00672F7F">
        <w:rPr>
          <w:color w:val="auto"/>
        </w:rPr>
        <w:tab/>
        <w:t>der henviser til, at det endelige budget for instituttet for regnskabsåret 2022 ifølge dets oversigt over indtægter og udgifter</w:t>
      </w:r>
      <w:r w:rsidRPr="00672F7F">
        <w:rPr>
          <w:rStyle w:val="FootnoteReference"/>
          <w:rFonts w:eastAsia="Times New Roman"/>
          <w:color w:val="auto"/>
          <w:lang w:eastAsia="en-GB"/>
        </w:rPr>
        <w:footnoteReference w:id="11"/>
      </w:r>
      <w:r w:rsidRPr="00672F7F">
        <w:rPr>
          <w:color w:val="auto"/>
        </w:rPr>
        <w:t xml:space="preserve"> var på 406 585 390,99 EUR, hvilket svarer til en stigning på 12,65 % i forhold til 2021; der henviser til, at instituttets budget hovedsagelig stammer fra EU-budgettet;</w:t>
      </w:r>
    </w:p>
    <w:p w14:paraId="0A4C4208" w14:textId="77777777" w:rsidR="00525AD6" w:rsidRPr="00672F7F" w:rsidRDefault="00525AD6" w:rsidP="00525AD6">
      <w:pPr>
        <w:spacing w:after="240"/>
        <w:ind w:left="567" w:hanging="567"/>
        <w:rPr>
          <w:szCs w:val="24"/>
        </w:rPr>
      </w:pPr>
      <w:r w:rsidRPr="00672F7F">
        <w:t>B.</w:t>
      </w:r>
      <w:r w:rsidRPr="00672F7F">
        <w:tab/>
        <w:t>der henviser til, at Revisionsretten i sin beretning om instituttets årsregnskab for regnskabsåret 2022 ("Revisionsrettens beretning") fastslår, at den har fået rimelig sikkerhed for, at instituttets årsregnskab er rigtigt, og at de underliggende transaktioner er lovlige og formelt rigtige;</w:t>
      </w:r>
    </w:p>
    <w:p w14:paraId="2A8DD55F" w14:textId="77777777" w:rsidR="00525AD6" w:rsidRPr="00672F7F" w:rsidRDefault="00525AD6" w:rsidP="00525AD6">
      <w:pPr>
        <w:spacing w:after="240"/>
        <w:ind w:left="567" w:hanging="567"/>
        <w:rPr>
          <w:b/>
          <w:i/>
          <w:szCs w:val="24"/>
        </w:rPr>
      </w:pPr>
      <w:r w:rsidRPr="00672F7F">
        <w:rPr>
          <w:b/>
          <w:i/>
        </w:rPr>
        <w:t>Budgetmæssig og økonomisk forvaltning</w:t>
      </w:r>
    </w:p>
    <w:p w14:paraId="1E3F5449" w14:textId="77777777" w:rsidR="00525AD6" w:rsidRPr="00672F7F" w:rsidRDefault="00525AD6" w:rsidP="00525AD6">
      <w:pPr>
        <w:spacing w:after="240"/>
        <w:ind w:left="567" w:hanging="567"/>
        <w:rPr>
          <w:szCs w:val="24"/>
        </w:rPr>
      </w:pPr>
      <w:r w:rsidRPr="00672F7F">
        <w:t>1.</w:t>
      </w:r>
      <w:r w:rsidRPr="00672F7F">
        <w:tab/>
        <w:t>bemærker, at budgetovervågningsindsatsen i regnskabsåret 2022 resulterede i en gennemførelsesgrad for forpligtelsesbevillinger for det pågældende år på 94,03 %, hvilket svarer til et fald på 3,88 % i forhold til 2021; bemærker, at udnyttelsesgraden for betalingsbevillingerne i det pågældende år var på 98,42 %, svarende til et fald på 1,06 % i forhold til 2021;</w:t>
      </w:r>
    </w:p>
    <w:p w14:paraId="7E9145E3" w14:textId="77777777" w:rsidR="00525AD6" w:rsidRPr="00672F7F" w:rsidRDefault="00525AD6" w:rsidP="00525AD6">
      <w:pPr>
        <w:spacing w:after="240"/>
        <w:ind w:left="567" w:hanging="567"/>
        <w:rPr>
          <w:szCs w:val="24"/>
        </w:rPr>
      </w:pPr>
      <w:r w:rsidRPr="00672F7F">
        <w:t>2.</w:t>
      </w:r>
      <w:r w:rsidRPr="00672F7F">
        <w:tab/>
        <w:t>bemærker, at beløbet for instituttets endelige budget er resultatet af en ændring på 656 930,67 EUR, som bestyrelsen vedtog som følge af ændringer i instituttets årlige arbejdsprogram for 2022;</w:t>
      </w:r>
    </w:p>
    <w:p w14:paraId="26331FB6" w14:textId="77777777" w:rsidR="00525AD6" w:rsidRPr="00672F7F" w:rsidRDefault="00525AD6" w:rsidP="00525AD6">
      <w:pPr>
        <w:spacing w:after="240"/>
        <w:ind w:left="567" w:hanging="567"/>
        <w:rPr>
          <w:szCs w:val="24"/>
        </w:rPr>
      </w:pPr>
      <w:r w:rsidRPr="00672F7F">
        <w:t>3.</w:t>
      </w:r>
      <w:r w:rsidRPr="00672F7F">
        <w:tab/>
        <w:t>noterer sig med bekymring Revisionsrettens bemærkning om lovligheden og den formelle rigtighed af instituttets tilskud, som efterfølgende blev kontrolleret af en uafhængig ekstern revisor, eftersom fejlprocenten i 2021 var på 1,73 % (0,66 % i 2020), og fremhæver, at selv om fejlprocenten stadig ligger under væsentlighedstærsklen på 2 %, kan de kritiske risici som følge af et øget budget, et udvidet mandat og øgede aktiviteter under Horisont Europa kombineret med en stigning i antallet af videns- og innovationsfællesskaber (VIF'er) belaste instituttets evne til effektivt at føre tilsyn med og overvåge VIF'er, hvilket kan resultere i højere fejlprocenter og uopdagede regelstridigheder i fremtiden; opfordrer instituttet til at tage konkrete skridt til at nedbringe fejlprocenten;</w:t>
      </w:r>
    </w:p>
    <w:p w14:paraId="1254418B" w14:textId="77777777" w:rsidR="00525AD6" w:rsidRPr="00672F7F" w:rsidRDefault="00525AD6" w:rsidP="00525AD6">
      <w:pPr>
        <w:spacing w:after="240"/>
        <w:ind w:left="567" w:hanging="567"/>
        <w:rPr>
          <w:szCs w:val="24"/>
        </w:rPr>
      </w:pPr>
      <w:r w:rsidRPr="00672F7F">
        <w:t>4.</w:t>
      </w:r>
      <w:r w:rsidRPr="00672F7F">
        <w:tab/>
        <w:t>bemærker på baggrund af Revisionsrettens beretning, at instituttet i to tilfælde i 2022 betalte morarenter i forbindelse med tilskud, på i alt 32 070 EUR; noterer sig med bekymring, at instituttet i begge tilfælde ikke holdt tilstrækkeligt øje med de lovbestemte frister, hvilket vidner om en svaghed i EIT's betalingsproces;</w:t>
      </w:r>
      <w:r w:rsidRPr="00672F7F">
        <w:rPr>
          <w:rFonts w:ascii="Calibri" w:hAnsi="Calibri"/>
          <w:color w:val="000000"/>
          <w:sz w:val="22"/>
        </w:rPr>
        <w:t xml:space="preserve"> </w:t>
      </w:r>
      <w:r w:rsidRPr="00672F7F">
        <w:t>noterer sig, at instituttet ifølge dets svar på Revisionsrettens bemærkning har gennemgået sine tilskudsforvaltningsprocesser siden 2023 og uddannet relevant personale og er begyndt at bruge Kommissionens IT-system til tilskudsforvaltning (eGrants), hvilket i betydelig grad mindsker risikoen for, at der vil forekomme lignende fejl i fremtiden;</w:t>
      </w:r>
    </w:p>
    <w:p w14:paraId="45631C5B" w14:textId="77777777" w:rsidR="00525AD6" w:rsidRPr="00672F7F" w:rsidRDefault="00525AD6" w:rsidP="00525AD6">
      <w:pPr>
        <w:spacing w:after="240"/>
        <w:ind w:left="567" w:hanging="567"/>
        <w:rPr>
          <w:b/>
          <w:i/>
          <w:szCs w:val="24"/>
        </w:rPr>
      </w:pPr>
      <w:r w:rsidRPr="00672F7F">
        <w:rPr>
          <w:b/>
          <w:i/>
        </w:rPr>
        <w:t>Performance</w:t>
      </w:r>
    </w:p>
    <w:p w14:paraId="0643A501" w14:textId="77777777" w:rsidR="00525AD6" w:rsidRPr="00672F7F" w:rsidRDefault="00525AD6" w:rsidP="00525AD6">
      <w:pPr>
        <w:autoSpaceDE w:val="0"/>
        <w:autoSpaceDN w:val="0"/>
        <w:adjustRightInd w:val="0"/>
        <w:spacing w:after="240"/>
        <w:ind w:left="567" w:hanging="567"/>
        <w:rPr>
          <w:szCs w:val="24"/>
        </w:rPr>
      </w:pPr>
      <w:r w:rsidRPr="00672F7F">
        <w:t>5.</w:t>
      </w:r>
      <w:r w:rsidRPr="00672F7F">
        <w:tab/>
        <w:t>bemærker med tilfredshed, at instituttet anvender et system med centrale resultatindikatorer (KPI'er), der er knyttet til operationelle aktiviteter, ledelse og instituttets kommunikation; bemærker endvidere, at instituttet med visse forsinkelser opfyldte ca. 95 % af sit arbejdsprogram for 2022; noterer sig, at instituttet inden for rammerne af den nye europæiske innovationsdagsorden fik til opgave at gennemføre nye aktiviteter, som ikke indgik i den oprindelige plan, og at der ikke blev afsat yderligere ressourcer til at gennemføre disse aktiviteter;</w:t>
      </w:r>
    </w:p>
    <w:p w14:paraId="6C1DD7F3" w14:textId="77777777" w:rsidR="00525AD6" w:rsidRPr="00672F7F" w:rsidRDefault="00525AD6" w:rsidP="00525AD6">
      <w:pPr>
        <w:autoSpaceDE w:val="0"/>
        <w:autoSpaceDN w:val="0"/>
        <w:adjustRightInd w:val="0"/>
        <w:spacing w:after="240"/>
        <w:ind w:left="567" w:hanging="567"/>
        <w:rPr>
          <w:szCs w:val="24"/>
        </w:rPr>
      </w:pPr>
      <w:r w:rsidRPr="00672F7F">
        <w:t>6.</w:t>
      </w:r>
      <w:r w:rsidRPr="00672F7F">
        <w:tab/>
        <w:t>glæder sig over, at instituttet fortsatte med at øge sin virkning i 2022, hvor det muliggjorde næsten 1 670 innovative produkter og tjenesteydelser, uddannede tusindvis af iværksættere og støttede 5 600 opstartsvirksomheder og vækstvirksomheder, der tiltrak næsten 6 mia. EUR i investeringer; bemærker endvidere, at instituttet afsluttede sin integration i Horisont Europa efter at være overgået til en flerårig finansieringsmodel;</w:t>
      </w:r>
    </w:p>
    <w:p w14:paraId="4FF27525" w14:textId="77777777" w:rsidR="00525AD6" w:rsidRPr="00672F7F" w:rsidRDefault="00525AD6" w:rsidP="00525AD6">
      <w:pPr>
        <w:autoSpaceDE w:val="0"/>
        <w:autoSpaceDN w:val="0"/>
        <w:adjustRightInd w:val="0"/>
        <w:spacing w:after="240"/>
        <w:ind w:left="567" w:hanging="567"/>
        <w:rPr>
          <w:szCs w:val="24"/>
        </w:rPr>
      </w:pPr>
      <w:r w:rsidRPr="00672F7F">
        <w:t>7.</w:t>
      </w:r>
      <w:r w:rsidRPr="00672F7F">
        <w:tab/>
        <w:t>bemærker, at instituttet har gjort fremskridt med gennemførelsen af pilotinitiativet "Innovation Capacity Building for Higher Education", der blev lanceret i 2021, hvilket har øget de videregående uddannelsesinstitutioners interesse og deltagelse deri; bemærker, at instituttet er blevet fremhævet som en af de vigtigste bidragydere og aktører i det europæiske innovationsøkosystem med lanceringen af dets Deep Tech Talent Initiative, der har til formål at give færdigheder til, omskole og opkvalificere mindst en million talenter i løbet af de næste tre år;</w:t>
      </w:r>
    </w:p>
    <w:p w14:paraId="2384EDA0" w14:textId="77777777" w:rsidR="00525AD6" w:rsidRPr="00672F7F" w:rsidRDefault="00525AD6" w:rsidP="00525AD6">
      <w:pPr>
        <w:autoSpaceDE w:val="0"/>
        <w:autoSpaceDN w:val="0"/>
        <w:adjustRightInd w:val="0"/>
        <w:spacing w:after="240"/>
        <w:ind w:left="567" w:hanging="567"/>
        <w:rPr>
          <w:szCs w:val="24"/>
        </w:rPr>
      </w:pPr>
      <w:r w:rsidRPr="00672F7F">
        <w:t>8.</w:t>
      </w:r>
      <w:r w:rsidRPr="00672F7F">
        <w:tab/>
        <w:t>glæder sig over, at instituttet støttede Ukraines befolkning efter Ruslands ulovlige og uprovokerede invasion af landet i februar 2022 og ydede bistand til studerende, iværksættere, forskere og videregående uddannelsesinstitutioner og virksomheder; bemærker endvidere, at instituttet lancerede European Battery Alliance Academy under programmet genopretningsbistand til samhørighed og til områder i Europa, og at instituttet i den forbindelse for første gang modtog en større tildeling af midler fra et andet program;</w:t>
      </w:r>
    </w:p>
    <w:p w14:paraId="3D9CDD28" w14:textId="77777777" w:rsidR="00525AD6" w:rsidRPr="00672F7F" w:rsidRDefault="00525AD6" w:rsidP="00525AD6">
      <w:pPr>
        <w:autoSpaceDE w:val="0"/>
        <w:autoSpaceDN w:val="0"/>
        <w:adjustRightInd w:val="0"/>
        <w:spacing w:after="240"/>
        <w:ind w:left="567" w:hanging="567"/>
        <w:rPr>
          <w:b/>
          <w:i/>
          <w:szCs w:val="24"/>
        </w:rPr>
      </w:pPr>
      <w:r w:rsidRPr="00672F7F">
        <w:rPr>
          <w:b/>
          <w:i/>
        </w:rPr>
        <w:t>Effektivitet og gevinster</w:t>
      </w:r>
    </w:p>
    <w:p w14:paraId="45DD0CB1" w14:textId="77777777" w:rsidR="00525AD6" w:rsidRPr="00672F7F" w:rsidRDefault="00525AD6" w:rsidP="00525AD6">
      <w:pPr>
        <w:autoSpaceDE w:val="0"/>
        <w:autoSpaceDN w:val="0"/>
        <w:adjustRightInd w:val="0"/>
        <w:spacing w:after="240"/>
        <w:ind w:left="567" w:hanging="567"/>
        <w:rPr>
          <w:szCs w:val="24"/>
        </w:rPr>
      </w:pPr>
      <w:r w:rsidRPr="00672F7F">
        <w:t>9.</w:t>
      </w:r>
      <w:r w:rsidRPr="00672F7F">
        <w:tab/>
        <w:t>bemærker, at instituttet har undertegnet et aftalememorandum med Den Europæiske Unions Agentur for Uddannelse inden for Retshåndhævelse, der omfatter flere fælles aktiviteter og sikkerhedsvurderinger; minder om, at fælles aktiviteter bringer forskellige perspektiver sammen, mindsker dobbeltarbejde, fremmer læring og styrker forbindelserne mellem deltagerne; bemærker endvidere, at instituttet for at forbedre sin effektivitet begyndte at gennemføre sin overgang fra Horisont 2020 til Horisont Europa i 2021 og færdiggjorde den i 2022 i samarbejde med Kommissionen;</w:t>
      </w:r>
    </w:p>
    <w:p w14:paraId="4C3CAEE1" w14:textId="77777777" w:rsidR="00525AD6" w:rsidRPr="00672F7F" w:rsidRDefault="00525AD6" w:rsidP="00525AD6">
      <w:pPr>
        <w:autoSpaceDE w:val="0"/>
        <w:autoSpaceDN w:val="0"/>
        <w:adjustRightInd w:val="0"/>
        <w:spacing w:after="240"/>
        <w:ind w:left="567" w:hanging="567"/>
        <w:rPr>
          <w:szCs w:val="24"/>
        </w:rPr>
      </w:pPr>
      <w:r w:rsidRPr="00672F7F">
        <w:t>10.</w:t>
      </w:r>
      <w:r w:rsidRPr="00672F7F">
        <w:tab/>
        <w:t>bemærker, at instituttet har indført forskellige undersøgelser af proceseffektiviteten, der bl.a. har medført en tilpasning af jobbeskrivelser, personalemål og fordeling af opgaver og ressourcer; bemærker, at instituttet i 2022 gennemførte en omstrukturering og vedtog et dokument om arbejdsmetoder for bl.a. at øge effektiviteten, f.eks. i forbindelse med brug af e-mail, møder og fjernarbejde;</w:t>
      </w:r>
    </w:p>
    <w:p w14:paraId="4F0DB9A4" w14:textId="77777777" w:rsidR="00525AD6" w:rsidRPr="00672F7F" w:rsidRDefault="00525AD6" w:rsidP="00525AD6">
      <w:pPr>
        <w:autoSpaceDE w:val="0"/>
        <w:autoSpaceDN w:val="0"/>
        <w:adjustRightInd w:val="0"/>
        <w:spacing w:after="240"/>
        <w:ind w:left="567" w:hanging="567"/>
        <w:rPr>
          <w:szCs w:val="24"/>
        </w:rPr>
      </w:pPr>
      <w:r w:rsidRPr="00672F7F">
        <w:t>11.</w:t>
      </w:r>
      <w:r w:rsidRPr="00672F7F">
        <w:tab/>
        <w:t>glæder sig over, at der i 2022 blev lanceret nye IT-værktøjer til støtte for instituttets administrative operationer med det endelige mål at øge dets operationelle effektivitet og ydeevne, herunder værktøjet til forvaltning af offentlige udbud (PPMT), Q-Sign (elektronisk signatur) og indførelsen af forskellige moduler af Europa-Kommissionens informationssystem til forvaltning af menneskelige ressourcer (SYSPER); opfordrer instituttet til at finde flere interne procedurer, der kan strømlines ved hjælp af nye IT-værktøjer;</w:t>
      </w:r>
    </w:p>
    <w:p w14:paraId="5C97A27E" w14:textId="77777777" w:rsidR="00525AD6" w:rsidRPr="00672F7F" w:rsidRDefault="00525AD6" w:rsidP="00525AD6">
      <w:pPr>
        <w:pStyle w:val="NormalHanging12a"/>
      </w:pPr>
      <w:r w:rsidRPr="00672F7F">
        <w:t>12.</w:t>
      </w:r>
      <w:r w:rsidRPr="00672F7F">
        <w:tab/>
        <w:t>minder om, at det er vigtigt, at instituttet øger digitaliseringen af sine interne operationer og sin forvaltning og også fremskynder digitaliseringen af procedurerne; understreger nødvendigheden af, at instituttet fortsat er proaktivt i denne henseende for at undgå en digital kløft mellem EU-agenturerne; gør imidlertid opmærksom på behovet for at træffe alle de nødvendige forholdsregler for at undgå enhver risiko med hensyn til onlinesikkerheden af de behandlede oplysninger og insisterer på, at det er nødvendigt at øge indsatsen mod cyberangreb eller forsøg på infiltration, navnlig når de stammer fra Rusland eller Kina;</w:t>
      </w:r>
    </w:p>
    <w:p w14:paraId="4041946A" w14:textId="77777777" w:rsidR="00525AD6" w:rsidRPr="00672F7F" w:rsidRDefault="00525AD6" w:rsidP="00525AD6">
      <w:pPr>
        <w:spacing w:after="240"/>
        <w:ind w:left="567" w:hanging="567"/>
        <w:rPr>
          <w:szCs w:val="24"/>
        </w:rPr>
      </w:pPr>
      <w:r w:rsidRPr="00672F7F">
        <w:rPr>
          <w:b/>
          <w:i/>
        </w:rPr>
        <w:t>Personalepolitik</w:t>
      </w:r>
    </w:p>
    <w:p w14:paraId="2EE77BC7" w14:textId="77777777" w:rsidR="00525AD6" w:rsidRPr="00672F7F" w:rsidRDefault="00525AD6" w:rsidP="00525AD6">
      <w:pPr>
        <w:autoSpaceDE w:val="0"/>
        <w:autoSpaceDN w:val="0"/>
        <w:adjustRightInd w:val="0"/>
        <w:spacing w:after="240"/>
        <w:ind w:left="567" w:hanging="567"/>
        <w:rPr>
          <w:szCs w:val="24"/>
        </w:rPr>
      </w:pPr>
      <w:r w:rsidRPr="00672F7F">
        <w:t>13.</w:t>
      </w:r>
      <w:r w:rsidRPr="00672F7F">
        <w:tab/>
        <w:t>bemærker, at gennemførelsesgraden for stillingsfortegnelsen pr. 31. december 2022 var på 93 % med 40 midlertidigt ansatte ud af de 45 midlertidigt ansatte, som var godkendt i henhold til Unionens budget (det samme antal godkendte stillinger som i 2021); bemærker endvidere, at 25 kontraktansatte, 10 vikarer og en udstationeret national ekspert arbejdede for agenturet i 2022;</w:t>
      </w:r>
    </w:p>
    <w:p w14:paraId="01844FE6" w14:textId="77777777" w:rsidR="00525AD6" w:rsidRPr="00672F7F" w:rsidRDefault="00525AD6" w:rsidP="00525AD6">
      <w:pPr>
        <w:autoSpaceDE w:val="0"/>
        <w:autoSpaceDN w:val="0"/>
        <w:adjustRightInd w:val="0"/>
        <w:spacing w:after="240"/>
        <w:ind w:left="567" w:hanging="567"/>
        <w:rPr>
          <w:bCs/>
          <w:szCs w:val="24"/>
        </w:rPr>
      </w:pPr>
      <w:r w:rsidRPr="00672F7F">
        <w:t>14.</w:t>
      </w:r>
      <w:r w:rsidRPr="00672F7F">
        <w:tab/>
        <w:t>er bekymret over, at den fortsatte underbemanding af instituttet, som fremhævet af Revisionsretten i dens årsberetninger, ikke er blevet modsvaret af yderligere stillinger; fremhæver, at instituttet gentog sin anmodning i begyndelsen af 2023 om at få yderligere 10 stillinger, som skulle gøre det muligt for instituttet at gennemføre sit arbejdsprogram for 2024; gør opmærksom på behovet for at tilpasse instituttets ressourcer til forventningerne til dets nye mandat;</w:t>
      </w:r>
    </w:p>
    <w:p w14:paraId="4BF9CC6C" w14:textId="77777777" w:rsidR="00525AD6" w:rsidRPr="00672F7F" w:rsidRDefault="00525AD6" w:rsidP="00525AD6">
      <w:pPr>
        <w:autoSpaceDE w:val="0"/>
        <w:autoSpaceDN w:val="0"/>
        <w:adjustRightInd w:val="0"/>
        <w:spacing w:after="240"/>
        <w:ind w:left="567" w:hanging="567"/>
        <w:rPr>
          <w:szCs w:val="24"/>
        </w:rPr>
      </w:pPr>
      <w:r w:rsidRPr="00672F7F">
        <w:t>15.</w:t>
      </w:r>
      <w:r w:rsidRPr="00672F7F">
        <w:tab/>
        <w:t>bemærker kønsfordelingen blandt instituttets top</w:t>
      </w:r>
      <w:r w:rsidRPr="00672F7F">
        <w:noBreakHyphen/>
        <w:t xml:space="preserve"> og mellemledere, hvor fem ud af otte er mænd; er bekymret over kønsbalancen i bestyrelsen, hvor 9 ud af 14 er mænd; bemærker kønsfordelingen i instituttets samlede personale, hvor 28 ud af 65 er mænd; bemærker endvidere, at instituttets ligestillingspolitik og </w:t>
      </w:r>
      <w:r w:rsidRPr="00672F7F">
        <w:noBreakHyphen/>
        <w:t>handlingsplan blev godkendt i 2022; minder om betydningen af at sikre kønsbalance og opfordrer instituttet til at tage dette aspekt i betragtning i forbindelse med fremtidige ansættelser af personale og udnævnelser i den øverste ledelse og på mellemlederniveau; anmoder Kommissionen om at tage hensyn til betydningen af at sikre kønsbalance, når de indstiller medlemmer til instituttets bestyrelse;</w:t>
      </w:r>
    </w:p>
    <w:p w14:paraId="492428F8" w14:textId="77777777" w:rsidR="00525AD6" w:rsidRPr="00672F7F" w:rsidRDefault="00525AD6" w:rsidP="00525AD6">
      <w:pPr>
        <w:pStyle w:val="NormalHanging12a"/>
      </w:pPr>
      <w:r w:rsidRPr="00672F7F">
        <w:t>16.</w:t>
      </w:r>
      <w:r w:rsidRPr="00672F7F">
        <w:tab/>
        <w:t>gør opmærksom på sin bekymring over den geografiske balance blandt instituttets top‑ og mellemledere, idet der kun er én leder fra Central- og Østeuropa; insisterer på, at der skal ske forbedringer i den henseende; anmoder instituttet om at rapportere tilbage til dechargemyndigheden herom;</w:t>
      </w:r>
    </w:p>
    <w:p w14:paraId="0B44A051" w14:textId="77777777" w:rsidR="00525AD6" w:rsidRPr="00672F7F" w:rsidRDefault="00525AD6" w:rsidP="00525AD6">
      <w:pPr>
        <w:autoSpaceDE w:val="0"/>
        <w:autoSpaceDN w:val="0"/>
        <w:adjustRightInd w:val="0"/>
        <w:spacing w:after="240"/>
        <w:ind w:left="567" w:hanging="567"/>
        <w:rPr>
          <w:szCs w:val="24"/>
        </w:rPr>
      </w:pPr>
      <w:r w:rsidRPr="00672F7F">
        <w:t>17.</w:t>
      </w:r>
      <w:r w:rsidRPr="00672F7F">
        <w:tab/>
        <w:t>glæder sig over instituttets initiativer til at styrke betydningen af kønsbalance, f.eks. gennem programmerne Girls Go Circular på skoleniveau og Supernovas, der fremmer kvinders iværksættervirksomhed og lederskab; bemærker endvidere, at instituttet i 2023 vedtog EUAN-chartret om mangfoldighed og inklusion og derved bekræftede sit tilsagn om at sikre lige muligheder på alle karrieretrin og styrke arbejdsmiljøet, således at mangfoldighed betragtes som en kilde til innovation, berigelse og kreativitet, og inklusion fremmes af ledere og alt personale;</w:t>
      </w:r>
    </w:p>
    <w:p w14:paraId="62C6FE51" w14:textId="77777777" w:rsidR="00525AD6" w:rsidRPr="00672F7F" w:rsidRDefault="00525AD6" w:rsidP="00525AD6">
      <w:pPr>
        <w:autoSpaceDE w:val="0"/>
        <w:autoSpaceDN w:val="0"/>
        <w:adjustRightInd w:val="0"/>
        <w:spacing w:after="240"/>
        <w:ind w:left="567" w:hanging="567"/>
        <w:rPr>
          <w:szCs w:val="24"/>
        </w:rPr>
      </w:pPr>
      <w:r w:rsidRPr="00672F7F">
        <w:t>18</w:t>
      </w:r>
      <w:r w:rsidR="001F446E" w:rsidRPr="00672F7F">
        <w:t>.</w:t>
      </w:r>
      <w:r w:rsidRPr="00672F7F">
        <w:tab/>
        <w:t>bemærker, at instituttet havde implementeret de fleste af SYSPER-modulerne i 2022 og vil fortsætte hermed i 2023; bemærker, at instituttet har vedtaget EU-agenturernes netværks charter om mangfoldighed og inklusion, hvilket viser dets engagement i at sikre lige muligheder og styrke arbejdsmiljøet; bemærker endvidere, at instituttet har indført en række foranstaltninger til at forbedre medarbejdernes trivsel på arbejdspladsen og balancen mellem arbejdsliv og privatliv, som bl.a. vedrører dækning af udgifter til offentlig transport, indskrivning af medarbejdernes børn i internationale børnehaver og fleksible og hybride arbejdsvilkår;</w:t>
      </w:r>
    </w:p>
    <w:p w14:paraId="071760CA" w14:textId="77777777" w:rsidR="00525AD6" w:rsidRPr="00672F7F" w:rsidRDefault="00525AD6" w:rsidP="00525AD6">
      <w:pPr>
        <w:pStyle w:val="NormalHanging12a"/>
      </w:pPr>
      <w:r w:rsidRPr="00672F7F">
        <w:t>19.</w:t>
      </w:r>
      <w:r w:rsidRPr="00672F7F">
        <w:tab/>
        <w:t>bemærker, at instituttet – inden for rammerne af uddannelsesplanen, som blev udviklet i overensstemmelse med instituttets og dets personales behov for at forbedre de generelle resultater – fortsatte med at tilbyde sine medarbejdere onlinekurser, herunder i etik og integritet, forebyggelse af chikane, databeskyttelse, effektivitet i hybridmøder, bevidsthed om IT-sikkerhed og sikkerhedsuddannelse;</w:t>
      </w:r>
    </w:p>
    <w:p w14:paraId="26E8E66C" w14:textId="77777777" w:rsidR="00525AD6" w:rsidRPr="00672F7F" w:rsidRDefault="00525AD6" w:rsidP="00525AD6">
      <w:pPr>
        <w:pStyle w:val="NormalHanging12a"/>
      </w:pPr>
      <w:r w:rsidRPr="00672F7F">
        <w:t>20.</w:t>
      </w:r>
      <w:r w:rsidRPr="00672F7F">
        <w:tab/>
        <w:t>glæder sig over, at der på vellykket vis blev lanceret to ansøgningsrunder til praktikophold i 2022; bemærker, at i alt 23 unge fagfolk som følge heraf kom i praktik i instituttet og enten påbegyndte eller afsluttede deres praktikophold i 2022;</w:t>
      </w:r>
    </w:p>
    <w:p w14:paraId="4FDC8A2F" w14:textId="77777777" w:rsidR="00525AD6" w:rsidRPr="00672F7F" w:rsidRDefault="00525AD6" w:rsidP="00525AD6">
      <w:pPr>
        <w:autoSpaceDE w:val="0"/>
        <w:autoSpaceDN w:val="0"/>
        <w:adjustRightInd w:val="0"/>
        <w:spacing w:after="240"/>
        <w:ind w:left="567" w:hanging="567"/>
        <w:rPr>
          <w:szCs w:val="24"/>
        </w:rPr>
      </w:pPr>
      <w:r w:rsidRPr="00672F7F">
        <w:t>21.</w:t>
      </w:r>
      <w:r w:rsidRPr="00672F7F">
        <w:tab/>
        <w:t>bemærker, at et tidligere medlem af Kommissionen og et tidligere medlem af Europa-Parlamentet i deres egenskab af medlemmer af bestyrelsen modtager honorarer på 2 000 EUR pr. bestyrelsesmøde, de deltager i, fra instituttets budget;</w:t>
      </w:r>
    </w:p>
    <w:p w14:paraId="5AAE1BD1" w14:textId="77777777" w:rsidR="00525AD6" w:rsidRPr="00672F7F" w:rsidRDefault="00525AD6" w:rsidP="00525AD6">
      <w:pPr>
        <w:pStyle w:val="NormalHanging12a"/>
      </w:pPr>
      <w:r w:rsidRPr="00672F7F">
        <w:t>22.</w:t>
      </w:r>
      <w:r w:rsidRPr="00672F7F">
        <w:tab/>
        <w:t>er bekymret over, at der i 2022 blev indberettet en sag om chikane, hvorved der blev indledt en administrativ undersøgelse, som stadig er i gang; opfordrer instituttet til hurtigst muligt at aflægge rapport til dechargemyndigheden om enhver udvikling i den forbindelse; bemærker, at instituttet har en politik for beskyttelse af personers værdighed og forebyggelse af psykisk og seksuel chikane, og at instituttet deltager i agenturernes taskforce af fortrolige rådgivere; ser frem til at modtage deres rapport og anbefalinger;</w:t>
      </w:r>
    </w:p>
    <w:p w14:paraId="646E0C99" w14:textId="77777777" w:rsidR="00525AD6" w:rsidRPr="00672F7F" w:rsidRDefault="00525AD6" w:rsidP="00525AD6">
      <w:pPr>
        <w:spacing w:after="240"/>
        <w:ind w:left="567" w:hanging="567"/>
        <w:rPr>
          <w:b/>
          <w:i/>
          <w:szCs w:val="24"/>
        </w:rPr>
      </w:pPr>
      <w:r w:rsidRPr="00672F7F">
        <w:rPr>
          <w:b/>
          <w:i/>
        </w:rPr>
        <w:t>Forebyggelse og håndtering af interessekonflikter samt gennemsigtighed</w:t>
      </w:r>
    </w:p>
    <w:p w14:paraId="6CE62418" w14:textId="77777777" w:rsidR="00525AD6" w:rsidRPr="00672F7F" w:rsidRDefault="00525AD6" w:rsidP="00525AD6">
      <w:pPr>
        <w:spacing w:after="240"/>
        <w:ind w:left="567" w:hanging="567"/>
        <w:rPr>
          <w:szCs w:val="24"/>
        </w:rPr>
      </w:pPr>
      <w:r w:rsidRPr="00672F7F">
        <w:t>23.</w:t>
      </w:r>
      <w:r w:rsidRPr="00672F7F">
        <w:tab/>
        <w:t>anerkender instituttets eksisterende foranstaltninger til og igangværende bestræbelser på at sikre gennemsigtighed, forebyggelse og håndtering af interessekonflikter og beskyttelse af whistleblowere; bemærker, at instituttet på sit websted offentliggjorde interesseerklæringer og CV'er for medlemmerne af dets bestyrelse og ledelsesteam;</w:t>
      </w:r>
      <w:r w:rsidRPr="00672F7F">
        <w:rPr>
          <w:rFonts w:ascii="Calibri" w:hAnsi="Calibri"/>
          <w:color w:val="1F497D"/>
          <w:sz w:val="22"/>
        </w:rPr>
        <w:t xml:space="preserve"> </w:t>
      </w:r>
      <w:r w:rsidRPr="00672F7F">
        <w:t>bemærker endvidere, at instituttet på sit websted offentliggør oplysninger om alle møder, der afholdes af dets bestyrelse og ledelsesteam i forbindelse med offentlige arrangementer og møder pr. måned;</w:t>
      </w:r>
    </w:p>
    <w:p w14:paraId="540396BE" w14:textId="77777777" w:rsidR="00525AD6" w:rsidRPr="00672F7F" w:rsidRDefault="00525AD6" w:rsidP="00525AD6">
      <w:pPr>
        <w:spacing w:after="240"/>
        <w:ind w:left="567" w:hanging="567"/>
        <w:rPr>
          <w:szCs w:val="24"/>
        </w:rPr>
      </w:pPr>
      <w:r w:rsidRPr="00672F7F">
        <w:t>24.</w:t>
      </w:r>
      <w:r w:rsidRPr="00672F7F">
        <w:tab/>
        <w:t>bemærker, at instituttet har vedtaget en politik for forebyggelse og håndtering af interessekonflikter for personalet, herunder procedurer for udstedelse og vurdering af årlige interesseerklæringer og procedurer, der finder anvendelse ved manglende overholdelse af instituttets regler om interesseerklæringer; bemærker endvidere, at instituttet har nedsat et rådgivende udvalg om konflikter, har arrangeret informationsmøder for personalet om etik og integritet og er i færd med at udarbejde en afgørelse om modeller og administrative procedurer i forbindelse med interessekonflikter;</w:t>
      </w:r>
    </w:p>
    <w:p w14:paraId="28BAD1C3" w14:textId="77777777" w:rsidR="00525AD6" w:rsidRPr="00672F7F" w:rsidRDefault="00525AD6" w:rsidP="00525AD6">
      <w:pPr>
        <w:spacing w:after="240"/>
        <w:ind w:left="567" w:hanging="567"/>
        <w:rPr>
          <w:szCs w:val="24"/>
        </w:rPr>
      </w:pPr>
      <w:r w:rsidRPr="00672F7F">
        <w:t>25.</w:t>
      </w:r>
      <w:r w:rsidRPr="00672F7F">
        <w:tab/>
        <w:t>glæder sig over instituttets indsats med hensyn til interesseerklæringerne fra medlemmerne af dets bestyrelse, idet der udarbejdes tre forskellige erklæringer: den årlige interesseerklæring, interesseerklæringen om evalueringen af VIF'ernes forslag og interesseerklæringen om VIF'ernes forretningsplan; bemærker, at der i forbindelse med den årlige interesseerklæring blev konstateret interessekonflikter hos visse medlemmer af bestyrelsen, og at de derfor blev informeret herom, og der blev vedtaget afbødende foranstaltninger;</w:t>
      </w:r>
    </w:p>
    <w:p w14:paraId="220DFE68" w14:textId="77777777" w:rsidR="00525AD6" w:rsidRPr="00672F7F" w:rsidRDefault="00525AD6" w:rsidP="00525AD6">
      <w:pPr>
        <w:spacing w:after="240"/>
        <w:ind w:left="567" w:hanging="567"/>
        <w:rPr>
          <w:szCs w:val="24"/>
        </w:rPr>
      </w:pPr>
      <w:r w:rsidRPr="00672F7F">
        <w:t>26.</w:t>
      </w:r>
      <w:r w:rsidRPr="00672F7F">
        <w:tab/>
        <w:t xml:space="preserve">bemærker, at instituttet arbejder på at udarbejde en ny politik for vurdering af restriktioner efter fratrædelse og forbud for ledende medarbejdere mod at tiltræde visse stillinger efter deres embedsperiodes ophør; bemærker, at politikken vil præcisere, hvilke stillinger det er forbudt at tiltræde efter embedsperioden, samt kriterierne for, hvornår sådanne former for beskæftigelse forbydes i fremtiden, idet der vil gælde en frist på to år; glæder sig over, at instituttet også vil vedtage en korruptionspolitik eller </w:t>
      </w:r>
      <w:r w:rsidRPr="00672F7F">
        <w:noBreakHyphen/>
        <w:t>beslutning i begyndelsen af 2024, som vil danne grundlag for udviklingen af interne mekanismer til bekæmpelse af korruption, der skal gennemføres;</w:t>
      </w:r>
    </w:p>
    <w:p w14:paraId="0DE5AA16" w14:textId="77777777" w:rsidR="00525AD6" w:rsidRPr="00672F7F" w:rsidRDefault="00525AD6" w:rsidP="00525AD6">
      <w:pPr>
        <w:pStyle w:val="NormalHanging12a"/>
        <w:rPr>
          <w:b/>
          <w:i/>
        </w:rPr>
      </w:pPr>
      <w:r w:rsidRPr="00672F7F">
        <w:t>27.</w:t>
      </w:r>
      <w:r w:rsidRPr="00672F7F">
        <w:tab/>
        <w:t>noterer sig, at OLAF fremsatte to henstillinger efter to forskellige undersøgelser, hvoraf den ene henstilling blev gennemført i løbet af 2022, mens den anden er ved at blive gennemført i øjeblikket; anmoder instituttet om at aflægge rapport til dechargemyndigheden som en opfølgning på disse henstillinger;</w:t>
      </w:r>
    </w:p>
    <w:p w14:paraId="3EBABA5A" w14:textId="77777777" w:rsidR="00525AD6" w:rsidRPr="00672F7F" w:rsidRDefault="00525AD6" w:rsidP="00525AD6">
      <w:pPr>
        <w:pStyle w:val="NormalHanging12a"/>
      </w:pPr>
      <w:r w:rsidRPr="00672F7F">
        <w:t>28.</w:t>
      </w:r>
      <w:r w:rsidRPr="00672F7F">
        <w:tab/>
        <w:t>minder om, at det er vigtigt, at instituttet bliver mere synligt i medierne, på internettet og på de sociale medier for at gøre borgerne bekendt med dets arbejde;</w:t>
      </w:r>
    </w:p>
    <w:p w14:paraId="1C8BD68E" w14:textId="77777777" w:rsidR="00525AD6" w:rsidRPr="00672F7F" w:rsidRDefault="00525AD6" w:rsidP="00525AD6">
      <w:pPr>
        <w:spacing w:after="240"/>
        <w:ind w:left="567" w:hanging="567"/>
        <w:rPr>
          <w:b/>
          <w:i/>
          <w:szCs w:val="24"/>
        </w:rPr>
      </w:pPr>
      <w:r w:rsidRPr="00672F7F">
        <w:rPr>
          <w:b/>
          <w:i/>
        </w:rPr>
        <w:t>Udbud</w:t>
      </w:r>
    </w:p>
    <w:p w14:paraId="3BB2C07B" w14:textId="77777777" w:rsidR="00525AD6" w:rsidRPr="00672F7F" w:rsidRDefault="00525AD6" w:rsidP="00525AD6">
      <w:pPr>
        <w:spacing w:after="240"/>
        <w:ind w:left="567" w:hanging="567"/>
        <w:rPr>
          <w:szCs w:val="24"/>
        </w:rPr>
      </w:pPr>
      <w:r w:rsidRPr="00672F7F">
        <w:t>29.</w:t>
      </w:r>
      <w:r w:rsidRPr="00672F7F">
        <w:tab/>
        <w:t>bemærker, at instituttet i forbindelse med tre reviderede administrative betalinger, der beløb sig til 337 116 EUR, først godkendte budgetforpligtelserne, efter at de tilknyttede retlige forpligtelser var indgået; understreger, at dette ikke er et enkeltstående tilfælde, da Revisionsretten bemærkede et lignende forhold i sin beretning for 2021; minder om, at dette er i strid med artikel 73, stk. 2, i Kommissionens delegerede forordning (EU) 2019/715</w:t>
      </w:r>
      <w:r w:rsidRPr="00672F7F">
        <w:rPr>
          <w:rStyle w:val="FootnoteReference"/>
          <w:szCs w:val="24"/>
        </w:rPr>
        <w:footnoteReference w:id="12"/>
      </w:r>
      <w:r w:rsidRPr="00672F7F">
        <w:t xml:space="preserve"> (rammefinansforordningen); bemærker ud fra instituttets svar, at det vil træffe yderligere foranstaltninger for at sikre fuld overholdelse af den pågældende bestemmelse, dvs. særlige informationsmøder for personalet, ajourføring af de eksisterende procedurer og styrkelse af dertil relaterede interne kontroller; opfordrer indtrængende instituttet til at træffe øjeblikkelige foranstaltninger og gennemføre foranstaltninger til at sikre, at alle finansielle transaktioner er i overensstemmelse med rammefinansforordningen;</w:t>
      </w:r>
    </w:p>
    <w:p w14:paraId="538EFFAE" w14:textId="77777777" w:rsidR="00525AD6" w:rsidRPr="00672F7F" w:rsidRDefault="00525AD6" w:rsidP="00525AD6">
      <w:pPr>
        <w:spacing w:after="240"/>
        <w:ind w:left="567" w:hanging="567"/>
        <w:rPr>
          <w:b/>
          <w:i/>
          <w:szCs w:val="24"/>
        </w:rPr>
      </w:pPr>
      <w:r w:rsidRPr="00672F7F">
        <w:rPr>
          <w:b/>
          <w:i/>
        </w:rPr>
        <w:t>Intern kontrol</w:t>
      </w:r>
    </w:p>
    <w:p w14:paraId="2FF39D9D" w14:textId="77777777" w:rsidR="00525AD6" w:rsidRPr="00672F7F" w:rsidRDefault="00525AD6" w:rsidP="00525AD6">
      <w:pPr>
        <w:spacing w:after="240"/>
        <w:ind w:left="567" w:hanging="567"/>
        <w:rPr>
          <w:szCs w:val="24"/>
        </w:rPr>
      </w:pPr>
      <w:r w:rsidRPr="00672F7F">
        <w:t>30.</w:t>
      </w:r>
      <w:r w:rsidRPr="00672F7F">
        <w:tab/>
        <w:t>bemærker, at instituttet færdiggjorde den interne revisionsfunktions overgang til en VIF-overvågnings</w:t>
      </w:r>
      <w:r w:rsidRPr="00672F7F">
        <w:noBreakHyphen/>
        <w:t xml:space="preserve"> og </w:t>
      </w:r>
      <w:r w:rsidRPr="00672F7F">
        <w:noBreakHyphen/>
        <w:t>tilsynsfunktion, der blev vedtaget ved bestyrelsens afgørelse 12/2022 med virkning fra den 1. april 2022; anerkender, at den interne revisionsfunktion nu varetages af Kommissionens Interne Revisionstjeneste (IAS); bemærker endvidere, at den interne kontrolkoordinators rolle blev styrket med opgaver, der omfatter koordinering af interne kontrolaktiviteter og rapportering i instituttet, gennemførelse af revisionsanbefalinger, koordinering af revisioner, kontakt med eksterne revisionsorganer og bidrag til finansiel og operationel forvaltning på områder som udbud, kontraktgennemførelse, betalinger og rapportering;</w:t>
      </w:r>
    </w:p>
    <w:p w14:paraId="2FF25CFD" w14:textId="77777777" w:rsidR="00525AD6" w:rsidRPr="00672F7F" w:rsidRDefault="00525AD6" w:rsidP="00525AD6">
      <w:pPr>
        <w:spacing w:after="240"/>
        <w:ind w:left="567" w:hanging="567"/>
        <w:rPr>
          <w:szCs w:val="24"/>
        </w:rPr>
      </w:pPr>
      <w:r w:rsidRPr="00672F7F">
        <w:t>31.</w:t>
      </w:r>
      <w:r w:rsidRPr="00672F7F">
        <w:tab/>
        <w:t>bemærker, at IAS i 2022 indledte forberedelserne til instituttets strategiske interne revisionsplan for 2023-2025; bemærker endvidere, at IAS påbegyndte en revision, der blev afsluttet i 2023, af forvaltningen af eksperter i instituttet med henblik på at vurdere effektiviteten af det interne kontrolsystem for ekspertforvaltningsprocedurer, herunder udvælgelse, indgåelse af kontrakter og betalinger i instituttet;</w:t>
      </w:r>
    </w:p>
    <w:p w14:paraId="7FE61E4A" w14:textId="77777777" w:rsidR="00525AD6" w:rsidRPr="00672F7F" w:rsidRDefault="00525AD6" w:rsidP="00525AD6">
      <w:pPr>
        <w:spacing w:after="240"/>
        <w:ind w:left="567" w:hanging="567"/>
        <w:rPr>
          <w:szCs w:val="24"/>
        </w:rPr>
      </w:pPr>
      <w:r w:rsidRPr="00672F7F">
        <w:t>32.</w:t>
      </w:r>
      <w:r w:rsidRPr="00672F7F">
        <w:tab/>
        <w:t>påpeger, at en vigtig henstilling fremsat af IAS ved revisionen af personaleforvaltningen i 2021 med fokus på bedømmelse og omklassificering blev væsentligt forsinket med 15 måneder; bemærker, at de konstaterede risici omfattede potentielle forsinkelser og ineffektivitet i forbindelse med bedømmelse og omklassificering, muligheden for ukorrekt begrundede ledelsesbeslutninger, der kan føre til udfordringer inden for rammerne af klageprocedurer eller for Retten, utilfredshed blandt personalet og demotivation, bekymring over, at det fælles omklassificeringsudvalg ikke opfylder sin rolle, og det samlede tab af troværdighed i forbindelse med omklassificeringer og klagemekanismen, hvilket kan have en demotiverende indvirkning på personalet; opfordrer instituttet til at træffe proaktive foranstaltninger for at afhjælpe eventuelle forsinkelser og ineffektivitet i forbindelse med bedømmelser og omklassificeringer og til at aflægge rapport til dechargemyndigheden om de fremskridt, der gøres i denne henseende;</w:t>
      </w:r>
    </w:p>
    <w:p w14:paraId="3A24E88E" w14:textId="77777777" w:rsidR="00525AD6" w:rsidRPr="00672F7F" w:rsidRDefault="00525AD6" w:rsidP="00525AD6">
      <w:pPr>
        <w:spacing w:after="240"/>
        <w:ind w:left="567" w:hanging="567"/>
        <w:rPr>
          <w:szCs w:val="24"/>
        </w:rPr>
      </w:pPr>
      <w:r w:rsidRPr="00672F7F">
        <w:t>33.</w:t>
      </w:r>
      <w:r w:rsidRPr="00672F7F">
        <w:tab/>
        <w:t>bemærker, at instituttet har øget sine kontakter med OLAF, idet det har afholdt bilaterale møder og informationsmøder om bekæmpelse af svig; bemærker endvidere, at instituttet har indført en strategi for bekæmpelse af svig 2021-2023, der blev vedtaget i maj 2021;</w:t>
      </w:r>
    </w:p>
    <w:p w14:paraId="34FA6A2D" w14:textId="77777777" w:rsidR="00525AD6" w:rsidRPr="00672F7F" w:rsidRDefault="00525AD6" w:rsidP="00525AD6">
      <w:pPr>
        <w:spacing w:after="240"/>
        <w:ind w:left="567" w:hanging="567"/>
        <w:rPr>
          <w:szCs w:val="24"/>
        </w:rPr>
      </w:pPr>
      <w:r w:rsidRPr="00672F7F">
        <w:t>34.</w:t>
      </w:r>
      <w:r w:rsidRPr="00672F7F">
        <w:tab/>
        <w:t>bemærker, at instituttet gennemførte risikovurderingen og foretog en registrering i instituttets risikoregister 2022 efter at have identificeret følgende risici: manglende gennemførelse af elementer i det årlige arbejdsprogram på grund af utilstrækkelige menneskelige ressourcer, ukorrekt gennemførelse af VIF-aftaler, forsinkelser i instituttets udbudsprocedurer og i ibrugtagningen af Kommissionens IT-systemer mv.; opfordrer instituttet til at aflægge rapport til dechargemyndigheden om enhver udvikling i den forbindelse;</w:t>
      </w:r>
    </w:p>
    <w:p w14:paraId="05C80AFB" w14:textId="77777777" w:rsidR="00525AD6" w:rsidRPr="00672F7F" w:rsidRDefault="00525AD6" w:rsidP="00525AD6">
      <w:pPr>
        <w:spacing w:after="240"/>
        <w:ind w:left="567" w:hanging="567"/>
        <w:rPr>
          <w:szCs w:val="24"/>
        </w:rPr>
      </w:pPr>
      <w:r w:rsidRPr="00672F7F">
        <w:t>35.</w:t>
      </w:r>
      <w:r w:rsidRPr="00672F7F">
        <w:tab/>
        <w:t>noterer sig på baggrund af Revisionsrettens beretning, at instituttet i forbindelse med en ordre om softwarefornyelse ikke foretog en forudgående kontrol for at bekræfte, om kontrahenten havde opkrævet den korrekte pris og det korrekte gebyr som fastsat i den gældende rammekontrakt; bemærker, at dette er i strid med bestemmelserne i rammefinansforordningens artikel 30 om forudgående kontrol og skaber en risiko for, at instituttet udbetaler ukorrekte beløb for de modtagne tjenester; bemærker, at instituttet ifølge sit svar vil kræve en opdeling af beløbene fra kontrahenten, når det anmoder om et tilbud, som klart skal angive prisen og avancen, således at instituttet kan vurdere enhver prisrelateret risiko;</w:t>
      </w:r>
    </w:p>
    <w:p w14:paraId="6659EF5C" w14:textId="77777777" w:rsidR="00525AD6" w:rsidRPr="00672F7F" w:rsidRDefault="00525AD6" w:rsidP="00525AD6">
      <w:pPr>
        <w:autoSpaceDE w:val="0"/>
        <w:autoSpaceDN w:val="0"/>
        <w:adjustRightInd w:val="0"/>
        <w:spacing w:after="240"/>
        <w:ind w:left="567" w:hanging="567"/>
        <w:rPr>
          <w:b/>
          <w:i/>
          <w:szCs w:val="24"/>
        </w:rPr>
      </w:pPr>
      <w:r w:rsidRPr="00672F7F">
        <w:rPr>
          <w:b/>
          <w:i/>
        </w:rPr>
        <w:t>Øvrige bemærkninger</w:t>
      </w:r>
    </w:p>
    <w:p w14:paraId="234094C2" w14:textId="77777777" w:rsidR="00525AD6" w:rsidRPr="00672F7F" w:rsidRDefault="00525AD6" w:rsidP="00525AD6">
      <w:pPr>
        <w:spacing w:after="240"/>
        <w:ind w:left="567" w:hanging="567"/>
        <w:rPr>
          <w:szCs w:val="24"/>
        </w:rPr>
      </w:pPr>
      <w:r w:rsidRPr="00672F7F">
        <w:t>36.</w:t>
      </w:r>
      <w:r w:rsidRPr="00672F7F">
        <w:tab/>
        <w:t>bemærker, at instituttet i 2022 afholdt arrangementer for at øge sin synlighed på tværs af medlemsstaterne og Unionen såvel som åbent hus-arrangementer for at informere om de muligheder, som instituttet tilbyder potentielle ansøgere; bemærker endvidere, at instituttet også lancerede "Deep Tech Talent Initiative", som er en del af den nye europæiske innovationsdagsorden, og at det vil bidrage til at uddanne borgerne på teknologiområder i fremtiden;</w:t>
      </w:r>
    </w:p>
    <w:p w14:paraId="7F97A55F" w14:textId="77777777" w:rsidR="00525AD6" w:rsidRPr="00672F7F" w:rsidRDefault="00525AD6" w:rsidP="00525AD6">
      <w:pPr>
        <w:spacing w:after="240"/>
        <w:ind w:left="567" w:hanging="567"/>
        <w:rPr>
          <w:szCs w:val="24"/>
        </w:rPr>
      </w:pPr>
      <w:r w:rsidRPr="00672F7F">
        <w:t>37.</w:t>
      </w:r>
      <w:r w:rsidRPr="00672F7F">
        <w:tab/>
        <w:t>bemærker, at instituttet har arbejdet på at blive et klimaneutralt agentur og tager de nødvendige skridt i retning af miljøforvaltning; bemærker, at instituttet er Europas største innovationsøkosystem og et førende instrument under Horisont Europa til at tackle klimaændringer og dertil relaterede spørgsmål; glæder sig over instituttets indsats i 2022 for at nå sine miljømål: oprettelsen af bæredygtighedsudvalget, at blive medlem af EU-agenturernes netværks undernetværk for grøn omstilling og afholdelsen af EITree, et arrangement, hvor forskellige medarbejdere plantede træer i et byområde;</w:t>
      </w:r>
    </w:p>
    <w:p w14:paraId="77B037FA" w14:textId="77777777" w:rsidR="00525AD6" w:rsidRPr="00672F7F" w:rsidRDefault="00525AD6" w:rsidP="00525AD6">
      <w:pPr>
        <w:spacing w:after="240"/>
        <w:ind w:left="567" w:hanging="567"/>
        <w:rPr>
          <w:szCs w:val="24"/>
        </w:rPr>
      </w:pPr>
      <w:r w:rsidRPr="00672F7F">
        <w:t>38.</w:t>
      </w:r>
      <w:r w:rsidRPr="00672F7F">
        <w:tab/>
        <w:t>bemærker, at EMAS-certificeringen er på instituttets dagsorden på mellemlang eller lang sigt;</w:t>
      </w:r>
    </w:p>
    <w:p w14:paraId="3E60656F" w14:textId="77777777" w:rsidR="00525AD6" w:rsidRPr="00672F7F" w:rsidRDefault="00525AD6" w:rsidP="00525AD6">
      <w:pPr>
        <w:pStyle w:val="NormalCenter12a"/>
      </w:pPr>
      <w:r w:rsidRPr="00672F7F">
        <w:t>°</w:t>
      </w:r>
    </w:p>
    <w:p w14:paraId="132037A8" w14:textId="77777777" w:rsidR="00525AD6" w:rsidRPr="00672F7F" w:rsidRDefault="00525AD6" w:rsidP="00525AD6">
      <w:pPr>
        <w:pStyle w:val="NormalCenter12a"/>
      </w:pPr>
      <w:r w:rsidRPr="00672F7F">
        <w:t>°</w:t>
      </w:r>
      <w:r w:rsidRPr="00672F7F">
        <w:tab/>
        <w:t>°</w:t>
      </w:r>
    </w:p>
    <w:p w14:paraId="5603E3D3" w14:textId="124DEA18" w:rsidR="00525AD6" w:rsidRPr="00672F7F" w:rsidRDefault="00525AD6" w:rsidP="00525AD6">
      <w:pPr>
        <w:pStyle w:val="NormalHanging12a"/>
      </w:pPr>
      <w:r w:rsidRPr="00672F7F">
        <w:t>39.</w:t>
      </w:r>
      <w:r w:rsidRPr="00672F7F">
        <w:tab/>
        <w:t xml:space="preserve">henviser med hensyn til de øvrige bemærkninger, der ledsager dechargeafgørelsen, og som er af horisontal karakter, til sin beslutning af </w:t>
      </w:r>
      <w:r w:rsidR="001F446E" w:rsidRPr="00672F7F">
        <w:t>11. april</w:t>
      </w:r>
      <w:r w:rsidRPr="00672F7F">
        <w:t xml:space="preserve"> 2024</w:t>
      </w:r>
      <w:r w:rsidRPr="00672F7F">
        <w:rPr>
          <w:rStyle w:val="FootnoteReference"/>
        </w:rPr>
        <w:footnoteReference w:id="13"/>
      </w:r>
      <w:bookmarkStart w:id="14" w:name="_GoBack"/>
      <w:bookmarkEnd w:id="14"/>
      <w:r w:rsidRPr="00672F7F">
        <w:t xml:space="preserve"> om agenturernes resultater, økonomiske forvaltning og kontrol.</w:t>
      </w:r>
    </w:p>
    <w:p w14:paraId="6E47ED8A" w14:textId="77777777" w:rsidR="00525AD6" w:rsidRPr="00672F7F" w:rsidRDefault="00525AD6" w:rsidP="00525AD6"/>
    <w:sectPr w:rsidR="00525AD6" w:rsidRPr="00672F7F" w:rsidSect="0055736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7668F" w14:textId="77777777" w:rsidR="00D67272" w:rsidRPr="0055736F" w:rsidRDefault="00D67272">
      <w:r w:rsidRPr="0055736F">
        <w:separator/>
      </w:r>
    </w:p>
  </w:endnote>
  <w:endnote w:type="continuationSeparator" w:id="0">
    <w:p w14:paraId="544FBBEF" w14:textId="77777777" w:rsidR="00D67272" w:rsidRPr="0055736F" w:rsidRDefault="00D67272">
      <w:r w:rsidRPr="005573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F5276" w14:textId="77777777" w:rsidR="00525AD6" w:rsidRPr="0055736F" w:rsidRDefault="00525AD6" w:rsidP="00D17956">
    <w:pPr>
      <w:pStyle w:val="EPFooter"/>
    </w:pPr>
    <w:r w:rsidRPr="0055736F">
      <w:t>PE</w:t>
    </w:r>
    <w:r w:rsidRPr="0055736F">
      <w:rPr>
        <w:rStyle w:val="HideTWBExt"/>
      </w:rPr>
      <w:t>&lt;NoPE&gt;</w:t>
    </w:r>
    <w:r w:rsidRPr="0055736F">
      <w:t>753.522</w:t>
    </w:r>
    <w:r w:rsidRPr="0055736F">
      <w:rPr>
        <w:rStyle w:val="HideTWBExt"/>
      </w:rPr>
      <w:t>&lt;/NoPE&gt;&lt;Version&gt;</w:t>
    </w:r>
    <w:r w:rsidRPr="0055736F">
      <w:t>v03-00</w:t>
    </w:r>
    <w:r w:rsidRPr="0055736F">
      <w:rPr>
        <w:rStyle w:val="HideTWBExt"/>
      </w:rPr>
      <w:t>&lt;/Version&gt;</w:t>
    </w:r>
    <w:r w:rsidRPr="0055736F">
      <w:tab/>
    </w:r>
    <w:r w:rsidRPr="0055736F">
      <w:fldChar w:fldCharType="begin"/>
    </w:r>
    <w:r w:rsidRPr="0055736F">
      <w:instrText xml:space="preserve"> PAGE  \* MERGEFORMAT </w:instrText>
    </w:r>
    <w:r w:rsidRPr="0055736F">
      <w:fldChar w:fldCharType="separate"/>
    </w:r>
    <w:r w:rsidRPr="0055736F">
      <w:rPr>
        <w:noProof/>
      </w:rPr>
      <w:t>4</w:t>
    </w:r>
    <w:r w:rsidRPr="0055736F">
      <w:fldChar w:fldCharType="end"/>
    </w:r>
    <w:r w:rsidRPr="0055736F">
      <w:t>/</w:t>
    </w:r>
    <w:r w:rsidR="00116FBD">
      <w:fldChar w:fldCharType="begin"/>
    </w:r>
    <w:r w:rsidR="00116FBD">
      <w:instrText xml:space="preserve"> NUMPAGES  \* MERGEFORMAT </w:instrText>
    </w:r>
    <w:r w:rsidR="00116FBD">
      <w:fldChar w:fldCharType="separate"/>
    </w:r>
    <w:r w:rsidRPr="0055736F">
      <w:rPr>
        <w:noProof/>
      </w:rPr>
      <w:t>4</w:t>
    </w:r>
    <w:r w:rsidR="00116FBD">
      <w:rPr>
        <w:noProof/>
      </w:rPr>
      <w:fldChar w:fldCharType="end"/>
    </w:r>
    <w:r w:rsidRPr="0055736F">
      <w:tab/>
    </w:r>
    <w:r w:rsidRPr="0055736F">
      <w:rPr>
        <w:rStyle w:val="HideTWBExt"/>
      </w:rPr>
      <w:t>&lt;PathFdR&gt;</w:t>
    </w:r>
    <w:r w:rsidRPr="0055736F">
      <w:t>RR\1299238DA.docx</w:t>
    </w:r>
    <w:r w:rsidRPr="0055736F">
      <w:rPr>
        <w:rStyle w:val="HideTWBExt"/>
      </w:rPr>
      <w:t>&lt;/PathFdR&gt;</w:t>
    </w:r>
  </w:p>
  <w:p w14:paraId="5A3B618A" w14:textId="77777777" w:rsidR="00525AD6" w:rsidRPr="0055736F" w:rsidRDefault="00525AD6" w:rsidP="00D17956">
    <w:pPr>
      <w:pStyle w:val="EPFooter2"/>
    </w:pPr>
    <w:r w:rsidRPr="0055736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90458" w14:textId="77777777" w:rsidR="00525AD6" w:rsidRPr="0055736F" w:rsidRDefault="00525AD6" w:rsidP="00D17956">
    <w:pPr>
      <w:pStyle w:val="EPFooter"/>
    </w:pPr>
    <w:r w:rsidRPr="0055736F">
      <w:rPr>
        <w:rStyle w:val="HideTWBExt"/>
      </w:rPr>
      <w:t>&lt;PathFdR&gt;</w:t>
    </w:r>
    <w:r w:rsidRPr="0055736F">
      <w:t>RR\1299238DA.docx</w:t>
    </w:r>
    <w:r w:rsidRPr="0055736F">
      <w:rPr>
        <w:rStyle w:val="HideTWBExt"/>
      </w:rPr>
      <w:t>&lt;/PathFdR&gt;</w:t>
    </w:r>
    <w:r w:rsidRPr="0055736F">
      <w:tab/>
    </w:r>
    <w:r w:rsidRPr="0055736F">
      <w:tab/>
      <w:t>PE</w:t>
    </w:r>
    <w:r w:rsidRPr="0055736F">
      <w:rPr>
        <w:rStyle w:val="HideTWBExt"/>
      </w:rPr>
      <w:t>&lt;NoPE&gt;</w:t>
    </w:r>
    <w:r w:rsidRPr="0055736F">
      <w:t>753.522</w:t>
    </w:r>
    <w:r w:rsidRPr="0055736F">
      <w:rPr>
        <w:rStyle w:val="HideTWBExt"/>
      </w:rPr>
      <w:t>&lt;/NoPE&gt;&lt;Version&gt;</w:t>
    </w:r>
    <w:r w:rsidRPr="0055736F">
      <w:t>v03-00</w:t>
    </w:r>
    <w:r w:rsidRPr="0055736F">
      <w:rPr>
        <w:rStyle w:val="HideTWBExt"/>
      </w:rPr>
      <w:t>&lt;/Version&gt;</w:t>
    </w:r>
  </w:p>
  <w:p w14:paraId="26284949" w14:textId="77777777" w:rsidR="00525AD6" w:rsidRPr="0055736F" w:rsidRDefault="00525AD6" w:rsidP="00D17956">
    <w:pPr>
      <w:pStyle w:val="EPFooter2"/>
    </w:pPr>
    <w:r w:rsidRPr="0055736F">
      <w:t>DA</w:t>
    </w:r>
    <w:r w:rsidRPr="0055736F">
      <w:tab/>
    </w:r>
    <w:r w:rsidRPr="0055736F">
      <w:rPr>
        <w:b w:val="0"/>
        <w:i/>
        <w:color w:val="C0C0C0"/>
        <w:sz w:val="22"/>
      </w:rPr>
      <w:t>Forenet i mangfoldighed</w:t>
    </w:r>
    <w:r w:rsidRPr="0055736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6EBAD" w14:textId="77777777" w:rsidR="00064002" w:rsidRPr="0055736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6FDA8" w14:textId="77777777" w:rsidR="00064002" w:rsidRPr="0055736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031CF" w14:textId="77777777" w:rsidR="00064002" w:rsidRPr="005573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6AE30" w14:textId="77777777" w:rsidR="00D67272" w:rsidRPr="0055736F" w:rsidRDefault="00D67272">
      <w:r w:rsidRPr="0055736F">
        <w:separator/>
      </w:r>
    </w:p>
  </w:footnote>
  <w:footnote w:type="continuationSeparator" w:id="0">
    <w:p w14:paraId="33784A73" w14:textId="77777777" w:rsidR="00D67272" w:rsidRPr="0055736F" w:rsidRDefault="00D67272">
      <w:r w:rsidRPr="0055736F">
        <w:continuationSeparator/>
      </w:r>
    </w:p>
  </w:footnote>
  <w:footnote w:id="1">
    <w:p w14:paraId="589734C3" w14:textId="521A4C52" w:rsidR="00525AD6" w:rsidRPr="00672F7F" w:rsidRDefault="00525AD6" w:rsidP="0055736F">
      <w:pPr>
        <w:pStyle w:val="FootnoteText"/>
        <w:ind w:left="567" w:hanging="567"/>
        <w:rPr>
          <w:sz w:val="24"/>
        </w:rPr>
      </w:pPr>
      <w:r w:rsidRPr="0055736F">
        <w:rPr>
          <w:rStyle w:val="FootnoteReference"/>
          <w:sz w:val="24"/>
          <w:lang w:val="da-DK"/>
        </w:rPr>
        <w:footnoteRef/>
      </w:r>
      <w:r w:rsidR="0055736F" w:rsidRPr="00672F7F">
        <w:rPr>
          <w:sz w:val="24"/>
        </w:rPr>
        <w:t xml:space="preserve"> </w:t>
      </w:r>
      <w:r w:rsidR="0055736F" w:rsidRPr="00672F7F">
        <w:rPr>
          <w:sz w:val="24"/>
        </w:rPr>
        <w:tab/>
      </w:r>
      <w:r w:rsidRPr="00672F7F">
        <w:rPr>
          <w:sz w:val="24"/>
        </w:rPr>
        <w:t>EUT C, C/2023/594, 27.10</w:t>
      </w:r>
      <w:r w:rsidR="001F446E" w:rsidRPr="00672F7F">
        <w:rPr>
          <w:sz w:val="24"/>
        </w:rPr>
        <w:t>.</w:t>
      </w:r>
      <w:r w:rsidRPr="00672F7F">
        <w:rPr>
          <w:sz w:val="24"/>
        </w:rPr>
        <w:t>2023.</w:t>
      </w:r>
    </w:p>
  </w:footnote>
  <w:footnote w:id="2">
    <w:p w14:paraId="3BD01314" w14:textId="77777777" w:rsidR="00525AD6" w:rsidRPr="00672F7F" w:rsidRDefault="00525AD6" w:rsidP="0055736F">
      <w:pPr>
        <w:pStyle w:val="FootnoteText"/>
        <w:ind w:left="567" w:hanging="567"/>
        <w:rPr>
          <w:sz w:val="24"/>
        </w:rPr>
      </w:pPr>
      <w:r w:rsidRPr="0055736F">
        <w:rPr>
          <w:rStyle w:val="FootnoteReference"/>
          <w:sz w:val="24"/>
          <w:lang w:val="da-DK"/>
        </w:rPr>
        <w:footnoteRef/>
      </w:r>
      <w:r w:rsidR="0055736F" w:rsidRPr="00672F7F">
        <w:rPr>
          <w:sz w:val="24"/>
        </w:rPr>
        <w:t xml:space="preserve"> </w:t>
      </w:r>
      <w:r w:rsidR="0055736F" w:rsidRPr="00672F7F">
        <w:rPr>
          <w:sz w:val="24"/>
        </w:rPr>
        <w:tab/>
      </w:r>
      <w:r w:rsidRPr="00672F7F">
        <w:rPr>
          <w:sz w:val="24"/>
        </w:rPr>
        <w:t>EUT C, C/2023/112, 12.10.2023.</w:t>
      </w:r>
    </w:p>
  </w:footnote>
  <w:footnote w:id="3">
    <w:p w14:paraId="3878B1DE" w14:textId="77777777" w:rsidR="00525AD6" w:rsidRPr="0055736F" w:rsidRDefault="00525AD6" w:rsidP="0055736F">
      <w:pPr>
        <w:pStyle w:val="FootnoteText"/>
        <w:ind w:left="567" w:hanging="567"/>
        <w:rPr>
          <w:sz w:val="24"/>
          <w:lang w:val="da-DK"/>
        </w:rPr>
      </w:pPr>
      <w:r w:rsidRPr="0055736F">
        <w:rPr>
          <w:rStyle w:val="FootnoteReference"/>
          <w:sz w:val="24"/>
          <w:lang w:val="da-DK"/>
        </w:rPr>
        <w:footnoteRef/>
      </w:r>
      <w:r w:rsidR="0055736F" w:rsidRPr="0055736F">
        <w:rPr>
          <w:sz w:val="24"/>
          <w:lang w:val="da-DK"/>
        </w:rPr>
        <w:t xml:space="preserve"> </w:t>
      </w:r>
      <w:r w:rsidR="0055736F" w:rsidRPr="0055736F">
        <w:rPr>
          <w:sz w:val="24"/>
          <w:lang w:val="da-DK"/>
        </w:rPr>
        <w:tab/>
      </w:r>
      <w:r w:rsidRPr="0055736F">
        <w:rPr>
          <w:sz w:val="24"/>
          <w:lang w:val="da-DK"/>
        </w:rPr>
        <w:t>EUT L 193 af 30.7.2018, s. 1.</w:t>
      </w:r>
    </w:p>
  </w:footnote>
  <w:footnote w:id="4">
    <w:p w14:paraId="094C760E" w14:textId="77777777" w:rsidR="00525AD6" w:rsidRPr="0055736F" w:rsidRDefault="00525AD6" w:rsidP="0055736F">
      <w:pPr>
        <w:pStyle w:val="FootnoteText"/>
        <w:ind w:left="567" w:hanging="567"/>
        <w:rPr>
          <w:sz w:val="24"/>
          <w:lang w:val="da-DK"/>
        </w:rPr>
      </w:pPr>
      <w:r w:rsidRPr="0055736F">
        <w:rPr>
          <w:rStyle w:val="FootnoteReference"/>
          <w:sz w:val="24"/>
          <w:lang w:val="da-DK"/>
        </w:rPr>
        <w:footnoteRef/>
      </w:r>
      <w:r w:rsidR="0055736F" w:rsidRPr="0055736F">
        <w:rPr>
          <w:sz w:val="24"/>
          <w:lang w:val="da-DK"/>
        </w:rPr>
        <w:t xml:space="preserve"> </w:t>
      </w:r>
      <w:r w:rsidR="0055736F" w:rsidRPr="0055736F">
        <w:rPr>
          <w:sz w:val="24"/>
          <w:lang w:val="da-DK"/>
        </w:rPr>
        <w:tab/>
      </w:r>
      <w:r w:rsidRPr="0055736F">
        <w:rPr>
          <w:sz w:val="24"/>
          <w:lang w:val="da-DK"/>
        </w:rPr>
        <w:t>EUT L 189 af 28.5.2021, s. 61.</w:t>
      </w:r>
    </w:p>
  </w:footnote>
  <w:footnote w:id="5">
    <w:p w14:paraId="5559B9D9" w14:textId="77777777" w:rsidR="00525AD6" w:rsidRPr="00116FBD" w:rsidRDefault="00525AD6" w:rsidP="0055736F">
      <w:pPr>
        <w:pStyle w:val="FootnoteText"/>
        <w:ind w:left="567" w:hanging="567"/>
        <w:rPr>
          <w:sz w:val="24"/>
          <w:szCs w:val="24"/>
          <w:lang w:val="da-DK"/>
        </w:rPr>
      </w:pPr>
      <w:r w:rsidRPr="0055736F">
        <w:rPr>
          <w:rStyle w:val="FootnoteReference"/>
          <w:sz w:val="24"/>
          <w:lang w:val="da-DK"/>
        </w:rPr>
        <w:footnoteRef/>
      </w:r>
      <w:r w:rsidR="0055736F" w:rsidRPr="00116FBD">
        <w:rPr>
          <w:sz w:val="24"/>
          <w:lang w:val="da-DK"/>
        </w:rPr>
        <w:t xml:space="preserve"> </w:t>
      </w:r>
      <w:r w:rsidR="0055736F" w:rsidRPr="00116FBD">
        <w:rPr>
          <w:sz w:val="24"/>
          <w:lang w:val="da-DK"/>
        </w:rPr>
        <w:tab/>
      </w:r>
      <w:r w:rsidRPr="00116FBD">
        <w:rPr>
          <w:sz w:val="24"/>
          <w:lang w:val="da-DK"/>
        </w:rPr>
        <w:t>EUT L 122 af 10.5.2019, s. 1.</w:t>
      </w:r>
    </w:p>
  </w:footnote>
  <w:footnote w:id="6">
    <w:p w14:paraId="6E3B8D99" w14:textId="55EEC911" w:rsidR="00525AD6" w:rsidRPr="00116FBD" w:rsidRDefault="00525AD6" w:rsidP="0055736F">
      <w:pPr>
        <w:pStyle w:val="FootnoteText"/>
        <w:ind w:left="567" w:hanging="567"/>
        <w:rPr>
          <w:sz w:val="24"/>
          <w:lang w:val="da-DK"/>
        </w:rPr>
      </w:pPr>
      <w:r w:rsidRPr="0055736F">
        <w:rPr>
          <w:rStyle w:val="FootnoteReference"/>
          <w:sz w:val="24"/>
          <w:lang w:val="da-DK"/>
        </w:rPr>
        <w:footnoteRef/>
      </w:r>
      <w:r w:rsidR="0055736F" w:rsidRPr="00116FBD">
        <w:rPr>
          <w:sz w:val="24"/>
          <w:lang w:val="da-DK"/>
        </w:rPr>
        <w:t xml:space="preserve"> </w:t>
      </w:r>
      <w:r w:rsidR="0055736F" w:rsidRPr="00116FBD">
        <w:rPr>
          <w:sz w:val="24"/>
          <w:lang w:val="da-DK"/>
        </w:rPr>
        <w:tab/>
      </w:r>
      <w:r w:rsidRPr="00116FBD">
        <w:rPr>
          <w:sz w:val="24"/>
          <w:lang w:val="da-DK"/>
        </w:rPr>
        <w:t>EUT C, C/2023/594, 27.10</w:t>
      </w:r>
      <w:r w:rsidR="001F446E" w:rsidRPr="00116FBD">
        <w:rPr>
          <w:sz w:val="24"/>
          <w:lang w:val="da-DK"/>
        </w:rPr>
        <w:t>.</w:t>
      </w:r>
      <w:r w:rsidRPr="00116FBD">
        <w:rPr>
          <w:sz w:val="24"/>
          <w:lang w:val="da-DK"/>
        </w:rPr>
        <w:t>2023.</w:t>
      </w:r>
    </w:p>
  </w:footnote>
  <w:footnote w:id="7">
    <w:p w14:paraId="7DB429A1" w14:textId="77777777" w:rsidR="00525AD6" w:rsidRPr="00672F7F" w:rsidRDefault="00525AD6" w:rsidP="0055736F">
      <w:pPr>
        <w:pStyle w:val="FootnoteText"/>
        <w:ind w:left="567" w:hanging="567"/>
        <w:rPr>
          <w:sz w:val="24"/>
        </w:rPr>
      </w:pPr>
      <w:r w:rsidRPr="0055736F">
        <w:rPr>
          <w:rStyle w:val="FootnoteReference"/>
          <w:sz w:val="24"/>
          <w:lang w:val="da-DK"/>
        </w:rPr>
        <w:footnoteRef/>
      </w:r>
      <w:r w:rsidR="0055736F" w:rsidRPr="00672F7F">
        <w:rPr>
          <w:sz w:val="24"/>
        </w:rPr>
        <w:t xml:space="preserve"> </w:t>
      </w:r>
      <w:r w:rsidR="0055736F" w:rsidRPr="00672F7F">
        <w:rPr>
          <w:sz w:val="24"/>
        </w:rPr>
        <w:tab/>
      </w:r>
      <w:r w:rsidRPr="00672F7F">
        <w:rPr>
          <w:sz w:val="24"/>
        </w:rPr>
        <w:t>EUT C, C/2023/112, 12.10.2023.</w:t>
      </w:r>
    </w:p>
  </w:footnote>
  <w:footnote w:id="8">
    <w:p w14:paraId="03ADF9DB" w14:textId="77777777" w:rsidR="00525AD6" w:rsidRPr="00116FBD" w:rsidRDefault="00525AD6" w:rsidP="0055736F">
      <w:pPr>
        <w:pStyle w:val="FootnoteText"/>
        <w:ind w:left="567" w:hanging="567"/>
        <w:rPr>
          <w:sz w:val="24"/>
        </w:rPr>
      </w:pPr>
      <w:r w:rsidRPr="0055736F">
        <w:rPr>
          <w:rStyle w:val="FootnoteReference"/>
          <w:sz w:val="24"/>
          <w:lang w:val="da-DK"/>
        </w:rPr>
        <w:footnoteRef/>
      </w:r>
      <w:r w:rsidR="0055736F" w:rsidRPr="00116FBD">
        <w:rPr>
          <w:sz w:val="24"/>
        </w:rPr>
        <w:t xml:space="preserve"> </w:t>
      </w:r>
      <w:r w:rsidR="0055736F" w:rsidRPr="00116FBD">
        <w:rPr>
          <w:sz w:val="24"/>
        </w:rPr>
        <w:tab/>
      </w:r>
      <w:r w:rsidRPr="00116FBD">
        <w:rPr>
          <w:sz w:val="24"/>
        </w:rPr>
        <w:t>EUT L 193 af 30.7.2018, s. 1.</w:t>
      </w:r>
    </w:p>
  </w:footnote>
  <w:footnote w:id="9">
    <w:p w14:paraId="4456FD7B" w14:textId="77777777" w:rsidR="00525AD6" w:rsidRPr="0055736F" w:rsidRDefault="00525AD6" w:rsidP="0055736F">
      <w:pPr>
        <w:pStyle w:val="FootnoteText"/>
        <w:ind w:left="567" w:hanging="567"/>
        <w:rPr>
          <w:sz w:val="24"/>
          <w:lang w:val="da-DK"/>
        </w:rPr>
      </w:pPr>
      <w:r w:rsidRPr="0055736F">
        <w:rPr>
          <w:rStyle w:val="FootnoteReference"/>
          <w:sz w:val="24"/>
          <w:lang w:val="da-DK"/>
        </w:rPr>
        <w:footnoteRef/>
      </w:r>
      <w:r w:rsidR="0055736F" w:rsidRPr="0055736F">
        <w:rPr>
          <w:sz w:val="24"/>
          <w:lang w:val="da-DK"/>
        </w:rPr>
        <w:t xml:space="preserve"> </w:t>
      </w:r>
      <w:r w:rsidR="0055736F" w:rsidRPr="0055736F">
        <w:rPr>
          <w:sz w:val="24"/>
          <w:lang w:val="da-DK"/>
        </w:rPr>
        <w:tab/>
      </w:r>
      <w:r w:rsidRPr="0055736F">
        <w:rPr>
          <w:sz w:val="24"/>
          <w:lang w:val="da-DK"/>
        </w:rPr>
        <w:t>EUT L 189 af 28.5.2021, s. 61.</w:t>
      </w:r>
    </w:p>
  </w:footnote>
  <w:footnote w:id="10">
    <w:p w14:paraId="584736FE" w14:textId="77777777" w:rsidR="00525AD6" w:rsidRPr="0055736F" w:rsidRDefault="00525AD6" w:rsidP="0055736F">
      <w:pPr>
        <w:pStyle w:val="FootnoteText"/>
        <w:ind w:left="567" w:hanging="567"/>
        <w:rPr>
          <w:sz w:val="24"/>
          <w:szCs w:val="24"/>
          <w:lang w:val="da-DK"/>
        </w:rPr>
      </w:pPr>
      <w:r w:rsidRPr="0055736F">
        <w:rPr>
          <w:rStyle w:val="FootnoteReference"/>
          <w:sz w:val="24"/>
          <w:lang w:val="da-DK"/>
        </w:rPr>
        <w:footnoteRef/>
      </w:r>
      <w:r w:rsidR="0055736F" w:rsidRPr="0055736F">
        <w:rPr>
          <w:sz w:val="24"/>
          <w:lang w:val="da-DK"/>
        </w:rPr>
        <w:t xml:space="preserve"> </w:t>
      </w:r>
      <w:r w:rsidR="0055736F" w:rsidRPr="0055736F">
        <w:rPr>
          <w:sz w:val="24"/>
          <w:lang w:val="da-DK"/>
        </w:rPr>
        <w:tab/>
      </w:r>
      <w:r w:rsidRPr="0055736F">
        <w:rPr>
          <w:sz w:val="24"/>
          <w:lang w:val="da-DK"/>
        </w:rPr>
        <w:t>EUT L 122 af 10.5.2019, s. 1.</w:t>
      </w:r>
    </w:p>
  </w:footnote>
  <w:footnote w:id="11">
    <w:p w14:paraId="3F1589E9" w14:textId="77777777" w:rsidR="00525AD6" w:rsidRPr="0055736F" w:rsidRDefault="00525AD6" w:rsidP="0055736F">
      <w:pPr>
        <w:pStyle w:val="FootnoteText"/>
        <w:ind w:left="567" w:hanging="567"/>
        <w:rPr>
          <w:sz w:val="24"/>
          <w:lang w:val="da-DK"/>
        </w:rPr>
      </w:pPr>
      <w:r w:rsidRPr="0055736F">
        <w:rPr>
          <w:rStyle w:val="FootnoteReference"/>
          <w:sz w:val="24"/>
          <w:lang w:val="da-DK"/>
        </w:rPr>
        <w:footnoteRef/>
      </w:r>
      <w:r w:rsidR="0055736F" w:rsidRPr="0055736F">
        <w:rPr>
          <w:sz w:val="24"/>
          <w:lang w:val="da-DK"/>
        </w:rPr>
        <w:t xml:space="preserve"> </w:t>
      </w:r>
      <w:r w:rsidR="0055736F" w:rsidRPr="0055736F">
        <w:rPr>
          <w:sz w:val="24"/>
          <w:lang w:val="da-DK"/>
        </w:rPr>
        <w:tab/>
      </w:r>
      <w:r w:rsidRPr="0055736F">
        <w:rPr>
          <w:sz w:val="24"/>
          <w:lang w:val="da-DK"/>
        </w:rPr>
        <w:t>EUT C 489 af 22.12.2022, s. 56.</w:t>
      </w:r>
    </w:p>
  </w:footnote>
  <w:footnote w:id="12">
    <w:p w14:paraId="38588F1B" w14:textId="77777777" w:rsidR="00525AD6" w:rsidRPr="0055736F" w:rsidRDefault="00525AD6" w:rsidP="0055736F">
      <w:pPr>
        <w:pStyle w:val="FootnoteText"/>
        <w:ind w:left="567" w:hanging="567"/>
        <w:rPr>
          <w:sz w:val="24"/>
          <w:lang w:val="da-DK"/>
        </w:rPr>
      </w:pPr>
      <w:r w:rsidRPr="0055736F">
        <w:rPr>
          <w:rStyle w:val="FootnoteReference"/>
          <w:sz w:val="24"/>
          <w:lang w:val="da-DK"/>
        </w:rPr>
        <w:footnoteRef/>
      </w:r>
      <w:r w:rsidR="0055736F" w:rsidRPr="0055736F">
        <w:rPr>
          <w:sz w:val="24"/>
          <w:lang w:val="da-DK"/>
        </w:rPr>
        <w:t xml:space="preserve"> </w:t>
      </w:r>
      <w:r w:rsidR="0055736F" w:rsidRPr="0055736F">
        <w:rPr>
          <w:sz w:val="24"/>
          <w:lang w:val="da-DK"/>
        </w:rPr>
        <w:tab/>
      </w:r>
      <w:r w:rsidRPr="0055736F">
        <w:rPr>
          <w:sz w:val="24"/>
          <w:lang w:val="da-DK"/>
        </w:rPr>
        <w:t>Kommissionens delegerede forordning (EU) 2019/715 af 18. december 2018 om rammefinansforordningen for de organer, der er nedsat i henhold til TEUF og Euratomtraktaten og omhandlet i artikel 70 i Europa-Parlamentets og Rådets forordning (EU, Euratom) 2018/1046 (EUT L 122 af 10.5.2019, s. 1).</w:t>
      </w:r>
    </w:p>
  </w:footnote>
  <w:footnote w:id="13">
    <w:p w14:paraId="3876C205" w14:textId="4F4669D6" w:rsidR="00525AD6" w:rsidRPr="0055736F" w:rsidRDefault="00525AD6" w:rsidP="0055736F">
      <w:pPr>
        <w:pStyle w:val="FootnoteText"/>
        <w:ind w:left="567" w:hanging="567"/>
        <w:rPr>
          <w:sz w:val="24"/>
          <w:lang w:val="da-DK"/>
        </w:rPr>
      </w:pPr>
      <w:r w:rsidRPr="0055736F">
        <w:rPr>
          <w:rStyle w:val="FootnoteReference"/>
          <w:sz w:val="24"/>
          <w:lang w:val="da-DK"/>
        </w:rPr>
        <w:footnoteRef/>
      </w:r>
      <w:r w:rsidR="0055736F" w:rsidRPr="0055736F">
        <w:rPr>
          <w:sz w:val="24"/>
          <w:lang w:val="da-DK"/>
        </w:rPr>
        <w:t xml:space="preserve"> </w:t>
      </w:r>
      <w:r w:rsidR="0055736F" w:rsidRPr="0055736F">
        <w:rPr>
          <w:sz w:val="24"/>
          <w:lang w:val="da-DK"/>
        </w:rPr>
        <w:tab/>
      </w:r>
      <w:r w:rsidRPr="0055736F">
        <w:rPr>
          <w:sz w:val="24"/>
          <w:lang w:val="da-DK"/>
        </w:rPr>
        <w:t>Vedtagne tekster, P9_TA(2024)</w:t>
      </w:r>
      <w:r w:rsidR="00116FBD">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2490D" w14:textId="77777777" w:rsidR="00064002" w:rsidRPr="005573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76C55" w14:textId="77777777" w:rsidR="00064002" w:rsidRPr="005573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E94A" w14:textId="77777777" w:rsidR="00064002" w:rsidRPr="005573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2/2024"/>
    <w:docVar w:name="dvlangue" w:val="DA"/>
    <w:docVar w:name="dvnumam" w:val="0"/>
    <w:docVar w:name="dvpe" w:val="753.522"/>
    <w:docVar w:name="dvrapporteur" w:val="Ordfører: "/>
    <w:docVar w:name="dvtitre" w:val="1. Europa-Parlamentets afgørelse af 11. april 2024 om decharge for gennemførelsen af budgettet for Det Europæiske Institut for Innovation og Teknologi (EIT) for regnskabsåret 2022(2023/2154(DEC))"/>
  </w:docVars>
  <w:rsids>
    <w:rsidRoot w:val="00D67272"/>
    <w:rsid w:val="00002272"/>
    <w:rsid w:val="00064002"/>
    <w:rsid w:val="000677B9"/>
    <w:rsid w:val="000831BA"/>
    <w:rsid w:val="000A42CC"/>
    <w:rsid w:val="000E7DD9"/>
    <w:rsid w:val="0010095E"/>
    <w:rsid w:val="00116FBD"/>
    <w:rsid w:val="00125B37"/>
    <w:rsid w:val="00187494"/>
    <w:rsid w:val="001F32AE"/>
    <w:rsid w:val="001F446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5AD6"/>
    <w:rsid w:val="00545827"/>
    <w:rsid w:val="0055736F"/>
    <w:rsid w:val="00560270"/>
    <w:rsid w:val="005C2568"/>
    <w:rsid w:val="006037C0"/>
    <w:rsid w:val="006631B6"/>
    <w:rsid w:val="00672F7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27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D4BDD"/>
  <w15:chartTrackingRefBased/>
  <w15:docId w15:val="{94181AF5-6F80-4D37-91CF-2BABD9206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25AD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25AD6"/>
    <w:pPr>
      <w:spacing w:before="480" w:after="240"/>
    </w:pPr>
  </w:style>
  <w:style w:type="paragraph" w:customStyle="1" w:styleId="PageHeading">
    <w:name w:val="PageHeading"/>
    <w:basedOn w:val="Normal"/>
    <w:rsid w:val="00525AD6"/>
    <w:pPr>
      <w:keepNext/>
      <w:spacing w:after="480"/>
      <w:jc w:val="center"/>
    </w:pPr>
    <w:rPr>
      <w:rFonts w:ascii="Arial" w:hAnsi="Arial" w:cs="Arial"/>
      <w:b/>
    </w:rPr>
  </w:style>
  <w:style w:type="paragraph" w:customStyle="1" w:styleId="NormalBold">
    <w:name w:val="NormalBold"/>
    <w:basedOn w:val="Normal"/>
    <w:rsid w:val="00525AD6"/>
    <w:rPr>
      <w:b/>
    </w:rPr>
  </w:style>
  <w:style w:type="paragraph" w:customStyle="1" w:styleId="NormalHanging12a">
    <w:name w:val="NormalHanging12a"/>
    <w:basedOn w:val="Normal"/>
    <w:link w:val="NormalHanging12aChar"/>
    <w:rsid w:val="00525AD6"/>
    <w:pPr>
      <w:spacing w:after="240"/>
      <w:ind w:left="567" w:hanging="567"/>
    </w:pPr>
  </w:style>
  <w:style w:type="paragraph" w:customStyle="1" w:styleId="NormalCenter12a">
    <w:name w:val="NormalCenter12a"/>
    <w:basedOn w:val="Normal"/>
    <w:rsid w:val="00525AD6"/>
    <w:pPr>
      <w:spacing w:after="240"/>
      <w:jc w:val="center"/>
    </w:pPr>
  </w:style>
  <w:style w:type="paragraph" w:styleId="Header">
    <w:name w:val="header"/>
    <w:basedOn w:val="Normal"/>
    <w:link w:val="HeaderChar"/>
    <w:rsid w:val="00525AD6"/>
    <w:pPr>
      <w:tabs>
        <w:tab w:val="center" w:pos="4513"/>
        <w:tab w:val="right" w:pos="9026"/>
      </w:tabs>
    </w:pPr>
  </w:style>
  <w:style w:type="character" w:customStyle="1" w:styleId="HeaderChar">
    <w:name w:val="Header Char"/>
    <w:basedOn w:val="DefaultParagraphFont"/>
    <w:link w:val="Header"/>
    <w:rsid w:val="00525AD6"/>
    <w:rPr>
      <w:sz w:val="24"/>
      <w:lang w:val="da-DK"/>
    </w:rPr>
  </w:style>
  <w:style w:type="paragraph" w:customStyle="1" w:styleId="EPFooter">
    <w:name w:val="EPFooter"/>
    <w:basedOn w:val="Normal"/>
    <w:rsid w:val="00525AD6"/>
    <w:pPr>
      <w:tabs>
        <w:tab w:val="center" w:pos="4535"/>
        <w:tab w:val="right" w:pos="9071"/>
      </w:tabs>
      <w:spacing w:before="240" w:after="240"/>
    </w:pPr>
    <w:rPr>
      <w:color w:val="010000"/>
      <w:sz w:val="22"/>
    </w:rPr>
  </w:style>
  <w:style w:type="paragraph" w:customStyle="1" w:styleId="Default">
    <w:name w:val="Default"/>
    <w:rsid w:val="00525AD6"/>
    <w:pPr>
      <w:autoSpaceDE w:val="0"/>
      <w:autoSpaceDN w:val="0"/>
      <w:adjustRightInd w:val="0"/>
    </w:pPr>
    <w:rPr>
      <w:rFonts w:eastAsia="Calibri"/>
      <w:color w:val="000000"/>
      <w:sz w:val="24"/>
      <w:szCs w:val="24"/>
      <w:lang w:val="da-DK" w:eastAsia="en-US"/>
    </w:rPr>
  </w:style>
  <w:style w:type="character" w:customStyle="1" w:styleId="NormalHanging12aChar">
    <w:name w:val="NormalHanging12a Char"/>
    <w:basedOn w:val="DefaultParagraphFont"/>
    <w:link w:val="NormalHanging12a"/>
    <w:locked/>
    <w:rsid w:val="00525AD6"/>
    <w:rPr>
      <w:sz w:val="24"/>
      <w:lang w:val="da-DK"/>
    </w:rPr>
  </w:style>
  <w:style w:type="paragraph" w:styleId="Footer">
    <w:name w:val="footer"/>
    <w:basedOn w:val="Normal"/>
    <w:link w:val="FooterChar"/>
    <w:rsid w:val="001F446E"/>
    <w:pPr>
      <w:tabs>
        <w:tab w:val="center" w:pos="4513"/>
        <w:tab w:val="right" w:pos="9026"/>
      </w:tabs>
    </w:pPr>
  </w:style>
  <w:style w:type="character" w:customStyle="1" w:styleId="FooterChar">
    <w:name w:val="Footer Char"/>
    <w:basedOn w:val="DefaultParagraphFont"/>
    <w:link w:val="Footer"/>
    <w:rsid w:val="001F446E"/>
    <w:rPr>
      <w:sz w:val="24"/>
      <w:lang w:val="da-DK"/>
    </w:rPr>
  </w:style>
  <w:style w:type="character" w:styleId="CommentReference">
    <w:name w:val="annotation reference"/>
    <w:basedOn w:val="DefaultParagraphFont"/>
    <w:rsid w:val="001F446E"/>
    <w:rPr>
      <w:sz w:val="16"/>
      <w:szCs w:val="16"/>
    </w:rPr>
  </w:style>
  <w:style w:type="paragraph" w:styleId="CommentText">
    <w:name w:val="annotation text"/>
    <w:basedOn w:val="Normal"/>
    <w:link w:val="CommentTextChar"/>
    <w:rsid w:val="001F446E"/>
    <w:rPr>
      <w:sz w:val="20"/>
    </w:rPr>
  </w:style>
  <w:style w:type="character" w:customStyle="1" w:styleId="CommentTextChar">
    <w:name w:val="Comment Text Char"/>
    <w:basedOn w:val="DefaultParagraphFont"/>
    <w:link w:val="CommentText"/>
    <w:rsid w:val="001F446E"/>
    <w:rPr>
      <w:lang w:val="da-DK"/>
    </w:rPr>
  </w:style>
  <w:style w:type="paragraph" w:styleId="CommentSubject">
    <w:name w:val="annotation subject"/>
    <w:basedOn w:val="CommentText"/>
    <w:next w:val="CommentText"/>
    <w:link w:val="CommentSubjectChar"/>
    <w:rsid w:val="001F446E"/>
    <w:rPr>
      <w:b/>
      <w:bCs/>
    </w:rPr>
  </w:style>
  <w:style w:type="character" w:customStyle="1" w:styleId="CommentSubjectChar">
    <w:name w:val="Comment Subject Char"/>
    <w:basedOn w:val="CommentTextChar"/>
    <w:link w:val="CommentSubject"/>
    <w:rsid w:val="001F446E"/>
    <w:rPr>
      <w:b/>
      <w:bCs/>
      <w:lang w:val="da-DK"/>
    </w:rPr>
  </w:style>
  <w:style w:type="paragraph" w:styleId="BalloonText">
    <w:name w:val="Balloon Text"/>
    <w:basedOn w:val="Normal"/>
    <w:link w:val="BalloonTextChar"/>
    <w:rsid w:val="001F446E"/>
    <w:rPr>
      <w:rFonts w:ascii="Segoe UI" w:hAnsi="Segoe UI" w:cs="Segoe UI"/>
      <w:sz w:val="18"/>
      <w:szCs w:val="18"/>
    </w:rPr>
  </w:style>
  <w:style w:type="character" w:customStyle="1" w:styleId="BalloonTextChar">
    <w:name w:val="Balloon Text Char"/>
    <w:basedOn w:val="DefaultParagraphFont"/>
    <w:link w:val="BalloonText"/>
    <w:rsid w:val="001F446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0E4F34-7522-4217-9405-A866A71CE4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3565</Words>
  <Characters>22564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2024-04-11T12:14:00Z</dcterms:created>
  <dcterms:modified xsi:type="dcterms:W3CDTF">2024-04-11T12:14:00Z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A9-0132/2024</vt:lpwstr>
  </property>
  <property fmtid="{D5CDD505-2E9C-101B-9397-08002B2CF9AE}" pid="4" name="&lt;Type&gt;">
    <vt:lpwstr>RR</vt:lpwstr>
  </property>
</Properties>
</file>