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27EE" w:rsidTr="0010095E">
        <w:trPr>
          <w:trHeight w:hRule="exact" w:val="1418"/>
        </w:trPr>
        <w:tc>
          <w:tcPr>
            <w:tcW w:w="6804" w:type="dxa"/>
            <w:shd w:val="clear" w:color="auto" w:fill="auto"/>
            <w:vAlign w:val="center"/>
          </w:tcPr>
          <w:p w:rsidR="00751A4A" w:rsidRPr="00F227EE" w:rsidRDefault="00CB603B" w:rsidP="0010095E">
            <w:pPr>
              <w:pStyle w:val="EPName"/>
            </w:pPr>
            <w:r w:rsidRPr="00F227EE">
              <w:t>Ευρωπαϊκό Κοινοβούλιο</w:t>
            </w:r>
          </w:p>
          <w:p w:rsidR="00751A4A" w:rsidRPr="00F227EE" w:rsidRDefault="00817416" w:rsidP="00756632">
            <w:pPr>
              <w:pStyle w:val="EPTerm"/>
              <w:rPr>
                <w:rStyle w:val="HideTWBExt"/>
                <w:noProof w:val="0"/>
                <w:vanish w:val="0"/>
                <w:color w:val="auto"/>
              </w:rPr>
            </w:pPr>
            <w:r w:rsidRPr="00F227EE">
              <w:t>2019-2024</w:t>
            </w:r>
          </w:p>
        </w:tc>
        <w:tc>
          <w:tcPr>
            <w:tcW w:w="2268" w:type="dxa"/>
            <w:shd w:val="clear" w:color="auto" w:fill="auto"/>
          </w:tcPr>
          <w:p w:rsidR="00751A4A" w:rsidRPr="00F227EE" w:rsidRDefault="00187494" w:rsidP="0010095E">
            <w:pPr>
              <w:pStyle w:val="EPLogo"/>
            </w:pPr>
            <w:r w:rsidRPr="00F227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27EE" w:rsidRDefault="00D058B8" w:rsidP="004C5D52">
      <w:pPr>
        <w:pStyle w:val="LineTop"/>
      </w:pPr>
    </w:p>
    <w:p w:rsidR="00680577" w:rsidRPr="00F227EE" w:rsidRDefault="00CB603B" w:rsidP="00680577">
      <w:pPr>
        <w:pStyle w:val="EPBodyTA1"/>
      </w:pPr>
      <w:r w:rsidRPr="00F227EE">
        <w:t>ΚΕΙΜΕΝΑ ΠΟΥ ΕΓΚΡΙΘΗΚΑΝ</w:t>
      </w:r>
    </w:p>
    <w:p w:rsidR="00D058B8" w:rsidRPr="00F227EE" w:rsidRDefault="00D058B8" w:rsidP="00D058B8">
      <w:pPr>
        <w:pStyle w:val="LineBottom"/>
      </w:pPr>
    </w:p>
    <w:p w:rsidR="00CB603B" w:rsidRPr="00F227EE" w:rsidRDefault="00CB603B" w:rsidP="00CB603B">
      <w:pPr>
        <w:pStyle w:val="ATHeading1"/>
      </w:pPr>
      <w:bookmarkStart w:id="0" w:name="TANumber"/>
      <w:r w:rsidRPr="00F227EE">
        <w:t>P9_TA(2024)</w:t>
      </w:r>
      <w:bookmarkEnd w:id="0"/>
      <w:r w:rsidR="00B81B17" w:rsidRPr="00F227EE">
        <w:t>0</w:t>
      </w:r>
      <w:r w:rsidR="00B81B17">
        <w:t>267</w:t>
      </w:r>
    </w:p>
    <w:p w:rsidR="00CB603B" w:rsidRPr="00F227EE" w:rsidRDefault="00CB603B" w:rsidP="00CB603B">
      <w:pPr>
        <w:pStyle w:val="ATHeading2"/>
      </w:pPr>
      <w:bookmarkStart w:id="1" w:name="title"/>
      <w:r w:rsidRPr="00F227EE">
        <w:t>Απαλλαγή 2022: Ευρωπαϊκό Ινστιτούτο Καινοτομίας και Τεχνολογίας (EIT)</w:t>
      </w:r>
      <w:bookmarkEnd w:id="1"/>
    </w:p>
    <w:p w:rsidR="00CB603B" w:rsidRPr="00F227EE" w:rsidRDefault="00CB603B" w:rsidP="00CB603B">
      <w:pPr>
        <w:rPr>
          <w:i/>
          <w:vanish/>
        </w:rPr>
      </w:pPr>
      <w:r w:rsidRPr="00F227EE">
        <w:rPr>
          <w:i/>
        </w:rPr>
        <w:fldChar w:fldCharType="begin"/>
      </w:r>
      <w:r w:rsidRPr="00F227EE">
        <w:rPr>
          <w:i/>
        </w:rPr>
        <w:instrText xml:space="preserve"> TC"(</w:instrText>
      </w:r>
      <w:bookmarkStart w:id="2" w:name="DocNumber"/>
      <w:r w:rsidRPr="00F227EE">
        <w:rPr>
          <w:i/>
        </w:rPr>
        <w:instrText>A9-0132/2024</w:instrText>
      </w:r>
      <w:bookmarkEnd w:id="2"/>
      <w:r w:rsidRPr="00F227EE">
        <w:rPr>
          <w:i/>
        </w:rPr>
        <w:instrText xml:space="preserve"> - Εισηγητής: </w:instrText>
      </w:r>
      <w:proofErr w:type="spellStart"/>
      <w:r w:rsidRPr="00F227EE">
        <w:rPr>
          <w:i/>
        </w:rPr>
        <w:instrText>Petri</w:instrText>
      </w:r>
      <w:proofErr w:type="spellEnd"/>
      <w:r w:rsidRPr="00F227EE">
        <w:rPr>
          <w:i/>
        </w:rPr>
        <w:instrText xml:space="preserve"> </w:instrText>
      </w:r>
      <w:proofErr w:type="spellStart"/>
      <w:r w:rsidRPr="00F227EE">
        <w:rPr>
          <w:i/>
        </w:rPr>
        <w:instrText>Sarvamaa</w:instrText>
      </w:r>
      <w:proofErr w:type="spellEnd"/>
      <w:r w:rsidRPr="00F227EE">
        <w:rPr>
          <w:i/>
        </w:rPr>
        <w:instrText xml:space="preserve">)"\l3 \n&gt; \* MERGEFORMAT </w:instrText>
      </w:r>
      <w:r w:rsidRPr="00F227EE">
        <w:rPr>
          <w:i/>
        </w:rPr>
        <w:fldChar w:fldCharType="end"/>
      </w:r>
    </w:p>
    <w:p w:rsidR="00CB603B" w:rsidRPr="00F227EE" w:rsidRDefault="00CB603B" w:rsidP="00CB603B">
      <w:pPr>
        <w:rPr>
          <w:vanish/>
        </w:rPr>
      </w:pPr>
      <w:bookmarkStart w:id="3" w:name="Commission"/>
      <w:r w:rsidRPr="00F227EE">
        <w:rPr>
          <w:vanish/>
        </w:rPr>
        <w:t>Επιτροπή Ελέγχου του Προϋπολογισμού</w:t>
      </w:r>
      <w:bookmarkEnd w:id="3"/>
    </w:p>
    <w:p w:rsidR="00CB603B" w:rsidRPr="00F227EE" w:rsidRDefault="00CB603B" w:rsidP="00CB603B">
      <w:pPr>
        <w:rPr>
          <w:vanish/>
        </w:rPr>
      </w:pPr>
      <w:bookmarkStart w:id="4" w:name="PE"/>
      <w:r w:rsidRPr="00F227EE">
        <w:rPr>
          <w:vanish/>
        </w:rPr>
        <w:t>PE753.522</w:t>
      </w:r>
      <w:bookmarkEnd w:id="4"/>
    </w:p>
    <w:p w:rsidR="00CB603B" w:rsidRPr="00F227EE" w:rsidRDefault="001059AB" w:rsidP="00CB603B">
      <w:pPr>
        <w:pStyle w:val="ATHeading3"/>
      </w:pPr>
      <w:bookmarkStart w:id="5" w:name="Sujet"/>
      <w:r>
        <w:t xml:space="preserve">1. </w:t>
      </w:r>
      <w:r w:rsidR="00CB603B" w:rsidRPr="00F227EE">
        <w:t xml:space="preserve">Απόφαση του Ευρωπαϊκού Κοινοβουλίου </w:t>
      </w:r>
      <w:r w:rsidR="00396F1C">
        <w:t xml:space="preserve">της 11ης Απριλίου 2024 </w:t>
      </w:r>
      <w:r w:rsidR="00CB603B" w:rsidRPr="00F227EE">
        <w:t>σχετικά με την απαλλαγή όσον αφορά την εκτέλεση του προϋπολογισμού του Ευρωπαϊκού Ινστιτούτου Καινοτομίας και Τεχνολογίας (ΕΙΤ) για το οικονομικό έτος 2022</w:t>
      </w:r>
      <w:bookmarkEnd w:id="5"/>
      <w:r w:rsidR="00CB603B" w:rsidRPr="00F227EE">
        <w:t xml:space="preserve"> </w:t>
      </w:r>
      <w:bookmarkStart w:id="6" w:name="References"/>
      <w:r w:rsidR="00CB603B" w:rsidRPr="00F227EE">
        <w:t>(2023/2154(DEC))</w:t>
      </w:r>
      <w:bookmarkEnd w:id="6"/>
    </w:p>
    <w:p w:rsidR="00FD1311" w:rsidRPr="00F227EE" w:rsidRDefault="00FD1311" w:rsidP="00FD1311">
      <w:pPr>
        <w:pStyle w:val="EPComma"/>
      </w:pPr>
      <w:bookmarkStart w:id="7" w:name="TextBodyBegin"/>
      <w:bookmarkEnd w:id="7"/>
      <w:r w:rsidRPr="00F227EE">
        <w:rPr>
          <w:i/>
          <w:iCs/>
        </w:rPr>
        <w:t>Το Ευρωπαϊκό Κοινοβούλιο</w:t>
      </w:r>
      <w:r w:rsidRPr="00F227EE">
        <w:t>,</w:t>
      </w:r>
    </w:p>
    <w:p w:rsidR="00FD1311" w:rsidRPr="00F227EE" w:rsidRDefault="00FD1311" w:rsidP="00FD1311">
      <w:pPr>
        <w:pStyle w:val="NormalHanging12a"/>
      </w:pPr>
      <w:r w:rsidRPr="00F227EE">
        <w:t>–</w:t>
      </w:r>
      <w:r w:rsidRPr="00F227EE">
        <w:tab/>
        <w:t>έχοντας υπόψη τους οριστικούς ετήσιους λογαριασμούς του Ευρωπαϊκού Ινστιτούτου Καινοτομίας και Τεχνολογίας (EIT) για το οικονομικό έτος 2022,</w:t>
      </w:r>
    </w:p>
    <w:p w:rsidR="00FD1311" w:rsidRPr="00F227EE" w:rsidRDefault="00FD1311" w:rsidP="00FD1311">
      <w:pPr>
        <w:pStyle w:val="NormalHanging12a"/>
      </w:pPr>
      <w:r w:rsidRPr="00F227EE">
        <w:t>–</w:t>
      </w:r>
      <w:r w:rsidRPr="00F227E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F227EE">
        <w:rPr>
          <w:rStyle w:val="FootnoteReference"/>
        </w:rPr>
        <w:footnoteReference w:id="1"/>
      </w:r>
      <w:r w:rsidRPr="00F227EE">
        <w:t>,</w:t>
      </w:r>
    </w:p>
    <w:p w:rsidR="00FD1311" w:rsidRPr="00F227EE" w:rsidRDefault="00FD1311" w:rsidP="00FD1311">
      <w:pPr>
        <w:pStyle w:val="NormalHanging12a"/>
      </w:pPr>
      <w:r w:rsidRPr="00F227EE">
        <w:t>–</w:t>
      </w:r>
      <w:r w:rsidRPr="00F227EE">
        <w:tab/>
        <w:t>έχοντας υπόψη τη δήλωση αξιοπιστίας</w:t>
      </w:r>
      <w:r w:rsidRPr="00F227EE">
        <w:rPr>
          <w:rStyle w:val="FootnoteReference"/>
        </w:rPr>
        <w:footnoteReference w:id="2"/>
      </w:r>
      <w:r w:rsidRPr="00F227EE">
        <w:t xml:space="preserve"> η οποία βεβαιώνει την ακρίβεια των λογαριασμών και τη νομιμότητα και κανονικότητα των σχετικών πράξεων, την οποία </w:t>
      </w:r>
      <w:proofErr w:type="spellStart"/>
      <w:r w:rsidRPr="00F227EE">
        <w:t>ενεχείρισε</w:t>
      </w:r>
      <w:proofErr w:type="spellEnd"/>
      <w:r w:rsidRPr="00F227EE">
        <w:t xml:space="preserve"> το Ελεγκτικό Συνέδριο για το οικονομικό έτος 2022, σύμφωνα με το άρθρο 287 της Συνθήκης για τη λειτουργία της Ευρωπαϊκής Ένωσης,</w:t>
      </w:r>
    </w:p>
    <w:p w:rsidR="00FD1311" w:rsidRPr="00F227EE" w:rsidRDefault="00FD1311" w:rsidP="00FD1311">
      <w:pPr>
        <w:pStyle w:val="NormalHanging12a"/>
      </w:pPr>
      <w:r w:rsidRPr="00F227EE">
        <w:t>–</w:t>
      </w:r>
      <w:r w:rsidRPr="00F227EE">
        <w:tab/>
        <w:t>έχοντας υπόψη τη σύσταση του Συμβουλίου, της 22ας Φεβρουαρίου 2024, σχετικά με τη χορήγηση απαλλαγής στο Ινστιτούτο όσον αφορά την εκτέλεση του προϋπολογισμού για το οικονομικό έτος 2022 (</w:t>
      </w:r>
      <w:r w:rsidR="00F5273C" w:rsidRPr="00F227EE">
        <w:t>0</w:t>
      </w:r>
      <w:r w:rsidR="00F5273C">
        <w:t>6180</w:t>
      </w:r>
      <w:r w:rsidRPr="00F227EE">
        <w:t>/2024 – C9</w:t>
      </w:r>
      <w:r w:rsidRPr="00F227EE">
        <w:noBreakHyphen/>
      </w:r>
      <w:r w:rsidR="00F5273C" w:rsidRPr="00F227EE">
        <w:t>00</w:t>
      </w:r>
      <w:r w:rsidR="00F5273C">
        <w:t>92</w:t>
      </w:r>
      <w:r w:rsidRPr="00F227EE">
        <w:t>/2024),</w:t>
      </w:r>
    </w:p>
    <w:p w:rsidR="00FD1311" w:rsidRPr="00F227EE" w:rsidRDefault="00FD1311" w:rsidP="00FD1311">
      <w:pPr>
        <w:pStyle w:val="NormalHanging12a"/>
      </w:pPr>
      <w:r w:rsidRPr="00F227EE">
        <w:t>–</w:t>
      </w:r>
      <w:r w:rsidRPr="00F227EE">
        <w:tab/>
        <w:t>έχοντας υπόψη το άρθρο 319 της Συνθήκης για τη λειτουργία της Ευρωπαϊκής Ένωσης,</w:t>
      </w:r>
    </w:p>
    <w:p w:rsidR="00FD1311" w:rsidRPr="00F227EE" w:rsidRDefault="00FD1311" w:rsidP="00FD1311">
      <w:pPr>
        <w:pStyle w:val="NormalHanging12a"/>
      </w:pPr>
      <w:r w:rsidRPr="00F227EE">
        <w:t>–</w:t>
      </w:r>
      <w:r w:rsidRPr="00F227EE">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F227EE">
        <w:lastRenderedPageBreak/>
        <w:t>την κατάργηση του κανονισμού (ΕΕ, Ευρατόμ) αριθ. 966/2012</w:t>
      </w:r>
      <w:r w:rsidRPr="00F227EE">
        <w:rPr>
          <w:rStyle w:val="FootnoteReference"/>
        </w:rPr>
        <w:footnoteReference w:id="3"/>
      </w:r>
      <w:r w:rsidRPr="00F227EE">
        <w:t>, και ιδίως το άρθρο 70,</w:t>
      </w:r>
    </w:p>
    <w:p w:rsidR="00FD1311" w:rsidRPr="00F227EE" w:rsidRDefault="00FD1311" w:rsidP="00FD1311">
      <w:pPr>
        <w:pStyle w:val="NormalHanging12a"/>
      </w:pPr>
      <w:r w:rsidRPr="00F227EE">
        <w:t>–</w:t>
      </w:r>
      <w:r w:rsidRPr="00F227EE">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F227EE">
        <w:rPr>
          <w:rStyle w:val="FootnoteReference"/>
        </w:rPr>
        <w:footnoteReference w:id="4"/>
      </w:r>
      <w:r w:rsidRPr="00F227EE">
        <w:t>, και ιδίως το άρθρο 23,</w:t>
      </w:r>
    </w:p>
    <w:p w:rsidR="00FD1311" w:rsidRPr="00F227EE" w:rsidRDefault="00FD1311" w:rsidP="00FD1311">
      <w:pPr>
        <w:pStyle w:val="NormalHanging12a"/>
      </w:pPr>
      <w:r w:rsidRPr="00F227EE">
        <w:t>–</w:t>
      </w:r>
      <w:r w:rsidRPr="00F227E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F227EE">
        <w:rPr>
          <w:rStyle w:val="FootnoteReference"/>
        </w:rPr>
        <w:footnoteReference w:id="5"/>
      </w:r>
      <w:r w:rsidRPr="00F227EE">
        <w:t>, και ιδίως το άρθρο 105,</w:t>
      </w:r>
    </w:p>
    <w:p w:rsidR="00FD1311" w:rsidRPr="00F227EE" w:rsidRDefault="00FD1311" w:rsidP="00FD1311">
      <w:pPr>
        <w:pStyle w:val="NormalHanging12a"/>
      </w:pPr>
      <w:r w:rsidRPr="00F227EE">
        <w:t>–</w:t>
      </w:r>
      <w:r w:rsidRPr="00F227EE">
        <w:tab/>
        <w:t>έχοντας υπόψη το άρθρο 100 και το παράρτημα V του Κανονισμού του,</w:t>
      </w:r>
    </w:p>
    <w:p w:rsidR="00FD1311" w:rsidRPr="00F227EE" w:rsidRDefault="00FD1311" w:rsidP="00FD1311">
      <w:pPr>
        <w:pStyle w:val="NormalHanging12a"/>
      </w:pPr>
      <w:r w:rsidRPr="00F227EE">
        <w:t>–</w:t>
      </w:r>
      <w:r w:rsidRPr="00F227EE">
        <w:tab/>
        <w:t>έχοντας υπόψη την έκθεση της Επιτροπής Ελέγχου του Προϋπολογισμού (A9-0132/2024),</w:t>
      </w:r>
    </w:p>
    <w:p w:rsidR="00FD1311" w:rsidRPr="00F227EE" w:rsidRDefault="00B81B17" w:rsidP="00B81B17">
      <w:pPr>
        <w:pStyle w:val="NormalHanging12a"/>
        <w:ind w:hanging="570"/>
      </w:pPr>
      <w:r w:rsidRPr="00F227EE">
        <w:t>1.</w:t>
      </w:r>
      <w:r w:rsidRPr="00F227EE">
        <w:tab/>
      </w:r>
      <w:r w:rsidR="00FD1311" w:rsidRPr="00F227EE">
        <w:t>χορηγεί απαλλαγή στον διευθυντή του Ευρωπαϊκού Ινστιτούτου Καινοτομίας και Τεχνολογίας (ΕΙΤ) όσον αφορά την εκτέλεση του προϋπολογισμού του Ινστιτούτου για το οικονομικό έτος 2022·</w:t>
      </w:r>
    </w:p>
    <w:p w:rsidR="00FD1311" w:rsidRPr="00F227EE" w:rsidRDefault="00B81B17" w:rsidP="00B81B17">
      <w:pPr>
        <w:pStyle w:val="NormalHanging12a"/>
        <w:ind w:hanging="570"/>
      </w:pPr>
      <w:r w:rsidRPr="00F227EE">
        <w:t>2.</w:t>
      </w:r>
      <w:r w:rsidRPr="00F227EE">
        <w:tab/>
      </w:r>
      <w:r w:rsidR="00FD1311" w:rsidRPr="00F227EE">
        <w:t>εκθέτει τις παρατηρήσεις του στο ψήφισμα που ακολουθεί·</w:t>
      </w:r>
    </w:p>
    <w:p w:rsidR="00FD1311" w:rsidRPr="00F227EE" w:rsidRDefault="00B81B17" w:rsidP="00B81B17">
      <w:pPr>
        <w:pStyle w:val="NormalHanging12a"/>
        <w:ind w:hanging="570"/>
      </w:pPr>
      <w:r w:rsidRPr="00F227EE">
        <w:t>3.</w:t>
      </w:r>
      <w:r w:rsidRPr="00F227EE">
        <w:tab/>
      </w:r>
      <w:r w:rsidR="00FD1311" w:rsidRPr="00F227EE">
        <w:t xml:space="preserve">αναθέτει στην Πρόεδρό του να διαβιβάσει την παρούσα απόφαση και το ψήφισμα που αποτελεί αναπόσπαστο μέρος της στον διευθυντή του Ευρωπαϊκού Ινστιτούτου Καινοτομίας και Τεχνολογίας (EIT), στο Συμβούλιο, στην Επιτροπή και στο Ελεγκτικό Συνέδριο, και να μεριμνήσει για τη δημοσίευσή τους στην </w:t>
      </w:r>
      <w:r w:rsidR="00FD1311" w:rsidRPr="00F227EE">
        <w:rPr>
          <w:i/>
          <w:iCs/>
        </w:rPr>
        <w:t>Επίσημη Εφημερίδα της Ευρωπαϊκής Ένωσης</w:t>
      </w:r>
      <w:r w:rsidR="00FD1311" w:rsidRPr="00F227EE">
        <w:t xml:space="preserve"> (σειρά L).</w:t>
      </w:r>
    </w:p>
    <w:p w:rsidR="00FD1311" w:rsidRPr="00F227EE" w:rsidRDefault="00FD1311" w:rsidP="00FD1311"/>
    <w:p w:rsidR="00FD1311" w:rsidRPr="00F227EE" w:rsidRDefault="00FD1311" w:rsidP="00FD1311">
      <w:pPr>
        <w:widowControl/>
        <w:rPr>
          <w:rFonts w:ascii="Arial" w:hAnsi="Arial" w:cs="Arial"/>
          <w:b/>
        </w:rPr>
        <w:sectPr w:rsidR="00FD1311" w:rsidRPr="00F227EE" w:rsidSect="00F227E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D1311" w:rsidRPr="00F227EE" w:rsidRDefault="001D633E" w:rsidP="00D26050">
      <w:pPr>
        <w:pStyle w:val="ATHeading3"/>
      </w:pPr>
      <w:r>
        <w:lastRenderedPageBreak/>
        <w:t xml:space="preserve">2. Απόφαση του Ευρωπαϊκού Κοινοβουλίου </w:t>
      </w:r>
      <w:r w:rsidR="00396F1C">
        <w:t xml:space="preserve">της 11ης Απριλίου 2024 </w:t>
      </w:r>
      <w:r w:rsidR="00FD1311" w:rsidRPr="00F227EE">
        <w:t>σχετικά με το κλείσιμο των λογαριασμών του Ευρωπαϊκού Ινστιτούτου Καινοτομίας και Τεχνολογίας (EIT) για το οικονομικό έτος 2022</w:t>
      </w:r>
      <w:r>
        <w:t xml:space="preserve"> </w:t>
      </w:r>
      <w:r w:rsidR="00FD1311" w:rsidRPr="00F227EE">
        <w:t>(2023/2154(DEC))</w:t>
      </w:r>
    </w:p>
    <w:p w:rsidR="00FD1311" w:rsidRPr="00F227EE" w:rsidRDefault="00FD1311" w:rsidP="00FD1311">
      <w:pPr>
        <w:pStyle w:val="EPComma"/>
      </w:pPr>
      <w:r w:rsidRPr="00F227EE">
        <w:rPr>
          <w:i/>
          <w:iCs/>
        </w:rPr>
        <w:t>Το Ευρωπαϊκό Κοινοβούλιο</w:t>
      </w:r>
      <w:r w:rsidRPr="00F227EE">
        <w:t>,</w:t>
      </w:r>
    </w:p>
    <w:p w:rsidR="00FD1311" w:rsidRPr="00F227EE" w:rsidRDefault="00FD1311" w:rsidP="00FD1311">
      <w:pPr>
        <w:pStyle w:val="NormalHanging12a"/>
      </w:pPr>
      <w:r w:rsidRPr="00F227EE">
        <w:t>–</w:t>
      </w:r>
      <w:r w:rsidRPr="00F227EE">
        <w:tab/>
        <w:t>έχοντας υπόψη τους οριστικούς ετήσιους λογαριασμούς του Ευρωπαϊκού Ινστιτούτου Καινοτομίας και Τεχνολογίας (EIT) για το οικονομικό έτος 2022,</w:t>
      </w:r>
    </w:p>
    <w:p w:rsidR="00FD1311" w:rsidRPr="00F227EE" w:rsidRDefault="00FD1311" w:rsidP="00FD1311">
      <w:pPr>
        <w:pStyle w:val="NormalHanging12a"/>
      </w:pPr>
      <w:r w:rsidRPr="00F227EE">
        <w:t>–</w:t>
      </w:r>
      <w:r w:rsidRPr="00F227E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F227EE">
        <w:rPr>
          <w:rStyle w:val="FootnoteReference"/>
        </w:rPr>
        <w:footnoteReference w:id="6"/>
      </w:r>
      <w:r w:rsidRPr="00F227EE">
        <w:t>,</w:t>
      </w:r>
    </w:p>
    <w:p w:rsidR="00FD1311" w:rsidRPr="00F227EE" w:rsidRDefault="00FD1311" w:rsidP="00FD1311">
      <w:pPr>
        <w:pStyle w:val="NormalHanging12a"/>
      </w:pPr>
      <w:r w:rsidRPr="00F227EE">
        <w:t>–</w:t>
      </w:r>
      <w:r w:rsidRPr="00F227EE">
        <w:tab/>
        <w:t>έχοντας υπόψη τη δήλωση αξιοπιστίας</w:t>
      </w:r>
      <w:r w:rsidRPr="00F227EE">
        <w:rPr>
          <w:rStyle w:val="FootnoteReference"/>
        </w:rPr>
        <w:footnoteReference w:id="7"/>
      </w:r>
      <w:r w:rsidRPr="00F227EE">
        <w:t xml:space="preserve"> η οποία βεβαιώνει την ακρίβεια των λογαριασμών και τη νομιμότητα και κανονικότητα των σχετικών πράξεων, την οποία </w:t>
      </w:r>
      <w:proofErr w:type="spellStart"/>
      <w:r w:rsidRPr="00F227EE">
        <w:t>ενεχείρισε</w:t>
      </w:r>
      <w:proofErr w:type="spellEnd"/>
      <w:r w:rsidRPr="00F227EE">
        <w:t xml:space="preserve"> το Ελεγκτικό Συνέδριο για το οικονομικό έτος 2022, σύμφωνα με το άρθρο 287 της Συνθήκης για τη λειτουργία της Ευρωπαϊκής Ένωσης,</w:t>
      </w:r>
    </w:p>
    <w:p w:rsidR="00FD1311" w:rsidRPr="00F227EE" w:rsidRDefault="00FD1311" w:rsidP="00FD1311">
      <w:pPr>
        <w:pStyle w:val="NormalHanging12a"/>
      </w:pPr>
      <w:r w:rsidRPr="00F227EE">
        <w:t>–</w:t>
      </w:r>
      <w:r w:rsidRPr="00F227EE">
        <w:tab/>
        <w:t>έχοντας υπόψη τη σύσταση του Συμβουλίου, της 22ας Φεβρουαρίου 2024, σχετικά με τη χορήγηση απαλλα</w:t>
      </w:r>
      <w:bookmarkStart w:id="8" w:name="_GoBack"/>
      <w:bookmarkEnd w:id="8"/>
      <w:r w:rsidRPr="00F227EE">
        <w:t>γής στο Ινστιτούτο όσον αφορά την εκτέλεση του προϋπολογισμού για το οικονομικό έτος 2022 (</w:t>
      </w:r>
      <w:r w:rsidR="00F5273C" w:rsidRPr="00F227EE">
        <w:t>0</w:t>
      </w:r>
      <w:r w:rsidR="00F5273C">
        <w:t>6180</w:t>
      </w:r>
      <w:r w:rsidRPr="00F227EE">
        <w:t>/2024 – C9</w:t>
      </w:r>
      <w:r w:rsidRPr="00F227EE">
        <w:noBreakHyphen/>
      </w:r>
      <w:r w:rsidR="00F5273C" w:rsidRPr="00F227EE">
        <w:t>00</w:t>
      </w:r>
      <w:r w:rsidR="00F5273C">
        <w:t>9</w:t>
      </w:r>
      <w:r w:rsidR="00576C00">
        <w:t>2</w:t>
      </w:r>
      <w:r w:rsidRPr="00F227EE">
        <w:t>/2024),</w:t>
      </w:r>
    </w:p>
    <w:p w:rsidR="00FD1311" w:rsidRPr="00F227EE" w:rsidRDefault="00FD1311" w:rsidP="00FD1311">
      <w:pPr>
        <w:pStyle w:val="NormalHanging12a"/>
      </w:pPr>
      <w:r w:rsidRPr="00F227EE">
        <w:t>–</w:t>
      </w:r>
      <w:r w:rsidRPr="00F227EE">
        <w:tab/>
        <w:t>έχοντας υπόψη το άρθρο 319 της Συνθήκης για τη λειτουργία της Ευρωπαϊκής Ένωσης,</w:t>
      </w:r>
    </w:p>
    <w:p w:rsidR="00FD1311" w:rsidRPr="00F227EE" w:rsidRDefault="00FD1311" w:rsidP="00FD1311">
      <w:pPr>
        <w:pStyle w:val="NormalHanging12a"/>
      </w:pPr>
      <w:r w:rsidRPr="00F227EE">
        <w:t>–</w:t>
      </w:r>
      <w:r w:rsidRPr="00F227E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F227EE">
        <w:rPr>
          <w:rStyle w:val="FootnoteReference"/>
        </w:rPr>
        <w:footnoteReference w:id="8"/>
      </w:r>
      <w:r w:rsidRPr="00F227EE">
        <w:t>, και ιδίως το άρθρο 70,</w:t>
      </w:r>
    </w:p>
    <w:p w:rsidR="00FD1311" w:rsidRPr="00F227EE" w:rsidRDefault="00FD1311" w:rsidP="00FD1311">
      <w:pPr>
        <w:pStyle w:val="NormalHanging12a"/>
      </w:pPr>
      <w:r w:rsidRPr="00F227EE">
        <w:t>–</w:t>
      </w:r>
      <w:r w:rsidRPr="00F227EE">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F227EE">
        <w:rPr>
          <w:rStyle w:val="FootnoteReference"/>
        </w:rPr>
        <w:footnoteReference w:id="9"/>
      </w:r>
      <w:r w:rsidRPr="00F227EE">
        <w:t>, και ιδίως το άρθρο 23,</w:t>
      </w:r>
    </w:p>
    <w:p w:rsidR="00FD1311" w:rsidRPr="00F227EE" w:rsidRDefault="00FD1311" w:rsidP="00FD1311">
      <w:pPr>
        <w:pStyle w:val="NormalHanging12a"/>
      </w:pPr>
      <w:r w:rsidRPr="00F227EE">
        <w:t>–</w:t>
      </w:r>
      <w:r w:rsidRPr="00F227E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F227EE">
        <w:rPr>
          <w:rStyle w:val="FootnoteReference"/>
        </w:rPr>
        <w:footnoteReference w:id="10"/>
      </w:r>
      <w:r w:rsidRPr="00F227EE">
        <w:t>, και ιδίως το άρθρο 105,</w:t>
      </w:r>
    </w:p>
    <w:p w:rsidR="00FD1311" w:rsidRPr="00F227EE" w:rsidRDefault="00FD1311" w:rsidP="00FD1311">
      <w:pPr>
        <w:pStyle w:val="NormalHanging12a"/>
      </w:pPr>
      <w:r w:rsidRPr="00F227EE">
        <w:t>–</w:t>
      </w:r>
      <w:r w:rsidRPr="00F227EE">
        <w:tab/>
        <w:t>έχοντας υπόψη το άρθρο 100 και το παράρτημα V του Κανονισμού του,</w:t>
      </w:r>
    </w:p>
    <w:p w:rsidR="00FD1311" w:rsidRPr="00F227EE" w:rsidRDefault="00FD1311" w:rsidP="00FD1311">
      <w:pPr>
        <w:pStyle w:val="NormalHanging12a"/>
      </w:pPr>
      <w:r w:rsidRPr="00F227EE">
        <w:t>–</w:t>
      </w:r>
      <w:r w:rsidRPr="00F227EE">
        <w:tab/>
        <w:t>έχοντας υπόψη την έκθεση της Επιτροπής Ελέγχου του Προϋπολογισμού (A9-</w:t>
      </w:r>
      <w:r w:rsidRPr="00F227EE">
        <w:lastRenderedPageBreak/>
        <w:t>0132/2024),</w:t>
      </w:r>
    </w:p>
    <w:p w:rsidR="00FD1311" w:rsidRPr="00F227EE" w:rsidRDefault="00B81B17" w:rsidP="00B81B17">
      <w:pPr>
        <w:pStyle w:val="NormalHanging12a"/>
        <w:ind w:hanging="570"/>
      </w:pPr>
      <w:r w:rsidRPr="00F227EE">
        <w:t>1.</w:t>
      </w:r>
      <w:r w:rsidRPr="00F227EE">
        <w:tab/>
      </w:r>
      <w:r w:rsidR="00FD1311" w:rsidRPr="00F227EE">
        <w:t>εγκρίνει το κλείσιμο των λογαριασμών του Ευρωπαϊκού Ινστιτούτου Καινοτομίας και Τεχνολογίας (EIT) για το οικονομικό έτος 2022·</w:t>
      </w:r>
    </w:p>
    <w:p w:rsidR="00FD1311" w:rsidRPr="00F227EE" w:rsidRDefault="00B81B17" w:rsidP="00B81B17">
      <w:pPr>
        <w:pStyle w:val="NormalHanging12a"/>
        <w:ind w:hanging="570"/>
      </w:pPr>
      <w:r w:rsidRPr="00F227EE">
        <w:t>2.</w:t>
      </w:r>
      <w:r w:rsidRPr="00F227EE">
        <w:tab/>
      </w:r>
      <w:r w:rsidR="00FD1311" w:rsidRPr="00F227EE">
        <w:t xml:space="preserve">αναθέτει στην Πρόεδρό του να διαβιβάσει την παρούσα απόφαση στον διευθυντή του Ευρωπαϊκού Ινστιτούτου Καινοτομίας και Τεχνολογίας (EIT), στο Συμβούλιο, στην Επιτροπή και στο Ελεγκτικό Συνέδριο, και να μεριμνήσει για τη δημοσίευσή της στην </w:t>
      </w:r>
      <w:r w:rsidR="00FD1311" w:rsidRPr="00F227EE">
        <w:rPr>
          <w:i/>
          <w:iCs/>
        </w:rPr>
        <w:t>Επίσημη Εφημερίδα της Ευρωπαϊκής Ένωσης</w:t>
      </w:r>
      <w:r w:rsidR="00FD1311" w:rsidRPr="00F227EE">
        <w:t xml:space="preserve"> (σειρά L).</w:t>
      </w:r>
    </w:p>
    <w:p w:rsidR="00FD1311" w:rsidRPr="00F227EE" w:rsidRDefault="00FD1311" w:rsidP="00FD1311"/>
    <w:p w:rsidR="00FD1311" w:rsidRPr="00F227EE" w:rsidRDefault="00FD1311" w:rsidP="00FD1311">
      <w:pPr>
        <w:widowControl/>
        <w:rPr>
          <w:rFonts w:ascii="Arial" w:hAnsi="Arial" w:cs="Arial"/>
          <w:b/>
        </w:rPr>
        <w:sectPr w:rsidR="00FD1311" w:rsidRPr="00F227EE" w:rsidSect="00F227EE">
          <w:footnotePr>
            <w:numRestart w:val="eachPage"/>
          </w:footnotePr>
          <w:endnotePr>
            <w:numFmt w:val="decimal"/>
          </w:endnotePr>
          <w:pgSz w:w="11906" w:h="16838"/>
          <w:pgMar w:top="1134" w:right="1418" w:bottom="1418" w:left="1418" w:header="567" w:footer="567" w:gutter="0"/>
          <w:cols w:space="720"/>
          <w:docGrid w:linePitch="326"/>
        </w:sectPr>
      </w:pPr>
    </w:p>
    <w:p w:rsidR="00FD1311" w:rsidRPr="00F227EE" w:rsidRDefault="001D633E" w:rsidP="00D26050">
      <w:pPr>
        <w:pStyle w:val="ATHeading3"/>
      </w:pPr>
      <w:r>
        <w:lastRenderedPageBreak/>
        <w:t xml:space="preserve">3. Ψήφισμα του Ευρωπαϊκού Κοινοβουλίου </w:t>
      </w:r>
      <w:r w:rsidR="00396F1C">
        <w:t xml:space="preserve">της 11ης Απριλίου 2024 </w:t>
      </w:r>
      <w:r w:rsidR="00FD1311" w:rsidRPr="00F227EE">
        <w:t>με τις παρατηρήσεις που αποτελούν αναπόσπαστο μέρος της απόφασης σχετικά με την απαλλαγή όσον αφορά την εκτέλεση του προϋπολογισμού του Ευρωπαϊκού Ινστιτούτου Καινοτομίας και Τεχνολογίας (EIT) για το οικονομικό έτος 2022</w:t>
      </w:r>
      <w:r>
        <w:t xml:space="preserve"> </w:t>
      </w:r>
      <w:r w:rsidR="00FD1311" w:rsidRPr="00F227EE">
        <w:t>(2023/2154(DEC))</w:t>
      </w:r>
    </w:p>
    <w:p w:rsidR="00FD1311" w:rsidRPr="00F227EE" w:rsidRDefault="00FD1311" w:rsidP="00FD1311">
      <w:pPr>
        <w:pStyle w:val="EPComma"/>
      </w:pPr>
      <w:r w:rsidRPr="00F227EE">
        <w:rPr>
          <w:i/>
          <w:iCs/>
        </w:rPr>
        <w:t>Το Ευρωπαϊκό Κοινοβούλιο</w:t>
      </w:r>
      <w:r w:rsidRPr="00F227EE">
        <w:t>,</w:t>
      </w:r>
    </w:p>
    <w:p w:rsidR="00FD1311" w:rsidRPr="00F227EE" w:rsidRDefault="00FD1311" w:rsidP="00FD1311">
      <w:pPr>
        <w:pStyle w:val="NormalHanging12a"/>
      </w:pPr>
      <w:r w:rsidRPr="00F227EE">
        <w:t>–</w:t>
      </w:r>
      <w:r w:rsidRPr="00F227EE">
        <w:tab/>
        <w:t>έχοντας υπόψη την απόφασή του σχετικά με την απαλλαγή όσον αφορά την εκτέλεση του προϋπολογισμού του Ευρωπαϊκού Ινστιτούτου Καινοτομίας και Τεχνολογίας (εφεξής, το «Ινστιτούτο») για το οικονομικό έτος 2022,</w:t>
      </w:r>
    </w:p>
    <w:p w:rsidR="00FD1311" w:rsidRPr="00F227EE" w:rsidRDefault="00FD1311" w:rsidP="00FD1311">
      <w:pPr>
        <w:pStyle w:val="NormalHanging12a"/>
      </w:pPr>
      <w:r w:rsidRPr="00F227EE">
        <w:t>–</w:t>
      </w:r>
      <w:r w:rsidRPr="00F227EE">
        <w:tab/>
        <w:t>έχοντας υπόψη το άρθρο 100 και το παράρτημα V του Κανονισμού του,</w:t>
      </w:r>
    </w:p>
    <w:p w:rsidR="00FD1311" w:rsidRPr="00F227EE" w:rsidRDefault="00FD1311" w:rsidP="00FD1311">
      <w:pPr>
        <w:pStyle w:val="NormalHanging12a"/>
      </w:pPr>
      <w:r w:rsidRPr="00F227EE">
        <w:t>–</w:t>
      </w:r>
      <w:r w:rsidRPr="00F227EE">
        <w:tab/>
        <w:t>έχοντας υπόψη την έκθεση της Επιτροπής Ελέγχου του Προϋπολογισμού (A9-0132/2024),</w:t>
      </w:r>
    </w:p>
    <w:p w:rsidR="00FD1311" w:rsidRPr="00F227EE" w:rsidRDefault="00FD1311" w:rsidP="00FD1311">
      <w:pPr>
        <w:pStyle w:val="Default"/>
        <w:spacing w:after="240"/>
        <w:ind w:left="567" w:hanging="567"/>
        <w:rPr>
          <w:rFonts w:eastAsia="Times New Roman"/>
          <w:color w:val="auto"/>
        </w:rPr>
      </w:pPr>
      <w:r w:rsidRPr="00F227EE">
        <w:rPr>
          <w:color w:val="auto"/>
        </w:rPr>
        <w:t>Α.</w:t>
      </w:r>
      <w:r w:rsidRPr="00F227EE">
        <w:rPr>
          <w:color w:val="auto"/>
        </w:rPr>
        <w:tab/>
        <w:t>λαμβάνοντας υπόψη ότι, σύμφωνα με την κατάσταση εσόδων και δαπανών του</w:t>
      </w:r>
      <w:r w:rsidRPr="00F227EE">
        <w:rPr>
          <w:rStyle w:val="FootnoteReference"/>
          <w:rFonts w:eastAsia="Times New Roman"/>
          <w:color w:val="auto"/>
          <w:lang w:eastAsia="en-GB"/>
        </w:rPr>
        <w:footnoteReference w:id="11"/>
      </w:r>
      <w:r w:rsidRPr="00F227EE">
        <w:rPr>
          <w:color w:val="auto"/>
        </w:rPr>
        <w:t>, ο οριστικός προϋπολογισμός του Ινστιτούτου για το οικονομικό έτος 2022 ανήλθε σε 406 585 390,99 EUR, ποσό που συνιστά αύξηση κατά 12,65 % σε σύγκριση με το 2021· λαμβάνοντας υπόψη ότι ο προϋπολογισμός του Ινστιτούτου προέρχεται κυρίως από τον προϋπολογισμό της Ένωσης·</w:t>
      </w:r>
    </w:p>
    <w:p w:rsidR="00FD1311" w:rsidRPr="00F227EE" w:rsidRDefault="00FD1311" w:rsidP="00FD1311">
      <w:pPr>
        <w:spacing w:after="240"/>
        <w:ind w:left="567" w:hanging="567"/>
        <w:rPr>
          <w:szCs w:val="24"/>
        </w:rPr>
      </w:pPr>
      <w:r w:rsidRPr="00F227EE">
        <w:t>Β.</w:t>
      </w:r>
      <w:r w:rsidRPr="00F227EE">
        <w:tab/>
        <w:t>λαμβάνοντας υπόψη ότι το Ελεγκτικό Συνέδριο, στην έκθεσή του για τους ετήσιους λογαριασμούς του Ινστιτούτου για το οικονομικό έτος 2022 («η έκθεση του Ελεγκτικού Συνεδρίου»), δηλώνει πως αποκόμισε εύλογη βεβαιότητα ότι οι ετήσιοι λογαριασμοί του Ινστιτούτου είναι αξιόπιστοι και ότι οι πράξεις στις οποίες βασίζονται είναι νόμιμες και κανονικές·</w:t>
      </w:r>
    </w:p>
    <w:p w:rsidR="00FD1311" w:rsidRPr="00F227EE" w:rsidRDefault="00FD1311" w:rsidP="00FD1311">
      <w:pPr>
        <w:spacing w:after="240"/>
        <w:ind w:left="567" w:hanging="567"/>
        <w:rPr>
          <w:b/>
          <w:i/>
          <w:szCs w:val="24"/>
        </w:rPr>
      </w:pPr>
      <w:r w:rsidRPr="00F227EE">
        <w:rPr>
          <w:b/>
          <w:i/>
        </w:rPr>
        <w:t>Δημοσιονομική και χρηματοοικονομική διαχείριση</w:t>
      </w:r>
    </w:p>
    <w:p w:rsidR="00FD1311" w:rsidRPr="00B81B17" w:rsidRDefault="00B81B17" w:rsidP="00B81B17">
      <w:pPr>
        <w:spacing w:after="240"/>
        <w:ind w:left="567" w:hanging="573"/>
        <w:rPr>
          <w:szCs w:val="24"/>
        </w:rPr>
      </w:pPr>
      <w:r w:rsidRPr="00D26050">
        <w:rPr>
          <w:szCs w:val="24"/>
        </w:rPr>
        <w:t>1.</w:t>
      </w:r>
      <w:r w:rsidRPr="00D26050">
        <w:rPr>
          <w:szCs w:val="24"/>
        </w:rPr>
        <w:tab/>
      </w:r>
      <w:r w:rsidR="00FD1311" w:rsidRPr="00F227EE">
        <w:t>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94,03 %, το οποίο συνιστά μείωση κατά 3,88 % σε σύγκριση με το 2021· σημειώνει ότι το ποσοστό εκτέλεσης των πιστώσεων πληρωμών του τρέχοντος έτους ήταν 98,42 %, το οποίο συνιστά μείωση κατά 1,06 % σε σύγκριση με το 2021·</w:t>
      </w:r>
    </w:p>
    <w:p w:rsidR="00FD1311" w:rsidRPr="00B81B17" w:rsidRDefault="00B81B17" w:rsidP="00B81B17">
      <w:pPr>
        <w:spacing w:after="240"/>
        <w:ind w:left="567" w:hanging="573"/>
        <w:rPr>
          <w:szCs w:val="24"/>
        </w:rPr>
      </w:pPr>
      <w:r w:rsidRPr="00D26050">
        <w:rPr>
          <w:szCs w:val="24"/>
        </w:rPr>
        <w:t>2.</w:t>
      </w:r>
      <w:r w:rsidRPr="00D26050">
        <w:rPr>
          <w:szCs w:val="24"/>
        </w:rPr>
        <w:tab/>
      </w:r>
      <w:r w:rsidR="00FD1311" w:rsidRPr="00F227EE">
        <w:t>σημειώνει ότι το ποσό του τελικού προϋπολογισμού του Ινστιτούτου είναι αποτέλεσμα διόρθωσης ύψους 656 930,67 EUR που εγκρίθηκε από το διοικητικό συμβούλιο λόγω τροποποιήσεων στο ετήσιο πρόγραμμα εργασίας του Ινστιτούτου για το 2022·</w:t>
      </w:r>
    </w:p>
    <w:p w:rsidR="00FD1311" w:rsidRPr="00B81B17" w:rsidRDefault="00B81B17" w:rsidP="00B81B17">
      <w:pPr>
        <w:spacing w:after="240"/>
        <w:ind w:left="567" w:hanging="573"/>
        <w:rPr>
          <w:szCs w:val="24"/>
        </w:rPr>
      </w:pPr>
      <w:r w:rsidRPr="00D26050">
        <w:rPr>
          <w:szCs w:val="24"/>
        </w:rPr>
        <w:t>3.</w:t>
      </w:r>
      <w:r w:rsidRPr="00D26050">
        <w:rPr>
          <w:szCs w:val="24"/>
        </w:rPr>
        <w:tab/>
      </w:r>
      <w:r w:rsidR="00FD1311" w:rsidRPr="00F227EE">
        <w:t xml:space="preserve">σημειώνει με ανησυχία ότι η παρατήρηση του Ελεγκτικού Συνεδρίου σχετικά με τη νομιμότητα και κανονικότητα των επιχορηγήσεων του Ινστιτούτου επαληθεύτηκε εκ των υστέρων από ανεξάρτητο εξωτερικό ελεγκτή, δεδομένου ότι το ποσοστό σφάλματος το 2021 ήταν 1,73 % (σε σύγκριση με 0,66 % το 2020) και επισημαίνει ότι, παρόλο που το ποσοστό σφάλματος εξακολουθεί να είναι κάτω από το επίπεδο σημαντικότητας του 2 %, οι κρίσιμοι κίνδυνοι που απορρέουν από την αύξηση του προϋπολογισμού, τη διεύρυνση της εντολής και την αύξηση των δραστηριοτήτων στο </w:t>
      </w:r>
      <w:r w:rsidR="00FD1311" w:rsidRPr="00F227EE">
        <w:lastRenderedPageBreak/>
        <w:t>πλαίσιο του προγράμματος «</w:t>
      </w:r>
      <w:proofErr w:type="spellStart"/>
      <w:r w:rsidR="00FD1311" w:rsidRPr="00F227EE">
        <w:t>Ορίζων</w:t>
      </w:r>
      <w:proofErr w:type="spellEnd"/>
      <w:r w:rsidR="00FD1311" w:rsidRPr="00F227EE">
        <w:t xml:space="preserve"> Ευρώπη», σε συνδυασμό με την αύξηση του αριθμού των κοινοτήτων γνώσης και καινοτομίας (ΚΓΚ), ενδέχεται να περιορίσουν την ικανότητα του Ινστιτούτου να εποπτεύει και να παρακολουθεί αποτελεσματικά τις ΚΓΚ, με πιθανό αποτέλεσμα να υπάρχουν υψηλότερα ποσοστά σφάλματος και να μην εντοπίζονται όλες οι παρατυπίες στο μέλλον· καλεί το Ινστιτούτο να λάβει συγκεκριμένα μέτρα για τη μείωση του ποσοστού σφάλματος·</w:t>
      </w:r>
    </w:p>
    <w:p w:rsidR="00FD1311" w:rsidRPr="00B81B17" w:rsidRDefault="00B81B17" w:rsidP="00B81B17">
      <w:pPr>
        <w:spacing w:after="240"/>
        <w:ind w:left="567" w:hanging="573"/>
        <w:rPr>
          <w:szCs w:val="24"/>
        </w:rPr>
      </w:pPr>
      <w:r w:rsidRPr="00D26050">
        <w:rPr>
          <w:szCs w:val="24"/>
        </w:rPr>
        <w:t>4.</w:t>
      </w:r>
      <w:r w:rsidRPr="00D26050">
        <w:rPr>
          <w:szCs w:val="24"/>
        </w:rPr>
        <w:tab/>
      </w:r>
      <w:r w:rsidR="00FD1311" w:rsidRPr="00F227EE">
        <w:t>παρατηρεί, με βάση την έκθεση του Ελεγκτικού Συνεδρίου, ότι το 2022 το Ινστιτούτο κατέβαλε τόκους υπερημερίας σε σχέση με επιχορηγήσεις σε δύο περιπτώσεις συνολικού ύψους 32 070 EUR· σημειώνει με ανησυχία ότι, σε αμφότερες τις περιπτώσεις, το Ινστιτούτο δεν παρακολούθησε επαρκώς τις κανονιστικές προθεσμίες, γεγονός που καταδεικνύει αδυναμία στη ροή εργασιών του Ινστιτούτου όσον αφορά τις πληρωμές·</w:t>
      </w:r>
      <w:r w:rsidR="00FD1311" w:rsidRPr="00B81B17">
        <w:rPr>
          <w:rFonts w:ascii="Calibri" w:hAnsi="Calibri"/>
          <w:color w:val="000000"/>
          <w:sz w:val="22"/>
        </w:rPr>
        <w:t xml:space="preserve"> </w:t>
      </w:r>
      <w:r w:rsidR="00FD1311" w:rsidRPr="00F227EE">
        <w:t>σημειώνει ότι, σύμφωνα με την απάντησή του στην παρατήρηση του Ελεγκτικού Συνεδρίου, μετά το 2023, το Ινστιτούτο επανεξέτασε τις διαδικασίες διαχείρισης επιχορηγήσεων που εφαρμόζει, εκπαίδευσε το αρμόδιο προσωπικό και χρησιμοποιεί το πληροφοριακό σύστημα διαχείρισης επιχορηγήσεων της Επιτροπής (</w:t>
      </w:r>
      <w:proofErr w:type="spellStart"/>
      <w:r w:rsidR="00FD1311" w:rsidRPr="00F227EE">
        <w:t>eGrants</w:t>
      </w:r>
      <w:proofErr w:type="spellEnd"/>
      <w:r w:rsidR="00FD1311" w:rsidRPr="00F227EE">
        <w:t>), μειώνοντας έτσι σημαντικά την πιθανότητα εμφάνισης παρόμοιου σφάλματος στο μέλλον·</w:t>
      </w:r>
    </w:p>
    <w:p w:rsidR="00FD1311" w:rsidRPr="00F227EE" w:rsidRDefault="00FD1311" w:rsidP="00FD1311">
      <w:pPr>
        <w:spacing w:after="240"/>
        <w:ind w:left="567" w:hanging="567"/>
        <w:rPr>
          <w:b/>
          <w:i/>
          <w:szCs w:val="24"/>
        </w:rPr>
      </w:pPr>
      <w:r w:rsidRPr="00F227EE">
        <w:rPr>
          <w:b/>
          <w:i/>
        </w:rPr>
        <w:t>Επιδόσεις</w:t>
      </w:r>
    </w:p>
    <w:p w:rsidR="00FD1311" w:rsidRPr="00B81B17" w:rsidRDefault="00B81B17" w:rsidP="00B81B17">
      <w:pPr>
        <w:autoSpaceDE w:val="0"/>
        <w:autoSpaceDN w:val="0"/>
        <w:adjustRightInd w:val="0"/>
        <w:spacing w:after="240"/>
        <w:ind w:left="567" w:hanging="573"/>
        <w:rPr>
          <w:szCs w:val="24"/>
        </w:rPr>
      </w:pPr>
      <w:r w:rsidRPr="00D26050">
        <w:rPr>
          <w:szCs w:val="24"/>
        </w:rPr>
        <w:t>5.</w:t>
      </w:r>
      <w:r w:rsidRPr="00D26050">
        <w:rPr>
          <w:szCs w:val="24"/>
        </w:rPr>
        <w:tab/>
      </w:r>
      <w:r w:rsidR="00FD1311" w:rsidRPr="00F227EE">
        <w:t>σημειώνει με ικανοποίηση ότι το Ινστιτούτο χρησιμοποιεί σύστημα βασικών δεικτών επιδόσεων (ΒΔΕ) σε σχέση με τις επιχειρησιακές δραστηριότητες, τη διακυβέρνηση και την εταιρική επικοινωνία· σημειώνει περαιτέρω ότι το Ινστιτούτο υλοποίησε με ορισμένες καθυστερήσεις περίπου το 95 % του προγράμματος εργασίας του για το 2022· σημειώνει ότι, στο πλαίσιο του νέου ευρωπαϊκού θεματολογίου καινοτομίας, το Ινστιτούτο επιφορτίστηκε με νέες δραστηριότητες, οι οποίες δεν περιλαμβάνονταν στο αρχικό σχέδιο και ότι δεν διατέθηκαν πρόσθετοι πόροι για την υλοποίηση αυτών των δραστηριοτήτων·</w:t>
      </w:r>
    </w:p>
    <w:p w:rsidR="00FD1311" w:rsidRPr="00B81B17" w:rsidRDefault="00B81B17" w:rsidP="00B81B17">
      <w:pPr>
        <w:autoSpaceDE w:val="0"/>
        <w:autoSpaceDN w:val="0"/>
        <w:adjustRightInd w:val="0"/>
        <w:spacing w:after="240"/>
        <w:ind w:left="567" w:hanging="573"/>
        <w:rPr>
          <w:szCs w:val="24"/>
        </w:rPr>
      </w:pPr>
      <w:r w:rsidRPr="00D26050">
        <w:rPr>
          <w:szCs w:val="24"/>
        </w:rPr>
        <w:t>6.</w:t>
      </w:r>
      <w:r w:rsidRPr="00D26050">
        <w:rPr>
          <w:szCs w:val="24"/>
        </w:rPr>
        <w:tab/>
      </w:r>
      <w:r w:rsidR="00FD1311" w:rsidRPr="00F227EE">
        <w:t>εκφράζει την ικανοποίησή του για το γεγονός ότι το Ινστιτούτο συνέχισε να αυξάνει τον αντίκτυπό του κατά τη διάρκεια του 2022, καθιστώντας δυνατή την διάθεση σχεδόν 1 670 καινοτόμων προϊόντων και υπηρεσιών, προσφέροντας κατάρτιση σε χιλιάδες επιχειρηματίες και στηρίζοντας 5 600 νεοφυείς και επεκτεινόμενες επιχειρήσεις που προσέλκυσαν σχεδόν 6 δισεκατομμύρια EUR σε επενδύσεις· σημειώνει περαιτέρω ότι το Ινστιτούτο ολοκλήρωσε την ένταξή του στο πρόγραμμα «</w:t>
      </w:r>
      <w:proofErr w:type="spellStart"/>
      <w:r w:rsidR="00FD1311" w:rsidRPr="00F227EE">
        <w:t>Ορίζων</w:t>
      </w:r>
      <w:proofErr w:type="spellEnd"/>
      <w:r w:rsidR="00FD1311" w:rsidRPr="00F227EE">
        <w:t xml:space="preserve"> Ευρώπη» με τη μετάβασή του σε ένα πολυετές μοντέλο χρηματοδότησης·</w:t>
      </w:r>
    </w:p>
    <w:p w:rsidR="00FD1311" w:rsidRPr="00B81B17" w:rsidRDefault="00B81B17" w:rsidP="00B81B17">
      <w:pPr>
        <w:autoSpaceDE w:val="0"/>
        <w:autoSpaceDN w:val="0"/>
        <w:adjustRightInd w:val="0"/>
        <w:spacing w:after="240"/>
        <w:ind w:left="567" w:hanging="573"/>
        <w:rPr>
          <w:szCs w:val="24"/>
        </w:rPr>
      </w:pPr>
      <w:r w:rsidRPr="00D26050">
        <w:rPr>
          <w:szCs w:val="24"/>
        </w:rPr>
        <w:t>7.</w:t>
      </w:r>
      <w:r w:rsidRPr="00D26050">
        <w:rPr>
          <w:szCs w:val="24"/>
        </w:rPr>
        <w:tab/>
      </w:r>
      <w:r w:rsidR="00FD1311" w:rsidRPr="00F227EE">
        <w:t xml:space="preserve">παρατηρεί ότι το Ινστιτούτο έχει σημειώσει πρόοδο στην εφαρμογή της πιλοτικής πρωτοβουλίας «Ανάπτυξη ικανοτήτων καινοτομίας για την τριτοβάθμια εκπαίδευση» που δρομολογήθηκε το 2021, αυξάνοντας το ενδιαφέρον και τη συμμετοχή ιδρυμάτων τριτοβάθμιας εκπαίδευσης· σημειώνει ότι το Ινστιτούτο έχει επισημανθεί ως ένας από τους βασικούς </w:t>
      </w:r>
      <w:proofErr w:type="spellStart"/>
      <w:r w:rsidR="00FD1311" w:rsidRPr="00F227EE">
        <w:t>συνεισφέροντες</w:t>
      </w:r>
      <w:proofErr w:type="spellEnd"/>
      <w:r w:rsidR="00FD1311" w:rsidRPr="00F227EE">
        <w:t xml:space="preserve"> και παράγοντες του ευρωπαϊκού οικοσυστήματος καινοτομίας, με τη δρομολόγηση της πρωτοβουλίας του για τα ταλέντα στον τομέα της </w:t>
      </w:r>
      <w:proofErr w:type="spellStart"/>
      <w:r w:rsidR="00FD1311" w:rsidRPr="00F227EE">
        <w:t>υπερπροηγμένης</w:t>
      </w:r>
      <w:proofErr w:type="spellEnd"/>
      <w:r w:rsidR="00FD1311" w:rsidRPr="00F227EE">
        <w:t xml:space="preserve"> τεχνολογίας, η οποία αποσκοπεί στην απόκτηση δεξιοτήτων, την </w:t>
      </w:r>
      <w:proofErr w:type="spellStart"/>
      <w:r w:rsidR="00FD1311" w:rsidRPr="00F227EE">
        <w:t>επανειδίκευση</w:t>
      </w:r>
      <w:proofErr w:type="spellEnd"/>
      <w:r w:rsidR="00FD1311" w:rsidRPr="00F227EE">
        <w:t xml:space="preserve"> και την αναβάθμιση των δεξιοτήτων τουλάχιστον 1 εκατομμυρίων ταλέντων κατά την επόμενη τριετία·</w:t>
      </w:r>
    </w:p>
    <w:p w:rsidR="00FD1311" w:rsidRPr="00B81B17" w:rsidRDefault="00B81B17" w:rsidP="00B81B17">
      <w:pPr>
        <w:autoSpaceDE w:val="0"/>
        <w:autoSpaceDN w:val="0"/>
        <w:adjustRightInd w:val="0"/>
        <w:spacing w:after="240"/>
        <w:ind w:left="567" w:hanging="573"/>
        <w:rPr>
          <w:szCs w:val="24"/>
        </w:rPr>
      </w:pPr>
      <w:r w:rsidRPr="00D26050">
        <w:rPr>
          <w:szCs w:val="24"/>
        </w:rPr>
        <w:t>8.</w:t>
      </w:r>
      <w:r w:rsidRPr="00D26050">
        <w:rPr>
          <w:szCs w:val="24"/>
        </w:rPr>
        <w:tab/>
      </w:r>
      <w:r w:rsidR="00FD1311" w:rsidRPr="00F227EE">
        <w:t>εκφράζει την ικανοποίησή του για το γεγονός ότι το Ινστιτούτο στήριξε τον λαό της Ουκρανίας μετά την παράνομη και απρόκλητη εισβολή της Ρωσίας τον Φεβρουάριο του 2022, παρέχοντας βοήθεια σε φοιτητές, επιχειρηματίες, ερευνητές και ιδρύματα τριτοβάθμιας εκπαίδευσης και επιχειρήσεις· σημειώνει περαιτέρω ότι το Ινστιτούτο δρομολόγησε την ακαδημία της ευρωπαϊκής συμμαχίας για τους συσσωρευτές στο πλαίσιο του προγράμματος «Συνδρομή στην Ανάκαμψη για τη Συνοχή και τις Περιοχές της Ευρώπης», η οποία είναι η πρώτη περίπτωση σημαντικής διάθεσης κονδυλίων από άλλο πρόγραμμα στο Ινστιτούτο·</w:t>
      </w:r>
    </w:p>
    <w:p w:rsidR="00FD1311" w:rsidRPr="00F227EE" w:rsidRDefault="00FD1311" w:rsidP="00FD1311">
      <w:pPr>
        <w:autoSpaceDE w:val="0"/>
        <w:autoSpaceDN w:val="0"/>
        <w:adjustRightInd w:val="0"/>
        <w:spacing w:after="240"/>
        <w:ind w:left="567" w:hanging="567"/>
        <w:rPr>
          <w:b/>
          <w:i/>
          <w:szCs w:val="24"/>
        </w:rPr>
      </w:pPr>
      <w:r w:rsidRPr="00F227EE">
        <w:rPr>
          <w:b/>
          <w:i/>
        </w:rPr>
        <w:t>Αποδοτικότητα και οφέλη</w:t>
      </w:r>
    </w:p>
    <w:p w:rsidR="00FD1311" w:rsidRPr="00B81B17" w:rsidRDefault="00B81B17" w:rsidP="00B81B17">
      <w:pPr>
        <w:autoSpaceDE w:val="0"/>
        <w:autoSpaceDN w:val="0"/>
        <w:adjustRightInd w:val="0"/>
        <w:spacing w:after="240"/>
        <w:ind w:left="567" w:hanging="573"/>
        <w:rPr>
          <w:szCs w:val="24"/>
        </w:rPr>
      </w:pPr>
      <w:r w:rsidRPr="00D26050">
        <w:rPr>
          <w:szCs w:val="24"/>
        </w:rPr>
        <w:t>9.</w:t>
      </w:r>
      <w:r w:rsidRPr="00D26050">
        <w:rPr>
          <w:szCs w:val="24"/>
        </w:rPr>
        <w:tab/>
      </w:r>
      <w:r w:rsidR="00FD1311" w:rsidRPr="00F227EE">
        <w:t>σημειώνει ότι το Ινστιτούτο έχει υπογράψει μνημόνιο συνεννόησης με τον Οργανισμό της Ευρωπαϊκής Ένωσης για την Κατάρτιση στον Τομέα της Επιβολής του Νόμου, το οποίο καλύπτει διάφορες κοινές δραστηριότητες και αξιολογήσεις ασφάλειας· υπενθυμίζει ότι με τις κοινές δραστηριότητες συνδυάζονται διαφορετικές θεωρήσεις, μειώνεται η αλληλεπικάλυψη προσπαθειών και ενισχύονται η μάθηση και οι σχέσεις μεταξύ των συμμετεχόντων· σημειώνει περαιτέρω ότι το Ινστιτούτο, προκειμένου να βελτιώσει την αποδοτικότητά του, άρχισε να υλοποιεί τη μετάβασή του από το πρόγραμμα «</w:t>
      </w:r>
      <w:proofErr w:type="spellStart"/>
      <w:r w:rsidR="00FD1311" w:rsidRPr="00F227EE">
        <w:t>Ορίζων</w:t>
      </w:r>
      <w:proofErr w:type="spellEnd"/>
      <w:r w:rsidR="00FD1311" w:rsidRPr="00F227EE">
        <w:t xml:space="preserve"> 2020» στο πρόγραμμα «</w:t>
      </w:r>
      <w:proofErr w:type="spellStart"/>
      <w:r w:rsidR="00FD1311" w:rsidRPr="00F227EE">
        <w:t>Ορίζων</w:t>
      </w:r>
      <w:proofErr w:type="spellEnd"/>
      <w:r w:rsidR="00FD1311" w:rsidRPr="00F227EE">
        <w:t xml:space="preserve"> Ευρώπη» το 2021, η οποία ολοκληρώθηκε το 2022 σε συνεργασία με την Ευρωπαϊκή Επιτροπή·</w:t>
      </w:r>
    </w:p>
    <w:p w:rsidR="00FD1311" w:rsidRPr="00B81B17" w:rsidRDefault="00B81B17" w:rsidP="00B81B17">
      <w:pPr>
        <w:autoSpaceDE w:val="0"/>
        <w:autoSpaceDN w:val="0"/>
        <w:adjustRightInd w:val="0"/>
        <w:spacing w:after="240"/>
        <w:ind w:left="567" w:hanging="573"/>
        <w:rPr>
          <w:szCs w:val="24"/>
        </w:rPr>
      </w:pPr>
      <w:r w:rsidRPr="00D26050">
        <w:rPr>
          <w:szCs w:val="24"/>
        </w:rPr>
        <w:t>10.</w:t>
      </w:r>
      <w:r w:rsidRPr="00D26050">
        <w:rPr>
          <w:szCs w:val="24"/>
        </w:rPr>
        <w:tab/>
      </w:r>
      <w:r w:rsidR="00FD1311" w:rsidRPr="00F227EE">
        <w:t>παρατηρεί ότι το Ινστιτούτο έχει εγκρίνει μια σειρά επανεξετάσεων της αποτελεσματικότητας των διαδικασιών, με αποτέλεσμα, μεταξύ άλλων, την προσαρμογή των περιγραφών καθηκόντων, των στόχων του προσωπικού και της κατανομής καθηκόντων και πόρων· σημειώνει ότι το Ινστιτούτο εφάρμοσε το 2022 διαδικασία αναδιάρθρωσης και ενέκρινε έγγραφο σχετικά με τις μεθόδους εργασίας, μεταξύ άλλων ζητημάτων, με σκοπό την αύξηση της αποτελεσματικότητας, για παράδειγμα όσον αφορά τη χρήση του ηλεκτρονικού ταχυδρομείου, των συνεδριάσεων και της τηλεργασίας·</w:t>
      </w:r>
    </w:p>
    <w:p w:rsidR="00FD1311" w:rsidRPr="00B81B17" w:rsidRDefault="00B81B17" w:rsidP="00B81B17">
      <w:pPr>
        <w:autoSpaceDE w:val="0"/>
        <w:autoSpaceDN w:val="0"/>
        <w:adjustRightInd w:val="0"/>
        <w:spacing w:after="240"/>
        <w:ind w:left="567" w:hanging="573"/>
        <w:rPr>
          <w:szCs w:val="24"/>
        </w:rPr>
      </w:pPr>
      <w:r w:rsidRPr="00D26050">
        <w:rPr>
          <w:szCs w:val="24"/>
        </w:rPr>
        <w:t>11.</w:t>
      </w:r>
      <w:r w:rsidRPr="00D26050">
        <w:rPr>
          <w:szCs w:val="24"/>
        </w:rPr>
        <w:tab/>
      </w:r>
      <w:r w:rsidR="00FD1311" w:rsidRPr="00F227EE">
        <w:t>εκφράζει την ικανοποίησή του για το γεγονός ότι το 2022 δρομολογήθηκαν νέα εργαλεία ΤΠ για τη στήριξη των διοικητικών λειτουργιών του Ινστιτούτου με απώτερο στόχο την αύξηση της επιχειρησιακής αποδοτικότητας και αποτελεσματικότητας της οργάνωσης, συμπεριλαμβανομένων του εργαλείου για τη διαχείριση των δημόσιων συμβάσεων PPMT, του Q-</w:t>
      </w:r>
      <w:proofErr w:type="spellStart"/>
      <w:r w:rsidR="00FD1311" w:rsidRPr="00F227EE">
        <w:t>Sign</w:t>
      </w:r>
      <w:proofErr w:type="spellEnd"/>
      <w:r w:rsidR="00FD1311" w:rsidRPr="00F227EE">
        <w:t xml:space="preserve"> (ηλεκτρονική υπογραφή), και της εισαγωγής διαφόρων ενοτήτων του πληροφορικού συστήματος διοίκησης ανθρώπινου δυναμικού της Ευρωπαϊκής Επιτροπής (SYSPER)· καλεί το Ινστιτούτο να εντοπίσει περισσότερες εσωτερικές διαδικασίες που θα μπορούσαν να </w:t>
      </w:r>
      <w:proofErr w:type="spellStart"/>
      <w:r w:rsidR="00FD1311" w:rsidRPr="00F227EE">
        <w:t>εξορθολογιστούν</w:t>
      </w:r>
      <w:proofErr w:type="spellEnd"/>
      <w:r w:rsidR="00FD1311" w:rsidRPr="00F227EE">
        <w:t xml:space="preserve"> μέσω νέων εργαλείων ΤΠ·</w:t>
      </w:r>
    </w:p>
    <w:p w:rsidR="00FD1311" w:rsidRPr="00F227EE" w:rsidRDefault="00B81B17" w:rsidP="00B81B17">
      <w:pPr>
        <w:pStyle w:val="NormalHanging12a"/>
        <w:ind w:hanging="573"/>
      </w:pPr>
      <w:r w:rsidRPr="00F227EE">
        <w:t>12.</w:t>
      </w:r>
      <w:r w:rsidRPr="00F227EE">
        <w:tab/>
      </w:r>
      <w:r w:rsidR="00FD1311" w:rsidRPr="00F227EE">
        <w:t xml:space="preserve">υπενθυμίζει ότι είναι σημαντικό να αυξηθεί η ψηφιοποίηση του Ινστιτούτου όσον αφορά την εσωτερική λειτουργία και διαχείριση, αλλά και προκειμένου να επιταχυνθεί η ψηφιοποίηση των διαδικασιών· τονίζει την ανάγκη να συνεχίσει το Ινστιτούτο να είναι προορατικό εν προκειμένω, για να αποφευχθεί το ψηφιακό χάσμα μεταξύ των οργανισμών· </w:t>
      </w:r>
      <w:proofErr w:type="spellStart"/>
      <w:r w:rsidR="00FD1311" w:rsidRPr="00F227EE">
        <w:t>εφιστά</w:t>
      </w:r>
      <w:proofErr w:type="spellEnd"/>
      <w:r w:rsidR="00FD1311" w:rsidRPr="00F227EE">
        <w:t>, ωστόσο, την προσοχή στην ανάγκη να ληφθούν όλα τα αναγκαία μέτρα ασφαλείας ώστε να αποφευχθεί κάθε κίνδυνος για τη διαδικτυακή ασφάλεια των πληροφοριών που υποβάλλονται σε επεξεργασία και επιμένει ότι είναι αναγκαίο να ενισχυθεί η αντιμετώπιση κυβερνοεπιθέσεων ή αποπειρών διείσδυσης που προέρχονται ιδιαίτερα από τη Ρωσία ή την Κίνα·</w:t>
      </w:r>
    </w:p>
    <w:p w:rsidR="00FD1311" w:rsidRPr="00F227EE" w:rsidRDefault="00FD1311" w:rsidP="00FD1311">
      <w:pPr>
        <w:spacing w:after="240"/>
        <w:ind w:left="567" w:hanging="567"/>
        <w:rPr>
          <w:szCs w:val="24"/>
        </w:rPr>
      </w:pPr>
      <w:r w:rsidRPr="00F227EE">
        <w:rPr>
          <w:b/>
          <w:i/>
        </w:rPr>
        <w:t>Πολιτική προσωπικού</w:t>
      </w:r>
    </w:p>
    <w:p w:rsidR="00FD1311" w:rsidRPr="00B81B17" w:rsidRDefault="00B81B17" w:rsidP="00B81B17">
      <w:pPr>
        <w:autoSpaceDE w:val="0"/>
        <w:autoSpaceDN w:val="0"/>
        <w:adjustRightInd w:val="0"/>
        <w:spacing w:after="240"/>
        <w:ind w:left="567" w:hanging="573"/>
        <w:rPr>
          <w:szCs w:val="24"/>
        </w:rPr>
      </w:pPr>
      <w:r w:rsidRPr="00D26050">
        <w:rPr>
          <w:szCs w:val="24"/>
        </w:rPr>
        <w:t>13.</w:t>
      </w:r>
      <w:r w:rsidRPr="00D26050">
        <w:rPr>
          <w:szCs w:val="24"/>
        </w:rPr>
        <w:tab/>
      </w:r>
      <w:r w:rsidR="00FD1311" w:rsidRPr="00F227EE">
        <w:t>σημειώνει ότι, στις 31 Δεκεμβρίου 2022, το ποσοστό εκτέλεσης του πίνακα προσωπικού ήταν 93 % και ότι καλύπτονταν οι 40 από τις 45 θέσεις έκτακτων υπαλλήλων που είχαν εγκριθεί στο πλαίσιο του προϋπολογισμού της Ένωσης (ο ίδιος αριθμός εγκεκριμένων θέσεων με το 2021)· σημειώνει ότι, επιπλέον, 25 συμβασιούχοι υπάλληλοι, 10 προσωρινοί υπάλληλοι και ένας αποσπασμένος εθνικός εμπειρογνώμονας εργάστηκαν για το Ινστιτούτο το 2022·</w:t>
      </w:r>
    </w:p>
    <w:p w:rsidR="00FD1311" w:rsidRPr="00B81B17" w:rsidRDefault="00B81B17" w:rsidP="00B81B17">
      <w:pPr>
        <w:autoSpaceDE w:val="0"/>
        <w:autoSpaceDN w:val="0"/>
        <w:adjustRightInd w:val="0"/>
        <w:spacing w:after="240"/>
        <w:ind w:left="567" w:hanging="573"/>
        <w:rPr>
          <w:bCs/>
          <w:szCs w:val="24"/>
        </w:rPr>
      </w:pPr>
      <w:r w:rsidRPr="00D26050">
        <w:rPr>
          <w:bCs/>
          <w:szCs w:val="24"/>
        </w:rPr>
        <w:t>14.</w:t>
      </w:r>
      <w:r w:rsidRPr="00D26050">
        <w:rPr>
          <w:bCs/>
          <w:szCs w:val="24"/>
        </w:rPr>
        <w:tab/>
      </w:r>
      <w:r w:rsidR="00FD1311" w:rsidRPr="00F227EE">
        <w:t xml:space="preserve">εκφράζει την ανησυχία του για το γεγονός ότι η συνεχής </w:t>
      </w:r>
      <w:proofErr w:type="spellStart"/>
      <w:r w:rsidR="00FD1311" w:rsidRPr="00F227EE">
        <w:t>υποστελέχωση</w:t>
      </w:r>
      <w:proofErr w:type="spellEnd"/>
      <w:r w:rsidR="00FD1311" w:rsidRPr="00F227EE">
        <w:t xml:space="preserve"> του Ινστιτούτου, όπως επισημαίνεται από το Ελεγκτικό Συνέδριο στις ετήσιες εκθέσεις του, δεν αντιμετωπίστηκε με τη δημιουργία πρόσθετων θέσεων· επισημαίνει ότι το Ινστιτούτο επανέλαβε το αίτημά του στις αρχές του 2023 για έγκριση των 10 πρόσθετων θέσεων προσωπικού που θα του επιτρέψουν να υλοποιήσει το πρόγραμμα εργασίας του για το 2024· </w:t>
      </w:r>
      <w:proofErr w:type="spellStart"/>
      <w:r w:rsidR="00FD1311" w:rsidRPr="00F227EE">
        <w:t>εφιστά</w:t>
      </w:r>
      <w:proofErr w:type="spellEnd"/>
      <w:r w:rsidR="00FD1311" w:rsidRPr="00F227EE">
        <w:t xml:space="preserve"> την προσοχή στην ανάγκη να ευθυγραμμιστούν οι πόροι του Ινστιτούτου με τις νέες προσδοκίες της εντολής·</w:t>
      </w:r>
    </w:p>
    <w:p w:rsidR="00FD1311" w:rsidRPr="00B81B17" w:rsidRDefault="00B81B17" w:rsidP="00B81B17">
      <w:pPr>
        <w:autoSpaceDE w:val="0"/>
        <w:autoSpaceDN w:val="0"/>
        <w:adjustRightInd w:val="0"/>
        <w:spacing w:after="240"/>
        <w:ind w:left="567" w:hanging="573"/>
        <w:rPr>
          <w:szCs w:val="24"/>
        </w:rPr>
      </w:pPr>
      <w:r w:rsidRPr="00D26050">
        <w:rPr>
          <w:szCs w:val="24"/>
        </w:rPr>
        <w:t>15.</w:t>
      </w:r>
      <w:r w:rsidRPr="00D26050">
        <w:rPr>
          <w:szCs w:val="24"/>
        </w:rPr>
        <w:tab/>
      </w:r>
      <w:r w:rsidR="00FD1311" w:rsidRPr="00F227EE">
        <w:t>σημειώνει την κατανομή των φύλων μεταξύ των ανώτερων και μεσαίων διοικητικών στελεχών του Ινστιτούτου, όπου 5 από τους 8 υπαλλήλους είναι άνδρες· εκφράζει την ανησυχία του για την ισόρροπη εκπροσώπηση των φύλων στο διοικητικό συμβούλιο, όπου 9 από τους 14 υπαλλήλους είναι άνδρες· σημειώνει την κατανομή των φύλων στο συνολικό προσωπικό του Ινστιτούτου, όπου 28 από τους 65 υπαλλήλους είναι άνδρες· παρατηρεί ότι η πολιτική και το σχέδιο δράσης του Ινστιτούτου για την ισότητα των φύλων εγκρίθηκαν το 2022· υπενθυμίζει ότι είναι σημαντικό να διασφαλιστεί η ισόρροπη εκπροσώπηση των φύλων, και καλεί το Ινστιτούτο να λάβει υπόψη του την πτυχή αυτή στο πλαίσιο των μελλοντικών προσλήψεων προσωπικού και των διορισμών σε ανώτερες και μεσαίες διευθυντικές θέσεις· ζητεί από την Επιτροπή να λάβει υπόψη τη σημασία που έχει η εξασφάλιση της ισόρροπης εκπροσώπησης των φύλων κατά τον διορισμό των μελών του διοικητικού συμβουλίου του Ινστιτούτου·</w:t>
      </w:r>
    </w:p>
    <w:p w:rsidR="00FD1311" w:rsidRPr="00F227EE" w:rsidRDefault="00B81B17" w:rsidP="00B81B17">
      <w:pPr>
        <w:pStyle w:val="NormalHanging12a"/>
        <w:ind w:hanging="573"/>
      </w:pPr>
      <w:r w:rsidRPr="00F227EE">
        <w:t>16.</w:t>
      </w:r>
      <w:r w:rsidRPr="00F227EE">
        <w:tab/>
      </w:r>
      <w:r w:rsidR="00FD1311" w:rsidRPr="00F227EE">
        <w:t>εκφράζει ανησυχίες σχετικά με τη γεωγραφική ισορροπία στις ανώτερες και μεσαίες διοικητικές θέσεις του Ινστιτούτου, καθώς μόνο ένα μέλος του διοικητικού προσωπικού προέρχεται από την κεντρική και ανατολική Ευρώπη· επιμένει ότι πρέπει να γίνουν βελτιώσεις· ζητεί από το Ινστιτούτο να υποβάλει σχετική έκθεση στην αρμόδια για την απαλλαγή αρχή·</w:t>
      </w:r>
    </w:p>
    <w:p w:rsidR="00FD1311" w:rsidRPr="00B81B17" w:rsidRDefault="00B81B17" w:rsidP="00B81B17">
      <w:pPr>
        <w:autoSpaceDE w:val="0"/>
        <w:autoSpaceDN w:val="0"/>
        <w:adjustRightInd w:val="0"/>
        <w:spacing w:after="240"/>
        <w:ind w:left="567" w:hanging="573"/>
        <w:rPr>
          <w:szCs w:val="24"/>
        </w:rPr>
      </w:pPr>
      <w:r w:rsidRPr="00D26050">
        <w:rPr>
          <w:szCs w:val="24"/>
        </w:rPr>
        <w:t>17.</w:t>
      </w:r>
      <w:r w:rsidRPr="00D26050">
        <w:rPr>
          <w:szCs w:val="24"/>
        </w:rPr>
        <w:tab/>
      </w:r>
      <w:r w:rsidR="00FD1311" w:rsidRPr="00F227EE">
        <w:t xml:space="preserve">χαιρετίζει τις πρωτοβουλίες του Ινστιτούτου για την ενίσχυση της σημασίας της ισόρροπης εκπροσώπησης των φύλων, όπως το πρόγραμμα </w:t>
      </w:r>
      <w:proofErr w:type="spellStart"/>
      <w:r w:rsidR="00FD1311" w:rsidRPr="00F227EE">
        <w:t>Girls</w:t>
      </w:r>
      <w:proofErr w:type="spellEnd"/>
      <w:r w:rsidR="00FD1311" w:rsidRPr="00F227EE">
        <w:t xml:space="preserve"> </w:t>
      </w:r>
      <w:proofErr w:type="spellStart"/>
      <w:r w:rsidR="00FD1311" w:rsidRPr="00F227EE">
        <w:t>Go</w:t>
      </w:r>
      <w:proofErr w:type="spellEnd"/>
      <w:r w:rsidR="00FD1311" w:rsidRPr="00F227EE">
        <w:t xml:space="preserve"> </w:t>
      </w:r>
      <w:proofErr w:type="spellStart"/>
      <w:r w:rsidR="00FD1311" w:rsidRPr="00F227EE">
        <w:t>Circular</w:t>
      </w:r>
      <w:proofErr w:type="spellEnd"/>
      <w:r w:rsidR="00FD1311" w:rsidRPr="00F227EE">
        <w:t xml:space="preserve">, σε σχολικό επίπεδο, και το πρόγραμμα </w:t>
      </w:r>
      <w:proofErr w:type="spellStart"/>
      <w:r w:rsidR="00FD1311" w:rsidRPr="00F227EE">
        <w:t>Supernovas</w:t>
      </w:r>
      <w:proofErr w:type="spellEnd"/>
      <w:r w:rsidR="00FD1311" w:rsidRPr="00F227EE">
        <w:t>, το οποίο προωθεί τη γυναικεία επιχειρηματικότητα και ηγεσία· σημειώνει, επιπλέον, ότι το Ινστιτούτο ενέκρινε τον Χάρτη του EUAN για τη διαφορετικότητα και την ένταξη το 2023, επιβεβαιώνοντας τη δέσμευσή του για διασφάλιση ίσων ευκαιριών σε κάθε στάδιο της σταδιοδρομίας και για ενίσχυση του εργασιακού περιβάλλοντος όπου η πολυμορφία θεωρείται πηγή καινοτομίας, εμπλουτισμού και δημιουργικότητας και όπου η ένταξη προωθείται από τα διευθυντικά στελέχη και όλους τους υπαλλήλους·</w:t>
      </w:r>
    </w:p>
    <w:p w:rsidR="00FD1311" w:rsidRPr="00B81B17" w:rsidRDefault="00B81B17" w:rsidP="00B81B17">
      <w:pPr>
        <w:autoSpaceDE w:val="0"/>
        <w:autoSpaceDN w:val="0"/>
        <w:adjustRightInd w:val="0"/>
        <w:spacing w:after="240"/>
        <w:ind w:left="567" w:hanging="573"/>
        <w:rPr>
          <w:szCs w:val="24"/>
        </w:rPr>
      </w:pPr>
      <w:r w:rsidRPr="00D26050">
        <w:rPr>
          <w:szCs w:val="24"/>
        </w:rPr>
        <w:t>18.</w:t>
      </w:r>
      <w:r w:rsidRPr="00D26050">
        <w:rPr>
          <w:szCs w:val="24"/>
        </w:rPr>
        <w:tab/>
      </w:r>
      <w:r w:rsidR="00FD1311" w:rsidRPr="00F227EE">
        <w:t>παρατηρεί ότι το Ινστιτούτο υλοποίησε το μεγαλύτερο μέρος των ενοτήτων SYSPER το 2022 και θα συνεχίσει αυτήν την προσπάθεια το 2023· σημειώνει ότι το Ινστιτούτο έχει εγκρίνει τον Χάρτη του Δικτύου των Οργανισμών της Ευρωπαϊκής Ένωσης για τη διαφορετικότητα και την ένταξη, δείχνοντας τη δέσμευσή του να διασφαλίσει ίσες ευκαιρίες και να ενισχύσει το εργασιακό περιβάλλον· σημειώνει περαιτέρω ότι το Ινστιτούτο έχει θεσπίσει μια σειρά μέτρων για τη βελτίωση της ευεξίας των υπαλλήλων του στην εργασία και της ισορροπίας εργασίας και προσωπικής ζωής, τα οποία καλύπτουν, μεταξύ άλλων, το κόστος των δημόσιων μεταφορών, την εγγραφή των παιδιών τους σε διεθνή νηπιαγωγεία και τις ευέλικτες και υβριδικές συνθήκες εργασίας·</w:t>
      </w:r>
    </w:p>
    <w:p w:rsidR="00FD1311" w:rsidRPr="00F227EE" w:rsidRDefault="00B81B17" w:rsidP="00B81B17">
      <w:pPr>
        <w:pStyle w:val="NormalHanging12a"/>
        <w:ind w:hanging="573"/>
      </w:pPr>
      <w:r w:rsidRPr="00F227EE">
        <w:t>19.</w:t>
      </w:r>
      <w:r w:rsidRPr="00F227EE">
        <w:tab/>
      </w:r>
      <w:r w:rsidR="00FD1311" w:rsidRPr="00F227EE">
        <w:t>σημειώνει ότι, στο πλαίσιο του προγράμματος του σχεδίου επιμόρφωσης, το οποίο αναπτύχθηκε για να καλύψει την ανάγκη του Ινστιτούτου και του προσωπικού του για βελτίωση των γενικών επιδόσεων, το Ινστιτούτο συνέχισε να παρέχει μαθήματα επιμόρφωσης στο προσωπικό του διαδικτυακά, μεταξύ άλλων σχετικά με τη δεοντολογία και την ακεραιότητα, την πρόληψη της παρενόχλησης, την προστασία των δεδομένων, την αποτελεσματικότητα των υβριδικών συνεδριάσεων, την ενημέρωση σε θέματα ασφάλειας ΤΠ και την κατάρτιση στον τομέα της ασφάλειας·</w:t>
      </w:r>
    </w:p>
    <w:p w:rsidR="00FD1311" w:rsidRPr="00F227EE" w:rsidRDefault="00B81B17" w:rsidP="00B81B17">
      <w:pPr>
        <w:pStyle w:val="NormalHanging12a"/>
        <w:ind w:hanging="573"/>
      </w:pPr>
      <w:r w:rsidRPr="00F227EE">
        <w:t>20.</w:t>
      </w:r>
      <w:r w:rsidRPr="00F227EE">
        <w:tab/>
      </w:r>
      <w:r w:rsidR="00FD1311" w:rsidRPr="00F227EE">
        <w:t>επικροτεί το γεγονός ότι, το 2022, δρομολογήθηκαν με επιτυχία δύο προσκλήσεις πρακτικής άσκησης· σημειώνει ότι, ως αποτέλεσμα, συνολικά 23 νέοι επαγγελματίες συμμετείχαν σε ευκαιρίες πρακτικής άσκησης στο Ινστιτούτο, είτε ξεκινώντας είτε ολοκληρώνοντας την πρακτική τους άσκηση το 2022·</w:t>
      </w:r>
    </w:p>
    <w:p w:rsidR="00FD1311" w:rsidRPr="00B81B17" w:rsidRDefault="00B81B17" w:rsidP="00B81B17">
      <w:pPr>
        <w:autoSpaceDE w:val="0"/>
        <w:autoSpaceDN w:val="0"/>
        <w:adjustRightInd w:val="0"/>
        <w:spacing w:after="240"/>
        <w:ind w:left="567" w:hanging="573"/>
        <w:rPr>
          <w:szCs w:val="24"/>
        </w:rPr>
      </w:pPr>
      <w:r w:rsidRPr="00D26050">
        <w:rPr>
          <w:szCs w:val="24"/>
        </w:rPr>
        <w:t>21.</w:t>
      </w:r>
      <w:r w:rsidRPr="00D26050">
        <w:rPr>
          <w:szCs w:val="24"/>
        </w:rPr>
        <w:tab/>
      </w:r>
      <w:r w:rsidR="00FD1311" w:rsidRPr="00F227EE">
        <w:t>σημειώνει ότι ένας πρώην Επίτροπος και ένας πρώην βουλευτής του Ευρωπαϊκού Κοινοβουλίου, ως μέλη του διοικητικού συμβουλίου, λαμβάνουν αμοιβές ύψους 2 000 EUR από τον προϋπολογισμό του Ινστιτούτου για κάθε συνεδρίαση του διοικητικού συμβουλίου στην οποία παρίστανται·</w:t>
      </w:r>
    </w:p>
    <w:p w:rsidR="00FD1311" w:rsidRPr="00F227EE" w:rsidRDefault="00B81B17" w:rsidP="00B81B17">
      <w:pPr>
        <w:pStyle w:val="NormalHanging12a"/>
        <w:ind w:hanging="573"/>
      </w:pPr>
      <w:r w:rsidRPr="00F227EE">
        <w:t>22.</w:t>
      </w:r>
      <w:r w:rsidRPr="00F227EE">
        <w:tab/>
      </w:r>
      <w:r w:rsidR="00FD1311" w:rsidRPr="00F227EE">
        <w:t>εκφράζει την ανησυχία του για το γεγονός ότι αναφέρθηκε μία υπόθεση παρενόχλησης το 2022 και ότι κινήθηκε διοικητική έρευνα η οποία βρίσκεται ακόμη σε εξέλιξη· καλεί το Ινστιτούτο να υποβάλει έκθεση στην αρμόδια για την απαλλαγή αρχή το συντομότερο δυνατόν σχετικά με τυχόν εξελίξεις στο θέμα αυτό· σημειώνει ότι το Ινστιτούτο εφαρμόζει πολιτική για την προστασία της αξιοπρέπειας του ατόμου και την πρόληψη της ψυχολογικής και σεξουαλικής παρενόχλησης, ενώ συμμετέχει επίσης στη διυπηρεσιακή ειδική ομάδα εμπιστευτικών συμβούλων· προσβλέπει στην παραλαβή της έκθεσης και των συστάσεών τους·</w:t>
      </w:r>
    </w:p>
    <w:p w:rsidR="00FD1311" w:rsidRPr="00F227EE" w:rsidRDefault="00FD1311" w:rsidP="00FD1311">
      <w:pPr>
        <w:spacing w:after="240"/>
        <w:ind w:left="567" w:hanging="567"/>
        <w:rPr>
          <w:b/>
          <w:i/>
          <w:szCs w:val="24"/>
        </w:rPr>
      </w:pPr>
      <w:r w:rsidRPr="00F227EE">
        <w:rPr>
          <w:b/>
          <w:i/>
        </w:rPr>
        <w:t>Πρόληψη και διαχείριση συγκρούσεων συμφερόντων και διαφάνεια</w:t>
      </w:r>
    </w:p>
    <w:p w:rsidR="00FD1311" w:rsidRPr="00B81B17" w:rsidRDefault="00B81B17" w:rsidP="00B81B17">
      <w:pPr>
        <w:spacing w:after="240"/>
        <w:ind w:left="567" w:hanging="573"/>
        <w:rPr>
          <w:szCs w:val="24"/>
        </w:rPr>
      </w:pPr>
      <w:r w:rsidRPr="00D26050">
        <w:rPr>
          <w:szCs w:val="24"/>
        </w:rPr>
        <w:t>23.</w:t>
      </w:r>
      <w:r w:rsidRPr="00D26050">
        <w:rPr>
          <w:szCs w:val="24"/>
        </w:rPr>
        <w:tab/>
      </w:r>
      <w:r w:rsidR="00FD1311" w:rsidRPr="00F227EE">
        <w:t>αναγνωρίζει τα μέτρα που ήδη εφαρμόζει και τις προσπάθειες που καταβάλλει διαρκώς το Ινστιτούτο για να διαφυλάξει τη διαφάνεια, την πρόληψη και τη διαχείριση των συγκρούσεων συμφερόντων, και να εξασφαλίσει την προστασία των μαρτύρων δημοσίου συμφέροντος· σημειώνει ότι το Ινστιτούτο δημοσίευσε στον ιστότοπό του τις δηλώσεις συμφερόντων και τα βιογραφικά σημειώματα των μελών του διοικητικού συμβουλίου και της διοικητικής ομάδας του·</w:t>
      </w:r>
      <w:r w:rsidR="00FD1311" w:rsidRPr="00B81B17">
        <w:rPr>
          <w:rFonts w:ascii="Calibri" w:hAnsi="Calibri"/>
          <w:color w:val="1F497D"/>
          <w:sz w:val="22"/>
        </w:rPr>
        <w:t xml:space="preserve"> </w:t>
      </w:r>
      <w:r w:rsidR="00FD1311" w:rsidRPr="00F227EE">
        <w:t>σημειώνει, επιπλέον, ότι το Ινστιτούτο δημοσιεύει στον ιστότοπό του πληροφορίες σχετικά με όλες τις συνεδριάσεις που πραγματοποιούνται από το διοικητικό συμβούλιο και τη διοικητική ομάδα του σε δημόσιες εκδηλώσεις και συνεδριάσεις σε μηνιαία βάση·</w:t>
      </w:r>
    </w:p>
    <w:p w:rsidR="00FD1311" w:rsidRPr="00B81B17" w:rsidRDefault="00B81B17" w:rsidP="00B81B17">
      <w:pPr>
        <w:spacing w:after="240"/>
        <w:ind w:left="567" w:hanging="573"/>
        <w:rPr>
          <w:szCs w:val="24"/>
        </w:rPr>
      </w:pPr>
      <w:r w:rsidRPr="00D26050">
        <w:rPr>
          <w:szCs w:val="24"/>
        </w:rPr>
        <w:t>24.</w:t>
      </w:r>
      <w:r w:rsidRPr="00D26050">
        <w:rPr>
          <w:szCs w:val="24"/>
        </w:rPr>
        <w:tab/>
      </w:r>
      <w:r w:rsidR="00FD1311" w:rsidRPr="00F227EE">
        <w:t>σημειώνει ότι το Ινστιτούτο έχει εγκρίνει πολιτική σχετικά με την πρόληψη και τη διαχείριση συγκρούσεων συμφερόντων για το προσωπικό, η οποία συμπεριλαμβάνει διαδικασίες για την έκδοση και αξιολόγηση των ετήσιων δηλώσεων συμφερόντων καθώς και διαδικασία που ρυθμίζει την παράβαση των κανόνων του Ινστιτούτου σχετικά με τη δήλωση συμφερόντων· σημειώνει περαιτέρω ότι το Ινστιτούτο έχει συγκροτήσει επιτροπή για τις συγκρούσεις συμφερόντων και την παροχή συμβουλών, έχει προβλέψει συνεδρίες ευαισθητοποίησης για το προσωπικό του με αντικείμενο τη δεοντολογία και την ακεραιότητα και επεξεργάζεται επί του παρόντος απόφαση σχετικά με τα υποδείγματα και τις διοικητικές διαδικασίες που αφορούν την σύγκρουση συμφερόντων·</w:t>
      </w:r>
    </w:p>
    <w:p w:rsidR="00FD1311" w:rsidRPr="00B81B17" w:rsidRDefault="00B81B17" w:rsidP="00B81B17">
      <w:pPr>
        <w:spacing w:after="240"/>
        <w:ind w:left="567" w:hanging="573"/>
        <w:rPr>
          <w:szCs w:val="24"/>
        </w:rPr>
      </w:pPr>
      <w:r w:rsidRPr="00D26050">
        <w:rPr>
          <w:szCs w:val="24"/>
        </w:rPr>
        <w:t>25.</w:t>
      </w:r>
      <w:r w:rsidRPr="00D26050">
        <w:rPr>
          <w:szCs w:val="24"/>
        </w:rPr>
        <w:tab/>
      </w:r>
      <w:r w:rsidR="00FD1311" w:rsidRPr="00F227EE">
        <w:t>εκφράζει την ικανοποίησή του για τις προσπάθειες του Ινστιτούτου όσον αφορά τις δηλώσεις συμφερόντων των μελών του διοικητικού του συμβουλίου, με την εφαρμογή τριών διαφορετικών δηλώσεων: την ετήσια δήλωση συμφερόντων, τη δήλωση συμφερόντων σχετικά με την αξιολόγηση των προτάσεων των ΚΓΚ και τη δήλωση συμφερόντων σχετικά με το επιχειρηματικό σχέδιο των ΚΓΚ· σημειώνει ότι εντοπίστηκαν καταστάσεις σύγκρουσης συμφερόντων όσον αφορά την ετήσια δήλωση συμφερόντων ορισμένων μελών του διοικητικού συμβουλίου, τα οποία, στη συνέχεια, ενημερώθηκαν και ότι εγκρίθηκαν μέτρα μετριασμού·</w:t>
      </w:r>
    </w:p>
    <w:p w:rsidR="00FD1311" w:rsidRPr="00B81B17" w:rsidRDefault="00B81B17" w:rsidP="00B81B17">
      <w:pPr>
        <w:spacing w:after="240"/>
        <w:ind w:left="567" w:hanging="573"/>
        <w:rPr>
          <w:szCs w:val="24"/>
        </w:rPr>
      </w:pPr>
      <w:r w:rsidRPr="00D26050">
        <w:rPr>
          <w:szCs w:val="24"/>
        </w:rPr>
        <w:t>26.</w:t>
      </w:r>
      <w:r w:rsidRPr="00D26050">
        <w:rPr>
          <w:szCs w:val="24"/>
        </w:rPr>
        <w:tab/>
      </w:r>
      <w:r w:rsidR="00FD1311" w:rsidRPr="00F227EE">
        <w:t xml:space="preserve">σημειώνει ότι το Ινστιτούτο εργάζεται για τη χάραξη νέας πολιτικής για την αξιολόγηση των περιορισμών και των απαγορεύσεων που επιβάλλονται μετά την έξοδο από την υπηρεσία στα ανώτερα στελέχη που μετά την λήξη της θητείας τους τοποθετούνται σε συγκεκριμένες θέσεις· παρατηρεί ότι η πολιτική θα προσδιορίζει τις θέσεις στις οποίες απαγορεύεται να τοποθετηθούν μετά τη λήξη της θητείας τους, καθώς και τα κριτήρια για το πότε θα απαγορευτούν αυτές οι τοποθετήσεις στο μέλλον, με περιορισμό δύο ετών· εκφράζει την ικανοποίησή του για το γεγονός ότι το Ινστιτούτο θα εγκρίνει επίσης πολιτική ή απόφαση για τη διαφθορά στις αρχές του 2024, η οποία θα δημιουργήσει τη βάση για την ανάπτυξη των εσωτερικών μηχανισμών καταπολέμησης της διαφθοράς που </w:t>
      </w:r>
      <w:proofErr w:type="spellStart"/>
      <w:r w:rsidR="00FD1311" w:rsidRPr="00F227EE">
        <w:t>προβλέπται</w:t>
      </w:r>
      <w:proofErr w:type="spellEnd"/>
      <w:r w:rsidR="00FD1311" w:rsidRPr="00F227EE">
        <w:t xml:space="preserve"> να τεθούν σε εφαρμογή·</w:t>
      </w:r>
    </w:p>
    <w:p w:rsidR="00FD1311" w:rsidRPr="00F227EE" w:rsidRDefault="00B81B17" w:rsidP="00B81B17">
      <w:pPr>
        <w:pStyle w:val="NormalHanging12a"/>
        <w:ind w:hanging="573"/>
        <w:rPr>
          <w:b/>
          <w:i/>
        </w:rPr>
      </w:pPr>
      <w:r w:rsidRPr="00F227EE">
        <w:t>27.</w:t>
      </w:r>
      <w:r w:rsidRPr="00F227EE">
        <w:tab/>
      </w:r>
      <w:r w:rsidR="00FD1311" w:rsidRPr="00F227EE">
        <w:t>σημειώνει ότι η OLAF εξέδωσε δύο συστάσεις μετά από δύο διαφορετικές έρευνες, μία από τις οποίες υλοποιήθηκε κατά τη διάρκεια του 2022, ενώ η άλλη βρίσκεται επί του παρόντος στο στάδιο της υλοποίησης· ζητεί από το Ινστιτούτο να υποβάλει έκθεση στην αρμόδια για να δοθεί συνέχεια στις εν λόγω συστάσεις·</w:t>
      </w:r>
    </w:p>
    <w:p w:rsidR="00FD1311" w:rsidRPr="00F227EE" w:rsidRDefault="00B81B17" w:rsidP="00B81B17">
      <w:pPr>
        <w:pStyle w:val="NormalHanging12a"/>
        <w:ind w:hanging="573"/>
      </w:pPr>
      <w:r w:rsidRPr="00F227EE">
        <w:t>28.</w:t>
      </w:r>
      <w:r w:rsidRPr="00F227EE">
        <w:tab/>
      </w:r>
      <w:r w:rsidR="00FD1311" w:rsidRPr="00F227EE">
        <w:t>υπενθυμίζει ότι είναι σημαντικό να αναπτύξει ο Οργανισμός μεγαλύτερη προβολή στα μέσα ενημέρωσης, στο διαδίκτυο και στα μέσα κοινωνικής δικτύωσης, προκειμένου να προβάλει το έργο του στους πολίτες·</w:t>
      </w:r>
    </w:p>
    <w:p w:rsidR="00FD1311" w:rsidRPr="00F227EE" w:rsidRDefault="00FD1311" w:rsidP="00FD1311">
      <w:pPr>
        <w:spacing w:after="240"/>
        <w:ind w:left="567" w:hanging="567"/>
        <w:rPr>
          <w:b/>
          <w:i/>
          <w:szCs w:val="24"/>
        </w:rPr>
      </w:pPr>
      <w:r w:rsidRPr="00F227EE">
        <w:rPr>
          <w:b/>
          <w:i/>
        </w:rPr>
        <w:t>Σύναψη συμβάσεων</w:t>
      </w:r>
    </w:p>
    <w:p w:rsidR="00FD1311" w:rsidRPr="00B81B17" w:rsidRDefault="00B81B17" w:rsidP="00B81B17">
      <w:pPr>
        <w:spacing w:after="240"/>
        <w:ind w:left="567" w:hanging="570"/>
        <w:rPr>
          <w:szCs w:val="24"/>
        </w:rPr>
      </w:pPr>
      <w:r w:rsidRPr="00D26050">
        <w:rPr>
          <w:szCs w:val="24"/>
        </w:rPr>
        <w:t>29.</w:t>
      </w:r>
      <w:r w:rsidRPr="00D26050">
        <w:rPr>
          <w:szCs w:val="24"/>
        </w:rPr>
        <w:tab/>
      </w:r>
      <w:r w:rsidR="00FD1311" w:rsidRPr="00F227EE">
        <w:t>σημειώνει ότι στις περιπτώσεις τριών πληρωμών για διοικητικές δαπάνες συνολικού ύψους 337 116 EUR που υποβλήθηκαν σε έλεγχο, το Ινστιτούτο ενέκρινε τις σχετικές δημοσιονομικές δεσμεύσεις μόνο μετά την υπογραφή των σχετικών νομικών δεσμεύσεων· τονίζει ότι δεν πρόκειται για μεμονωμένο περιστατικό, καθώς το Ελεγκτικό Συνέδριο έχει ήδη επισημάνει ένα παρόμοιο ζήτημα στην έκθεσή του για το 2021· υπενθυμίζει ότι πρόκειται για παραβίαση του άρθρου 73, παράγραφος 2, του κατ’ εξουσιοδότηση κανονισμού (ΕΕ) 2019/715 της Επιτροπής</w:t>
      </w:r>
      <w:r w:rsidR="00FD1311" w:rsidRPr="00F227EE">
        <w:rPr>
          <w:rStyle w:val="FootnoteReference"/>
          <w:szCs w:val="24"/>
        </w:rPr>
        <w:footnoteReference w:id="12"/>
      </w:r>
      <w:r w:rsidR="00FD1311" w:rsidRPr="00F227EE">
        <w:t xml:space="preserve"> (δημοσιονομικός κανονισμός-πλαίσιο)· παρατηρεί με βάση την απάντηση του Ινστιτούτου ότι θα λάβει πρόσθετα μέτρα για να διασφαλίσει την πλήρη συμμόρφωση με την εν λόγω διάταξη, δηλαδή ειδικές ενημερωτικές συνεδρίες για το προσωπικό, επικαιροποίηση των εφαρμοζόμενων διαδικασιών και ενίσχυση των σχετικών εσωτερικών ελέγχων· παροτρύνει το Ινστιτούτο να αναλάβει άμεση δράση και να εφαρμόσει μέτρα για να διασφαλίσει τη συμμόρφωση όλων των χρηματοπιστωτικών συναλλαγών με τον δημοσιονομικό κανονισμό-πλαίσιο·</w:t>
      </w:r>
    </w:p>
    <w:p w:rsidR="00FD1311" w:rsidRPr="00F227EE" w:rsidRDefault="00FD1311" w:rsidP="00FD1311">
      <w:pPr>
        <w:spacing w:after="240"/>
        <w:ind w:left="567" w:hanging="567"/>
        <w:rPr>
          <w:b/>
          <w:i/>
          <w:szCs w:val="24"/>
        </w:rPr>
      </w:pPr>
      <w:r w:rsidRPr="00F227EE">
        <w:rPr>
          <w:b/>
          <w:i/>
        </w:rPr>
        <w:t>Εσωτερικός έλεγχος</w:t>
      </w:r>
    </w:p>
    <w:p w:rsidR="00FD1311" w:rsidRPr="00B81B17" w:rsidRDefault="00B81B17" w:rsidP="00B81B17">
      <w:pPr>
        <w:spacing w:after="240"/>
        <w:ind w:left="567" w:hanging="573"/>
        <w:rPr>
          <w:szCs w:val="24"/>
        </w:rPr>
      </w:pPr>
      <w:r w:rsidRPr="00D26050">
        <w:rPr>
          <w:szCs w:val="24"/>
        </w:rPr>
        <w:t>30.</w:t>
      </w:r>
      <w:r w:rsidRPr="00D26050">
        <w:rPr>
          <w:szCs w:val="24"/>
        </w:rPr>
        <w:tab/>
      </w:r>
      <w:r w:rsidR="00FD1311" w:rsidRPr="00F227EE">
        <w:t>σημειώνει ότι το Ινστιτούτο ολοκλήρωσε τη μετάβαση της λειτουργίας του κλιμακίου εσωτερικού ελέγχου σε λειτουργία παρακολούθησης και εποπτείας μιας ΚΓΚ η οποία εγκρίθηκε με την απόφαση 12/2022 του διοικητικού συμβουλίου με ημερομηνία έναρξης ισχύος την 1η Απριλίου 2022· αναγνωρίζει ότι η λειτουργία εσωτερικού ελέγχου ασκείται πλέον από την Υπηρεσία Εσωτερικού Λογιστικού Ελέγχου της Επιτροπής (IAS)· παρατηρεί ότι, επιπλέον, ενισχύθηκε ο ρόλος του συντονιστή εσωτερικού ελέγχου, με καθήκοντα που περιλαμβάνουν τον συντονισμό των δραστηριοτήτων εσωτερικού ελέγχου και την υποβολή εκθέσεων στο Ινστιτούτο, την υλοποίηση των συστάσεων ελέγχου, τον συντονισμό των ελέγχων, τη συνεργασία με εξωτερικούς ελεγκτικούς φορείς και τη συμβολή στη δημοσιονομική και επιχειρησιακή διαχείριση σε τομείς όπως οι δημόσιες συμβάσεις, η εκτέλεση συμβάσεων, οι πληρωμές και η υποβολή εκθέσεων·</w:t>
      </w:r>
    </w:p>
    <w:p w:rsidR="00FD1311" w:rsidRPr="00B81B17" w:rsidRDefault="00B81B17" w:rsidP="00B81B17">
      <w:pPr>
        <w:spacing w:after="240"/>
        <w:ind w:left="567" w:hanging="573"/>
        <w:rPr>
          <w:szCs w:val="24"/>
        </w:rPr>
      </w:pPr>
      <w:r w:rsidRPr="00D26050">
        <w:rPr>
          <w:szCs w:val="24"/>
        </w:rPr>
        <w:t>31.</w:t>
      </w:r>
      <w:r w:rsidRPr="00D26050">
        <w:rPr>
          <w:szCs w:val="24"/>
        </w:rPr>
        <w:tab/>
      </w:r>
      <w:r w:rsidR="00FD1311" w:rsidRPr="00F227EE">
        <w:t>σημειώνει ότι η IAS άρχισε το 2022 τις προετοιμασίες για το στρατηγικό σχέδιο εσωτερικού ελέγχου του Ινστιτούτου για την περίοδο 2023-2025· σημειώνει, επιπλέον, ότι η IAS ξεκίνησε έλεγχο, ο οποίος ολοκληρώθηκε το 2023 και αφορούσε τη διαχείριση των εμπειρογνωμόνων στο Ινστιτούτο για την αξιολόγηση της αποτελεσματικότητας του συστήματος εσωτερικού ελέγχου για τις διαδικασίες διαχείρισης εμπειρογνωμόνων, συμπεριλαμβανομένων της επιλογής, της σύναψης συμβάσεων και της πληρωμής στο Ινστιτούτο·</w:t>
      </w:r>
    </w:p>
    <w:p w:rsidR="00FD1311" w:rsidRPr="00B81B17" w:rsidRDefault="00B81B17" w:rsidP="00B81B17">
      <w:pPr>
        <w:spacing w:after="240"/>
        <w:ind w:left="567" w:hanging="573"/>
        <w:rPr>
          <w:szCs w:val="24"/>
        </w:rPr>
      </w:pPr>
      <w:r w:rsidRPr="00D26050">
        <w:rPr>
          <w:szCs w:val="24"/>
        </w:rPr>
        <w:t>32.</w:t>
      </w:r>
      <w:r w:rsidRPr="00D26050">
        <w:rPr>
          <w:szCs w:val="24"/>
        </w:rPr>
        <w:tab/>
      </w:r>
      <w:r w:rsidR="00FD1311" w:rsidRPr="00F227EE">
        <w:t>επισημαίνει ότι μια σημαντική σύσταση που εξέδωσε η IAS στο πλαίσιο του ελέγχου διαχείρισης ανθρώπινων πόρων του 2021, η οποία επικεντρώνεται στη διαδικασία αξιολόγησης και ανακατάταξης, καθυστέρησε σημαντικά κατά 15 μήνες· σημειώνει ότι στους κινδύνους που εντοπίστηκαν συμπεριλαμβάνονταν πιθανές καθυστερήσεις και αναποτελεσματικότητα κατά τη διάρκεια της διαδικασίας, η πιθανότητα αποφάσεις διαχείρισης που δεν αιτιολογούνται επαρκώς να οδηγήσουν σε αμφισβητήσεις στο πλαίσιο διαδικασιών επανεξέτασης ή ενώπιον του Ελεγκτικού Συνεδρίου, η δυσαρέσκεια και η μείωση του ενδιαφέροντος του προσωπικού, η ανησυχία ότι η κοινή επιτροπή ανακατάταξης αδυνατεί να ανταπεξέλθει στον ρόλο της, καθώς και η συνολική απώλεια αξιοπιστίας για τη διαδικασία ανακατάταξης και τον μηχανισμό επανεξέτασης που οδηγεί στην μείωση του ενδιαφέροντος του προσωπικού· καλεί το Ινστιτούτο να λάβει προορατικά μέτρα για την αντιμετώπιση ενδεχόμενων καθυστερήσεων και αναποτελεσματικότητας κατά τη διάρκεια της διαδικασίας αξιολόγησης και ανακατάταξης και να υποβάλει έκθεση στην αρμόδια για την απαλλαγή αρχή σχετικά με την πρόοδο στο θέμα αυτό·</w:t>
      </w:r>
    </w:p>
    <w:p w:rsidR="00FD1311" w:rsidRPr="00B81B17" w:rsidRDefault="00B81B17" w:rsidP="00B81B17">
      <w:pPr>
        <w:spacing w:after="240"/>
        <w:ind w:left="567" w:hanging="573"/>
        <w:rPr>
          <w:szCs w:val="24"/>
        </w:rPr>
      </w:pPr>
      <w:r w:rsidRPr="00D26050">
        <w:rPr>
          <w:szCs w:val="24"/>
        </w:rPr>
        <w:t>33.</w:t>
      </w:r>
      <w:r w:rsidRPr="00D26050">
        <w:rPr>
          <w:szCs w:val="24"/>
        </w:rPr>
        <w:tab/>
      </w:r>
      <w:r w:rsidR="00FD1311" w:rsidRPr="00F227EE">
        <w:t>παρατηρεί ότι το Ινστιτούτο έχει αυξήσει την αλληλεπίδρασή του με την OLAF, έχοντας πραγματοποιήσει διμερείς συνεδριάσεις και εκδηλώσεις ευαισθητοποίησης για την καταπολέμηση της απάτης· σημειώνει περαιτέρω ότι το Ινστιτούτο έχει θέσει σε εφαρμογή τη στρατηγική του για την καταπολέμηση της απάτης 2021-2023, η οποία εγκρίθηκε τον Μάιο του 2021·</w:t>
      </w:r>
    </w:p>
    <w:p w:rsidR="00FD1311" w:rsidRPr="00B81B17" w:rsidRDefault="00B81B17" w:rsidP="00B81B17">
      <w:pPr>
        <w:spacing w:after="240"/>
        <w:ind w:left="567" w:hanging="573"/>
        <w:rPr>
          <w:szCs w:val="24"/>
        </w:rPr>
      </w:pPr>
      <w:r w:rsidRPr="00D26050">
        <w:rPr>
          <w:szCs w:val="24"/>
        </w:rPr>
        <w:t>34.</w:t>
      </w:r>
      <w:r w:rsidRPr="00D26050">
        <w:rPr>
          <w:szCs w:val="24"/>
        </w:rPr>
        <w:tab/>
      </w:r>
      <w:r w:rsidR="00FD1311" w:rsidRPr="00F227EE">
        <w:t>σημειώνει ότι το Ινστιτούτο εφάρμοσε τη διαδικασία αξιολόγησης κινδύνου και προέβη σε καταχωρήσεις στο Μητρώο Κινδύνων του Ινστιτούτου για το 2022, έχοντας εντοπίσει τους ακόλουθους κινδύνους: μη εφαρμογή στοιχείων του ετήσιου προγράμματος εργασίας εξαιτίας, μεταξύ άλλων, ανεπαρκών ανθρώπινων πόρων, πλημμελούς εφαρμογής των συμφωνιών ΚΓΚ και καθυστερήσεων στις διαδικασίες σύναψης συμβάσεων του Ινστιτούτου και στην ένταξη στα συστήματα ΤΠ της Επιτροπής· καλεί το Ινστιτούτο να ενημερώσει την αρμόδια για την απαλλαγή αρχή σχετικά με τυχόν εξελίξεις στο θέμα αυτό·</w:t>
      </w:r>
    </w:p>
    <w:p w:rsidR="00FD1311" w:rsidRPr="00B81B17" w:rsidRDefault="00B81B17" w:rsidP="00B81B17">
      <w:pPr>
        <w:spacing w:after="240"/>
        <w:ind w:left="567" w:hanging="573"/>
        <w:rPr>
          <w:szCs w:val="24"/>
        </w:rPr>
      </w:pPr>
      <w:r w:rsidRPr="00D26050">
        <w:rPr>
          <w:szCs w:val="24"/>
        </w:rPr>
        <w:t>35.</w:t>
      </w:r>
      <w:r w:rsidRPr="00D26050">
        <w:rPr>
          <w:szCs w:val="24"/>
        </w:rPr>
        <w:tab/>
      </w:r>
      <w:r w:rsidR="00FD1311" w:rsidRPr="00F227EE">
        <w:t>σημειώνει, με βάση την έκθεση του Ελεγκτικού Συνεδρίου, ότι, για μια παραγγελία ανανέωσης λογισμικού, το Ινστιτούτο δεν διενήργησε εκ των προτέρων επαλήθευση, για να επιβεβαιώσει αν ο ανάδοχος είχε χρεώσει την ορθή τιμή και την προσαύξηση, όπως ορίζεται στην ισχύουσα σύμβαση-πλαίσιο, σημειώνει ότι αυτό αντιβαίνει στις διατάξεις του άρθρου 30 του δημοσιονομικού κανονισμού σχετικά με τους εκ των προτέρων ελέγχους και ενέχει τον κίνδυνο το Ινστιτούτο να καταβάλει εσφαλμένα ποσά για τις υπηρεσίες που του παρασχέθηκαν· παρατηρεί ότι, σύμφωνα με την απάντησή του, το Ινστιτούτο θα απαιτεί ανάλυση από τον ανάδοχο όταν ζητεί προσφορά, στην οποία θα αναφέρονται σαφώς η τιμή και το περιθώριο κέρδους, ούτως ώστε να αξιολογείται κάθε κίνδυνος που σχετίζεται με την τιμή·</w:t>
      </w:r>
    </w:p>
    <w:p w:rsidR="00FD1311" w:rsidRPr="00F227EE" w:rsidRDefault="00FD1311" w:rsidP="00FD1311">
      <w:pPr>
        <w:autoSpaceDE w:val="0"/>
        <w:autoSpaceDN w:val="0"/>
        <w:adjustRightInd w:val="0"/>
        <w:spacing w:after="240"/>
        <w:ind w:left="567" w:hanging="567"/>
        <w:rPr>
          <w:b/>
          <w:i/>
          <w:szCs w:val="24"/>
        </w:rPr>
      </w:pPr>
      <w:r w:rsidRPr="00F227EE">
        <w:rPr>
          <w:b/>
          <w:i/>
        </w:rPr>
        <w:t>Λοιπές παρατηρήσεις</w:t>
      </w:r>
    </w:p>
    <w:p w:rsidR="00FD1311" w:rsidRPr="00B81B17" w:rsidRDefault="00B81B17" w:rsidP="00B81B17">
      <w:pPr>
        <w:spacing w:after="240"/>
        <w:ind w:left="567" w:hanging="573"/>
        <w:rPr>
          <w:szCs w:val="24"/>
        </w:rPr>
      </w:pPr>
      <w:r w:rsidRPr="00D26050">
        <w:rPr>
          <w:szCs w:val="24"/>
        </w:rPr>
        <w:t>36.</w:t>
      </w:r>
      <w:r w:rsidRPr="00D26050">
        <w:rPr>
          <w:szCs w:val="24"/>
        </w:rPr>
        <w:tab/>
      </w:r>
      <w:r w:rsidR="00FD1311" w:rsidRPr="00F227EE">
        <w:t>σημειώνει ότι, κατά τη διάρκεια του 2022, το Ινστιτούτο διοργάνωσε εκδηλώσεις για να ενισχύσει την προβολή του σε όλα τα κράτη μέλη και την Ένωση, καθώς και ημερίδες ανοικτών θυρών (</w:t>
      </w:r>
      <w:proofErr w:type="spellStart"/>
      <w:r w:rsidR="00FD1311" w:rsidRPr="00F227EE">
        <w:t>Open</w:t>
      </w:r>
      <w:proofErr w:type="spellEnd"/>
      <w:r w:rsidR="00FD1311" w:rsidRPr="00F227EE">
        <w:t xml:space="preserve"> </w:t>
      </w:r>
      <w:proofErr w:type="spellStart"/>
      <w:r w:rsidR="00FD1311" w:rsidRPr="00F227EE">
        <w:t>Days</w:t>
      </w:r>
      <w:proofErr w:type="spellEnd"/>
      <w:r w:rsidR="00FD1311" w:rsidRPr="00F227EE">
        <w:t xml:space="preserve">), προκειμένου να ενημερώσει σχετικά με τις ευκαιρίες που προσφέρονται στο Ινστιτούτο για δυνητικούς υποψηφίους· σημειώνει περαιτέρω ότι το Ινστιτούτο δρομολόγησε επίσης την πρωτοβουλία για τα ταλέντα στον τομέα της </w:t>
      </w:r>
      <w:proofErr w:type="spellStart"/>
      <w:r w:rsidR="00FD1311" w:rsidRPr="00F227EE">
        <w:t>υπερπροηγμένης</w:t>
      </w:r>
      <w:proofErr w:type="spellEnd"/>
      <w:r w:rsidR="00FD1311" w:rsidRPr="00F227EE">
        <w:t xml:space="preserve"> τεχνολογίας, η οποία αποτελεί μέρος του νέου ευρωπαϊκού θεματολογίου καινοτομίας, και θα συμβάλει στην κατάρτιση των πολιτών σε τεχνολογικούς τομείς για το μέλλον·</w:t>
      </w:r>
    </w:p>
    <w:p w:rsidR="00FD1311" w:rsidRPr="00B81B17" w:rsidRDefault="00B81B17" w:rsidP="00B81B17">
      <w:pPr>
        <w:spacing w:after="240"/>
        <w:ind w:left="567" w:hanging="573"/>
        <w:rPr>
          <w:szCs w:val="24"/>
        </w:rPr>
      </w:pPr>
      <w:r w:rsidRPr="00D26050">
        <w:rPr>
          <w:szCs w:val="24"/>
        </w:rPr>
        <w:t>37.</w:t>
      </w:r>
      <w:r w:rsidRPr="00D26050">
        <w:rPr>
          <w:szCs w:val="24"/>
        </w:rPr>
        <w:tab/>
      </w:r>
      <w:r w:rsidR="00FD1311" w:rsidRPr="00F227EE">
        <w:t>παρατηρεί ότι το Ινστιτούτο εργάζεται για να καταστεί κλιματικά ουδέτερος οργανισμός, λαμβάνοντας τα αναγκαία μέτρα για τη διαχείριση του περιβάλλοντος· σημειώνει ότι το Ινστιτούτο είναι το μεγαλύτερο οικοσύστημα καινοτομίας της Ευρώπης και κορυφαίο μέσο στο πλαίσιο του προγράμματος «</w:t>
      </w:r>
      <w:proofErr w:type="spellStart"/>
      <w:r w:rsidR="00FD1311" w:rsidRPr="00F227EE">
        <w:t>Ορίζων</w:t>
      </w:r>
      <w:proofErr w:type="spellEnd"/>
      <w:r w:rsidR="00FD1311" w:rsidRPr="00F227EE">
        <w:t xml:space="preserve"> Ευρώπη» για την αντιμετώπιση της κλιματικής αλλαγής και των συναφών ζητημάτων· εκφράζει ικανοποίηση για τις δράσεις του Ινστιτούτου κατά τη διάρκεια του 2022 για την επίτευξη των περιβαλλοντικών του στόχων: τη δημιουργία της Επιτροπής Βιωσιμότητας, την ένταξη στο </w:t>
      </w:r>
      <w:proofErr w:type="spellStart"/>
      <w:r w:rsidR="00FD1311" w:rsidRPr="00F227EE">
        <w:t>Υποδίκτυο</w:t>
      </w:r>
      <w:proofErr w:type="spellEnd"/>
      <w:r w:rsidR="00FD1311" w:rsidRPr="00F227EE">
        <w:t xml:space="preserve"> για τον Οικολογικό Προσανατολισμό του Δικτύου των Οργανισμών της ΕΕ και τη διοργάνωση του </w:t>
      </w:r>
      <w:proofErr w:type="spellStart"/>
      <w:r w:rsidR="00FD1311" w:rsidRPr="00F227EE">
        <w:t>EITree</w:t>
      </w:r>
      <w:proofErr w:type="spellEnd"/>
      <w:r w:rsidR="00FD1311" w:rsidRPr="00F227EE">
        <w:t>, μιας εκδήλωσης στο πλαίσιο της οποίας διάφορα μέλη του προσωπικού φύτευσαν δέντρα σε αστική περιοχή·</w:t>
      </w:r>
    </w:p>
    <w:p w:rsidR="00FD1311" w:rsidRPr="00B81B17" w:rsidRDefault="00B81B17" w:rsidP="00B81B17">
      <w:pPr>
        <w:spacing w:after="240"/>
        <w:ind w:left="567" w:hanging="573"/>
        <w:rPr>
          <w:szCs w:val="24"/>
        </w:rPr>
      </w:pPr>
      <w:r w:rsidRPr="00D26050">
        <w:rPr>
          <w:szCs w:val="24"/>
        </w:rPr>
        <w:t>38.</w:t>
      </w:r>
      <w:r w:rsidRPr="00D26050">
        <w:rPr>
          <w:szCs w:val="24"/>
        </w:rPr>
        <w:tab/>
      </w:r>
      <w:r w:rsidR="00FD1311" w:rsidRPr="00F227EE">
        <w:t>σημειώνει ότι η πιστοποίηση EMAS βρίσκεται στην μεσοπρόθεσμη ή μακροπρόθεσμη ημερήσια διάταξη του Ινστιτούτου·</w:t>
      </w:r>
    </w:p>
    <w:p w:rsidR="00FD1311" w:rsidRPr="00F227EE" w:rsidRDefault="00FD1311" w:rsidP="00FD1311">
      <w:pPr>
        <w:pStyle w:val="NormalCenter12a"/>
      </w:pPr>
      <w:r w:rsidRPr="00F227EE">
        <w:t>°</w:t>
      </w:r>
    </w:p>
    <w:p w:rsidR="00FD1311" w:rsidRPr="00F227EE" w:rsidRDefault="00FD1311" w:rsidP="00FD1311">
      <w:pPr>
        <w:pStyle w:val="NormalCenter12a"/>
      </w:pPr>
      <w:r w:rsidRPr="00F227EE">
        <w:t>°</w:t>
      </w:r>
      <w:r w:rsidRPr="00F227EE">
        <w:tab/>
        <w:t>°</w:t>
      </w:r>
    </w:p>
    <w:p w:rsidR="00FD1311" w:rsidRPr="00F227EE" w:rsidRDefault="00B81B17" w:rsidP="00B81B17">
      <w:pPr>
        <w:pStyle w:val="NormalHanging12a"/>
      </w:pPr>
      <w:r w:rsidRPr="00F227EE">
        <w:t>39.</w:t>
      </w:r>
      <w:r w:rsidRPr="00F227EE">
        <w:tab/>
      </w:r>
      <w:r w:rsidR="00FD1311" w:rsidRPr="00F227EE">
        <w:t xml:space="preserve">παραπέμπει, όσον αφορά τις άλλες παρατηρήσεις οριζόντιου χαρακτήρα που συνοδεύουν την απόφαση απαλλαγής, στο ψήφισμά του της </w:t>
      </w:r>
      <w:r w:rsidR="009D5044">
        <w:t>11ης Απριλίου</w:t>
      </w:r>
      <w:r w:rsidR="00FD1311" w:rsidRPr="00F227EE">
        <w:t xml:space="preserve"> 2024</w:t>
      </w:r>
      <w:r w:rsidR="00FD1311" w:rsidRPr="00F227EE">
        <w:rPr>
          <w:rStyle w:val="FootnoteReference"/>
        </w:rPr>
        <w:footnoteReference w:id="13"/>
      </w:r>
      <w:r w:rsidR="00FD1311" w:rsidRPr="00F227EE">
        <w:t xml:space="preserve"> σχετικά με τις επιδόσεις, τη χρηματοοικονομική διαχείριση και τον έλεγχο των οργανισμών.</w:t>
      </w:r>
    </w:p>
    <w:sectPr w:rsidR="00FD1311" w:rsidRPr="00F227EE" w:rsidSect="00F227E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03B" w:rsidRPr="00F227EE" w:rsidRDefault="00CB603B">
      <w:r w:rsidRPr="00F227EE">
        <w:separator/>
      </w:r>
    </w:p>
  </w:endnote>
  <w:endnote w:type="continuationSeparator" w:id="0">
    <w:p w:rsidR="00CB603B" w:rsidRPr="00F227EE" w:rsidRDefault="00CB603B">
      <w:r w:rsidRPr="00F22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311" w:rsidRPr="00F227EE" w:rsidRDefault="00FD1311" w:rsidP="005712D5">
    <w:pPr>
      <w:pStyle w:val="EPFooter"/>
    </w:pPr>
    <w:r w:rsidRPr="00F227EE">
      <w:t>PE</w:t>
    </w:r>
    <w:r w:rsidRPr="00F227EE">
      <w:rPr>
        <w:rStyle w:val="HideTWBExt"/>
      </w:rPr>
      <w:t>&lt;</w:t>
    </w:r>
    <w:proofErr w:type="spellStart"/>
    <w:r w:rsidRPr="00F227EE">
      <w:rPr>
        <w:rStyle w:val="HideTWBExt"/>
      </w:rPr>
      <w:t>NoPE</w:t>
    </w:r>
    <w:proofErr w:type="spellEnd"/>
    <w:r w:rsidRPr="00F227EE">
      <w:rPr>
        <w:rStyle w:val="HideTWBExt"/>
      </w:rPr>
      <w:t>&gt;</w:t>
    </w:r>
    <w:r w:rsidRPr="00F227EE">
      <w:t>753.522</w:t>
    </w:r>
    <w:r w:rsidRPr="00F227EE">
      <w:rPr>
        <w:rStyle w:val="HideTWBExt"/>
      </w:rPr>
      <w:t>&lt;/</w:t>
    </w:r>
    <w:proofErr w:type="spellStart"/>
    <w:r w:rsidRPr="00F227EE">
      <w:rPr>
        <w:rStyle w:val="HideTWBExt"/>
      </w:rPr>
      <w:t>NoPE</w:t>
    </w:r>
    <w:proofErr w:type="spellEnd"/>
    <w:r w:rsidRPr="00F227EE">
      <w:rPr>
        <w:rStyle w:val="HideTWBExt"/>
      </w:rPr>
      <w:t>&gt;&lt;Version&gt;</w:t>
    </w:r>
    <w:r w:rsidRPr="00F227EE">
      <w:t>v03-00</w:t>
    </w:r>
    <w:r w:rsidRPr="00F227EE">
      <w:rPr>
        <w:rStyle w:val="HideTWBExt"/>
      </w:rPr>
      <w:t>&lt;/</w:t>
    </w:r>
    <w:proofErr w:type="spellStart"/>
    <w:r w:rsidRPr="00F227EE">
      <w:rPr>
        <w:rStyle w:val="HideTWBExt"/>
      </w:rPr>
      <w:t>Version</w:t>
    </w:r>
    <w:proofErr w:type="spellEnd"/>
    <w:r w:rsidRPr="00F227EE">
      <w:rPr>
        <w:rStyle w:val="HideTWBExt"/>
      </w:rPr>
      <w:t>&gt;</w:t>
    </w:r>
    <w:r w:rsidRPr="00F227EE">
      <w:tab/>
    </w:r>
    <w:r w:rsidRPr="00F227EE">
      <w:fldChar w:fldCharType="begin"/>
    </w:r>
    <w:r w:rsidRPr="00F227EE">
      <w:instrText xml:space="preserve"> PAGE  \* MERGEFORMAT </w:instrText>
    </w:r>
    <w:r w:rsidRPr="00F227EE">
      <w:fldChar w:fldCharType="separate"/>
    </w:r>
    <w:r w:rsidRPr="00F227EE">
      <w:rPr>
        <w:noProof/>
      </w:rPr>
      <w:t>4</w:t>
    </w:r>
    <w:r w:rsidRPr="00F227EE">
      <w:fldChar w:fldCharType="end"/>
    </w:r>
    <w:r w:rsidRPr="00F227EE">
      <w:t>/</w:t>
    </w:r>
    <w:fldSimple w:instr=" NUMPAGES  \* MERGEFORMAT ">
      <w:r w:rsidRPr="00F227EE">
        <w:rPr>
          <w:noProof/>
        </w:rPr>
        <w:t>4</w:t>
      </w:r>
    </w:fldSimple>
    <w:r w:rsidRPr="00F227EE">
      <w:tab/>
    </w:r>
    <w:r w:rsidRPr="00F227EE">
      <w:rPr>
        <w:rStyle w:val="HideTWBExt"/>
      </w:rPr>
      <w:t>&lt;PathFdR&gt;</w:t>
    </w:r>
    <w:r w:rsidRPr="00F227EE">
      <w:t>RR\1299238EL.docx</w:t>
    </w:r>
    <w:r w:rsidRPr="00F227EE">
      <w:rPr>
        <w:rStyle w:val="HideTWBExt"/>
      </w:rPr>
      <w:t>&lt;/</w:t>
    </w:r>
    <w:proofErr w:type="spellStart"/>
    <w:r w:rsidRPr="00F227EE">
      <w:rPr>
        <w:rStyle w:val="HideTWBExt"/>
      </w:rPr>
      <w:t>PathFdR</w:t>
    </w:r>
    <w:proofErr w:type="spellEnd"/>
    <w:r w:rsidRPr="00F227EE">
      <w:rPr>
        <w:rStyle w:val="HideTWBExt"/>
      </w:rPr>
      <w:t>&gt;</w:t>
    </w:r>
  </w:p>
  <w:p w:rsidR="00FD1311" w:rsidRPr="00F227EE" w:rsidRDefault="00FD1311" w:rsidP="005712D5">
    <w:pPr>
      <w:pStyle w:val="EPFooter2"/>
    </w:pPr>
    <w:r w:rsidRPr="00F227E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311" w:rsidRPr="00F227EE" w:rsidRDefault="00FD1311" w:rsidP="005712D5">
    <w:pPr>
      <w:pStyle w:val="EPFooter"/>
    </w:pPr>
    <w:r w:rsidRPr="00F227EE">
      <w:rPr>
        <w:rStyle w:val="HideTWBExt"/>
      </w:rPr>
      <w:t>&lt;PathFdR&gt;</w:t>
    </w:r>
    <w:r w:rsidRPr="00F227EE">
      <w:t>RR\1299238EL.docx</w:t>
    </w:r>
    <w:r w:rsidRPr="00F227EE">
      <w:rPr>
        <w:rStyle w:val="HideTWBExt"/>
      </w:rPr>
      <w:t>&lt;/</w:t>
    </w:r>
    <w:proofErr w:type="spellStart"/>
    <w:r w:rsidRPr="00F227EE">
      <w:rPr>
        <w:rStyle w:val="HideTWBExt"/>
      </w:rPr>
      <w:t>PathFdR</w:t>
    </w:r>
    <w:proofErr w:type="spellEnd"/>
    <w:r w:rsidRPr="00F227EE">
      <w:rPr>
        <w:rStyle w:val="HideTWBExt"/>
      </w:rPr>
      <w:t>&gt;</w:t>
    </w:r>
    <w:r w:rsidRPr="00F227EE">
      <w:tab/>
    </w:r>
    <w:r w:rsidRPr="00F227EE">
      <w:tab/>
      <w:t>PE</w:t>
    </w:r>
    <w:r w:rsidRPr="00F227EE">
      <w:rPr>
        <w:rStyle w:val="HideTWBExt"/>
      </w:rPr>
      <w:t>&lt;</w:t>
    </w:r>
    <w:proofErr w:type="spellStart"/>
    <w:r w:rsidRPr="00F227EE">
      <w:rPr>
        <w:rStyle w:val="HideTWBExt"/>
      </w:rPr>
      <w:t>NoPE</w:t>
    </w:r>
    <w:proofErr w:type="spellEnd"/>
    <w:r w:rsidRPr="00F227EE">
      <w:rPr>
        <w:rStyle w:val="HideTWBExt"/>
      </w:rPr>
      <w:t>&gt;</w:t>
    </w:r>
    <w:r w:rsidRPr="00F227EE">
      <w:t>753.522</w:t>
    </w:r>
    <w:r w:rsidRPr="00F227EE">
      <w:rPr>
        <w:rStyle w:val="HideTWBExt"/>
      </w:rPr>
      <w:t>&lt;/</w:t>
    </w:r>
    <w:proofErr w:type="spellStart"/>
    <w:r w:rsidRPr="00F227EE">
      <w:rPr>
        <w:rStyle w:val="HideTWBExt"/>
      </w:rPr>
      <w:t>NoPE</w:t>
    </w:r>
    <w:proofErr w:type="spellEnd"/>
    <w:r w:rsidRPr="00F227EE">
      <w:rPr>
        <w:rStyle w:val="HideTWBExt"/>
      </w:rPr>
      <w:t>&gt;&lt;Version&gt;</w:t>
    </w:r>
    <w:r w:rsidRPr="00F227EE">
      <w:t>v03-00</w:t>
    </w:r>
    <w:r w:rsidRPr="00F227EE">
      <w:rPr>
        <w:rStyle w:val="HideTWBExt"/>
      </w:rPr>
      <w:t>&lt;/</w:t>
    </w:r>
    <w:proofErr w:type="spellStart"/>
    <w:r w:rsidRPr="00F227EE">
      <w:rPr>
        <w:rStyle w:val="HideTWBExt"/>
      </w:rPr>
      <w:t>Version</w:t>
    </w:r>
    <w:proofErr w:type="spellEnd"/>
    <w:r w:rsidRPr="00F227EE">
      <w:rPr>
        <w:rStyle w:val="HideTWBExt"/>
      </w:rPr>
      <w:t>&gt;</w:t>
    </w:r>
  </w:p>
  <w:p w:rsidR="00FD1311" w:rsidRPr="00F227EE" w:rsidRDefault="00FD1311" w:rsidP="005712D5">
    <w:pPr>
      <w:pStyle w:val="EPFooter2"/>
    </w:pPr>
    <w:r w:rsidRPr="00F227EE">
      <w:t>EL</w:t>
    </w:r>
    <w:r w:rsidRPr="00F227EE">
      <w:tab/>
    </w:r>
    <w:r w:rsidRPr="00F227EE">
      <w:rPr>
        <w:b w:val="0"/>
        <w:i/>
        <w:color w:val="C0C0C0"/>
        <w:sz w:val="22"/>
      </w:rPr>
      <w:t>Ενωμένη στην πολυμορφία</w:t>
    </w:r>
    <w:r w:rsidRPr="00F227E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E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03B" w:rsidRPr="00F227EE" w:rsidRDefault="00CB603B">
      <w:r w:rsidRPr="00F227EE">
        <w:separator/>
      </w:r>
    </w:p>
  </w:footnote>
  <w:footnote w:type="continuationSeparator" w:id="0">
    <w:p w:rsidR="00CB603B" w:rsidRPr="00F227EE" w:rsidRDefault="00CB603B">
      <w:r w:rsidRPr="00F227EE">
        <w:continuationSeparator/>
      </w:r>
    </w:p>
  </w:footnote>
  <w:footnote w:id="1">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C, C/2023/594, 27.10.2023.</w:t>
      </w:r>
    </w:p>
  </w:footnote>
  <w:footnote w:id="2">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C, C/2023/112, 12.10.2023.</w:t>
      </w:r>
    </w:p>
  </w:footnote>
  <w:footnote w:id="3">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193 της 30.7.2018, σ. 1.</w:t>
      </w:r>
    </w:p>
  </w:footnote>
  <w:footnote w:id="4">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189 της 28.5.2021, σ. 61.</w:t>
      </w:r>
    </w:p>
  </w:footnote>
  <w:footnote w:id="5">
    <w:p w:rsidR="00FD1311" w:rsidRPr="00B81B17" w:rsidRDefault="00FD1311" w:rsidP="00F227EE">
      <w:pPr>
        <w:pStyle w:val="FootnoteText"/>
        <w:ind w:left="567" w:hanging="567"/>
        <w:rPr>
          <w:sz w:val="24"/>
          <w:szCs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122 της 10.5.2019, σ. 1.</w:t>
      </w:r>
    </w:p>
  </w:footnote>
  <w:footnote w:id="6">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C, C/2023/594, 27.10.2023.</w:t>
      </w:r>
    </w:p>
  </w:footnote>
  <w:footnote w:id="7">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C, C/2023/112, 12.10.2023.</w:t>
      </w:r>
    </w:p>
  </w:footnote>
  <w:footnote w:id="8">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193 της 30.7.2018, σ. 1.</w:t>
      </w:r>
    </w:p>
  </w:footnote>
  <w:footnote w:id="9">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189 της 28.5.2021, σ. 61.</w:t>
      </w:r>
    </w:p>
  </w:footnote>
  <w:footnote w:id="10">
    <w:p w:rsidR="00FD1311" w:rsidRPr="00B81B17" w:rsidRDefault="00FD1311" w:rsidP="00F227EE">
      <w:pPr>
        <w:pStyle w:val="FootnoteText"/>
        <w:ind w:left="567" w:hanging="567"/>
        <w:rPr>
          <w:sz w:val="24"/>
          <w:szCs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L 122 της 10.5.2019, σ. 1.</w:t>
      </w:r>
    </w:p>
  </w:footnote>
  <w:footnote w:id="11">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ΕΕ C 489 της 22.12.2022, σ. 56.</w:t>
      </w:r>
    </w:p>
  </w:footnote>
  <w:footnote w:id="12">
    <w:p w:rsidR="00FD1311" w:rsidRPr="00B81B17"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 (ΕΕ L 122 της 10.5.2019, σ. 1).</w:t>
      </w:r>
    </w:p>
  </w:footnote>
  <w:footnote w:id="13">
    <w:p w:rsidR="00FD1311" w:rsidRPr="00F227EE" w:rsidRDefault="00FD1311" w:rsidP="00F227EE">
      <w:pPr>
        <w:pStyle w:val="FootnoteText"/>
        <w:ind w:left="567" w:hanging="567"/>
        <w:rPr>
          <w:sz w:val="24"/>
          <w:lang w:val="el-GR"/>
        </w:rPr>
      </w:pPr>
      <w:r w:rsidRPr="00B81B17">
        <w:rPr>
          <w:rStyle w:val="FootnoteReference"/>
          <w:sz w:val="24"/>
          <w:lang w:val="el-GR"/>
        </w:rPr>
        <w:footnoteRef/>
      </w:r>
      <w:r w:rsidR="00F227EE" w:rsidRPr="00B81B17">
        <w:rPr>
          <w:sz w:val="24"/>
          <w:lang w:val="el-GR"/>
        </w:rPr>
        <w:t xml:space="preserve"> </w:t>
      </w:r>
      <w:r w:rsidR="00F227EE" w:rsidRPr="00B81B17">
        <w:rPr>
          <w:sz w:val="24"/>
          <w:lang w:val="el-GR"/>
        </w:rPr>
        <w:tab/>
      </w:r>
      <w:r w:rsidRPr="00B81B17">
        <w:rPr>
          <w:sz w:val="24"/>
          <w:lang w:val="el-GR"/>
        </w:rPr>
        <w:t>Κείμενα που εγκρίθηκαν, P9_TA(2024)0</w:t>
      </w:r>
      <w:r w:rsidR="00B81B17">
        <w:rPr>
          <w:sz w:val="24"/>
          <w:lang w:val="el-GR"/>
        </w:rPr>
        <w:t>280</w:t>
      </w:r>
      <w:r w:rsidRPr="00B81B1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6050" w:rsidRDefault="00064002" w:rsidP="00D26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46480"/>
    <w:multiLevelType w:val="hybridMultilevel"/>
    <w:tmpl w:val="DA7E9C8A"/>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18849B3"/>
    <w:multiLevelType w:val="hybridMultilevel"/>
    <w:tmpl w:val="3D123868"/>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F05477"/>
    <w:multiLevelType w:val="hybridMultilevel"/>
    <w:tmpl w:val="92F0A412"/>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EL"/>
    <w:docVar w:name="dvnumam" w:val="0"/>
    <w:docVar w:name="dvpe" w:val="753.522"/>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Ινστιτούτου Καινοτομίας και Τεχνολογίας (ΕΙΤ) για το οικονομικό έτος 2022(2023/2154(DEC))"/>
  </w:docVars>
  <w:rsids>
    <w:rsidRoot w:val="00CB603B"/>
    <w:rsid w:val="00002272"/>
    <w:rsid w:val="00064002"/>
    <w:rsid w:val="000677B9"/>
    <w:rsid w:val="000831BA"/>
    <w:rsid w:val="000A42CC"/>
    <w:rsid w:val="000E7DD9"/>
    <w:rsid w:val="0010095E"/>
    <w:rsid w:val="001059AB"/>
    <w:rsid w:val="00125B37"/>
    <w:rsid w:val="00187494"/>
    <w:rsid w:val="001D633E"/>
    <w:rsid w:val="001F32AE"/>
    <w:rsid w:val="002767FF"/>
    <w:rsid w:val="002B18FE"/>
    <w:rsid w:val="002B5493"/>
    <w:rsid w:val="00343214"/>
    <w:rsid w:val="00361C00"/>
    <w:rsid w:val="00395FA1"/>
    <w:rsid w:val="00396F1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C0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EA0"/>
    <w:rsid w:val="00930C23"/>
    <w:rsid w:val="0093193B"/>
    <w:rsid w:val="009509D8"/>
    <w:rsid w:val="00950B64"/>
    <w:rsid w:val="00981893"/>
    <w:rsid w:val="009D5044"/>
    <w:rsid w:val="00A1687D"/>
    <w:rsid w:val="00A43E52"/>
    <w:rsid w:val="00A4678D"/>
    <w:rsid w:val="00A778C7"/>
    <w:rsid w:val="00AB441E"/>
    <w:rsid w:val="00AB6293"/>
    <w:rsid w:val="00AE0928"/>
    <w:rsid w:val="00AF3B82"/>
    <w:rsid w:val="00B12E95"/>
    <w:rsid w:val="00B22876"/>
    <w:rsid w:val="00B558F0"/>
    <w:rsid w:val="00B81B17"/>
    <w:rsid w:val="00BD48FE"/>
    <w:rsid w:val="00BD7BD8"/>
    <w:rsid w:val="00BE6ADC"/>
    <w:rsid w:val="00C05BFE"/>
    <w:rsid w:val="00C23CD4"/>
    <w:rsid w:val="00C61C0C"/>
    <w:rsid w:val="00C941CB"/>
    <w:rsid w:val="00CB603B"/>
    <w:rsid w:val="00CC2357"/>
    <w:rsid w:val="00CF071A"/>
    <w:rsid w:val="00D058B8"/>
    <w:rsid w:val="00D2605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7EE"/>
    <w:rsid w:val="00F5134D"/>
    <w:rsid w:val="00F5273C"/>
    <w:rsid w:val="00F74202"/>
    <w:rsid w:val="00F87713"/>
    <w:rsid w:val="00FB4360"/>
    <w:rsid w:val="00FD0C70"/>
    <w:rsid w:val="00FD131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886F6"/>
  <w15:chartTrackingRefBased/>
  <w15:docId w15:val="{0EB69186-137A-434D-862D-7EBB881F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13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1311"/>
    <w:pPr>
      <w:spacing w:before="480" w:after="240"/>
    </w:pPr>
  </w:style>
  <w:style w:type="paragraph" w:customStyle="1" w:styleId="PageHeading">
    <w:name w:val="PageHeading"/>
    <w:basedOn w:val="Normal"/>
    <w:rsid w:val="00FD1311"/>
    <w:pPr>
      <w:keepNext/>
      <w:spacing w:after="480"/>
      <w:jc w:val="center"/>
    </w:pPr>
    <w:rPr>
      <w:rFonts w:ascii="Arial" w:hAnsi="Arial" w:cs="Arial"/>
      <w:b/>
    </w:rPr>
  </w:style>
  <w:style w:type="paragraph" w:customStyle="1" w:styleId="NormalBold">
    <w:name w:val="NormalBold"/>
    <w:basedOn w:val="Normal"/>
    <w:rsid w:val="00FD1311"/>
    <w:rPr>
      <w:b/>
    </w:rPr>
  </w:style>
  <w:style w:type="paragraph" w:customStyle="1" w:styleId="NormalHanging12a">
    <w:name w:val="NormalHanging12a"/>
    <w:basedOn w:val="Normal"/>
    <w:link w:val="NormalHanging12aChar"/>
    <w:rsid w:val="00FD1311"/>
    <w:pPr>
      <w:spacing w:after="240"/>
      <w:ind w:left="567" w:hanging="567"/>
    </w:pPr>
  </w:style>
  <w:style w:type="paragraph" w:customStyle="1" w:styleId="NormalCenter12a">
    <w:name w:val="NormalCenter12a"/>
    <w:basedOn w:val="Normal"/>
    <w:rsid w:val="00FD1311"/>
    <w:pPr>
      <w:spacing w:after="240"/>
      <w:jc w:val="center"/>
    </w:pPr>
  </w:style>
  <w:style w:type="paragraph" w:styleId="Header">
    <w:name w:val="header"/>
    <w:basedOn w:val="Normal"/>
    <w:link w:val="HeaderChar"/>
    <w:rsid w:val="00FD1311"/>
    <w:pPr>
      <w:tabs>
        <w:tab w:val="center" w:pos="4513"/>
        <w:tab w:val="right" w:pos="9026"/>
      </w:tabs>
    </w:pPr>
  </w:style>
  <w:style w:type="character" w:customStyle="1" w:styleId="HeaderChar">
    <w:name w:val="Header Char"/>
    <w:basedOn w:val="DefaultParagraphFont"/>
    <w:link w:val="Header"/>
    <w:rsid w:val="00FD1311"/>
    <w:rPr>
      <w:sz w:val="24"/>
      <w:lang w:val="el-GR"/>
    </w:rPr>
  </w:style>
  <w:style w:type="paragraph" w:customStyle="1" w:styleId="EPFooter">
    <w:name w:val="EPFooter"/>
    <w:basedOn w:val="Normal"/>
    <w:rsid w:val="00FD1311"/>
    <w:pPr>
      <w:tabs>
        <w:tab w:val="center" w:pos="4535"/>
        <w:tab w:val="right" w:pos="9071"/>
      </w:tabs>
      <w:spacing w:before="240" w:after="240"/>
    </w:pPr>
    <w:rPr>
      <w:color w:val="010000"/>
      <w:sz w:val="22"/>
    </w:rPr>
  </w:style>
  <w:style w:type="paragraph" w:customStyle="1" w:styleId="Default">
    <w:name w:val="Default"/>
    <w:rsid w:val="00FD1311"/>
    <w:pPr>
      <w:autoSpaceDE w:val="0"/>
      <w:autoSpaceDN w:val="0"/>
      <w:adjustRightInd w:val="0"/>
    </w:pPr>
    <w:rPr>
      <w:rFonts w:eastAsia="Calibri"/>
      <w:color w:val="000000"/>
      <w:sz w:val="24"/>
      <w:szCs w:val="24"/>
      <w:lang w:val="el-GR" w:eastAsia="en-US"/>
    </w:rPr>
  </w:style>
  <w:style w:type="character" w:customStyle="1" w:styleId="NormalHanging12aChar">
    <w:name w:val="NormalHanging12a Char"/>
    <w:basedOn w:val="DefaultParagraphFont"/>
    <w:link w:val="NormalHanging12a"/>
    <w:locked/>
    <w:rsid w:val="00FD1311"/>
    <w:rPr>
      <w:sz w:val="24"/>
      <w:lang w:val="el-GR"/>
    </w:rPr>
  </w:style>
  <w:style w:type="paragraph" w:styleId="Footer">
    <w:name w:val="footer"/>
    <w:basedOn w:val="Normal"/>
    <w:link w:val="FooterChar"/>
    <w:rsid w:val="001059AB"/>
    <w:pPr>
      <w:tabs>
        <w:tab w:val="center" w:pos="4513"/>
        <w:tab w:val="right" w:pos="9026"/>
      </w:tabs>
    </w:pPr>
  </w:style>
  <w:style w:type="character" w:customStyle="1" w:styleId="FooterChar">
    <w:name w:val="Footer Char"/>
    <w:basedOn w:val="DefaultParagraphFont"/>
    <w:link w:val="Footer"/>
    <w:rsid w:val="001059AB"/>
    <w:rPr>
      <w:sz w:val="24"/>
      <w:lang w:val="el-GR"/>
    </w:rPr>
  </w:style>
  <w:style w:type="paragraph" w:styleId="ListParagraph">
    <w:name w:val="List Paragraph"/>
    <w:basedOn w:val="Normal"/>
    <w:uiPriority w:val="34"/>
    <w:qFormat/>
    <w:rsid w:val="00D26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472AA-8846-4A16-A5C2-7712E762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4337</Words>
  <Characters>26345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2024-05-15T09:44:00Z</dcterms:created>
  <dcterms:modified xsi:type="dcterms:W3CDTF">2024-05-15T09:44:00Z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P9_TA(2024)0267_</vt:lpwstr>
  </property>
  <property fmtid="{D5CDD505-2E9C-101B-9397-08002B2CF9AE}" pid="4" name="&lt;Type&gt;">
    <vt:lpwstr>RR</vt:lpwstr>
  </property>
</Properties>
</file>