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F58A6" w:rsidTr="0010095E">
        <w:trPr>
          <w:trHeight w:hRule="exact" w:val="1418"/>
        </w:trPr>
        <w:tc>
          <w:tcPr>
            <w:tcW w:w="6804" w:type="dxa"/>
            <w:shd w:val="clear" w:color="auto" w:fill="auto"/>
            <w:vAlign w:val="center"/>
          </w:tcPr>
          <w:p w:rsidR="00751A4A" w:rsidRPr="009F58A6" w:rsidRDefault="0017576F" w:rsidP="006E4005">
            <w:pPr>
              <w:pStyle w:val="EPName"/>
              <w:widowControl/>
            </w:pPr>
            <w:r w:rsidRPr="009F58A6">
              <w:t>Euroopan parlamentti</w:t>
            </w:r>
          </w:p>
          <w:p w:rsidR="00751A4A" w:rsidRPr="009F58A6" w:rsidRDefault="00817416" w:rsidP="006E4005">
            <w:pPr>
              <w:pStyle w:val="EPTerm"/>
              <w:widowControl/>
              <w:rPr>
                <w:rStyle w:val="HideTWBExt"/>
                <w:noProof w:val="0"/>
                <w:vanish w:val="0"/>
                <w:color w:val="auto"/>
              </w:rPr>
            </w:pPr>
            <w:r w:rsidRPr="009F58A6">
              <w:t>2019-2024</w:t>
            </w:r>
          </w:p>
        </w:tc>
        <w:tc>
          <w:tcPr>
            <w:tcW w:w="2268" w:type="dxa"/>
            <w:shd w:val="clear" w:color="auto" w:fill="auto"/>
          </w:tcPr>
          <w:p w:rsidR="00751A4A" w:rsidRPr="009F58A6" w:rsidRDefault="00187494" w:rsidP="006E4005">
            <w:pPr>
              <w:pStyle w:val="EPLogo"/>
              <w:widowControl/>
            </w:pPr>
            <w:r w:rsidRPr="009F58A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F58A6" w:rsidRDefault="00D058B8" w:rsidP="006E4005">
      <w:pPr>
        <w:pStyle w:val="LineTop"/>
        <w:widowControl/>
      </w:pPr>
    </w:p>
    <w:p w:rsidR="00680577" w:rsidRPr="009F58A6" w:rsidRDefault="0017576F" w:rsidP="006E4005">
      <w:pPr>
        <w:pStyle w:val="EPBodyTA1"/>
        <w:widowControl/>
      </w:pPr>
      <w:r w:rsidRPr="009F58A6">
        <w:t>HYVÄKSYTYT TEKSTIT</w:t>
      </w:r>
    </w:p>
    <w:p w:rsidR="00D058B8" w:rsidRPr="009F58A6" w:rsidRDefault="00D058B8" w:rsidP="006E4005">
      <w:pPr>
        <w:pStyle w:val="LineBottom"/>
        <w:widowControl/>
      </w:pPr>
    </w:p>
    <w:p w:rsidR="0017576F" w:rsidRPr="009F58A6" w:rsidRDefault="0017576F" w:rsidP="006E4005">
      <w:pPr>
        <w:pStyle w:val="ATHeading1"/>
      </w:pPr>
      <w:bookmarkStart w:id="0" w:name="TANumber"/>
      <w:r w:rsidRPr="009F58A6">
        <w:t>P9_TA(2024)0</w:t>
      </w:r>
      <w:r w:rsidR="00535A7C">
        <w:t>267</w:t>
      </w:r>
      <w:bookmarkEnd w:id="0"/>
    </w:p>
    <w:p w:rsidR="0017576F" w:rsidRPr="009F58A6" w:rsidRDefault="0017576F" w:rsidP="006E4005">
      <w:pPr>
        <w:pStyle w:val="ATHeading2"/>
      </w:pPr>
      <w:bookmarkStart w:id="1" w:name="title"/>
      <w:r w:rsidRPr="009F58A6">
        <w:t>Vastuuvapaus 2022: Euroopan innovaatio- ja teknologiainstituutti (EIT)</w:t>
      </w:r>
      <w:bookmarkEnd w:id="1"/>
    </w:p>
    <w:p w:rsidR="0017576F" w:rsidRPr="009F58A6" w:rsidRDefault="0017576F" w:rsidP="006E4005">
      <w:pPr>
        <w:widowControl/>
        <w:rPr>
          <w:i/>
          <w:vanish/>
        </w:rPr>
      </w:pPr>
      <w:r w:rsidRPr="009F58A6">
        <w:rPr>
          <w:i/>
        </w:rPr>
        <w:fldChar w:fldCharType="begin"/>
      </w:r>
      <w:r w:rsidRPr="009F58A6">
        <w:rPr>
          <w:i/>
        </w:rPr>
        <w:instrText xml:space="preserve"> TC"(</w:instrText>
      </w:r>
      <w:bookmarkStart w:id="2" w:name="DocNumber"/>
      <w:r w:rsidRPr="009F58A6">
        <w:rPr>
          <w:i/>
        </w:rPr>
        <w:instrText>A9-0132/2024</w:instrText>
      </w:r>
      <w:bookmarkEnd w:id="2"/>
      <w:r w:rsidRPr="009F58A6">
        <w:rPr>
          <w:i/>
        </w:rPr>
        <w:instrText xml:space="preserve"> - Esittelijä: Petri Sarvamaa)"\l3 \n&gt; \* MERGEFORMAT </w:instrText>
      </w:r>
      <w:r w:rsidRPr="009F58A6">
        <w:rPr>
          <w:i/>
        </w:rPr>
        <w:fldChar w:fldCharType="end"/>
      </w:r>
    </w:p>
    <w:p w:rsidR="0017576F" w:rsidRPr="009F58A6" w:rsidRDefault="0017576F" w:rsidP="006E4005">
      <w:pPr>
        <w:widowControl/>
        <w:rPr>
          <w:vanish/>
        </w:rPr>
      </w:pPr>
      <w:bookmarkStart w:id="3" w:name="Commission"/>
      <w:r w:rsidRPr="009F58A6">
        <w:rPr>
          <w:vanish/>
        </w:rPr>
        <w:t>Talousarvion valvontavaliokunta</w:t>
      </w:r>
      <w:bookmarkEnd w:id="3"/>
    </w:p>
    <w:p w:rsidR="0017576F" w:rsidRPr="009F58A6" w:rsidRDefault="0017576F" w:rsidP="006E4005">
      <w:pPr>
        <w:widowControl/>
        <w:rPr>
          <w:vanish/>
        </w:rPr>
      </w:pPr>
      <w:bookmarkStart w:id="4" w:name="PE"/>
      <w:r w:rsidRPr="009F58A6">
        <w:rPr>
          <w:vanish/>
        </w:rPr>
        <w:t>PE753.522</w:t>
      </w:r>
      <w:bookmarkEnd w:id="4"/>
    </w:p>
    <w:p w:rsidR="0017576F" w:rsidRPr="009F58A6" w:rsidRDefault="0017576F" w:rsidP="006E4005">
      <w:pPr>
        <w:pStyle w:val="ATHeading3"/>
      </w:pPr>
      <w:bookmarkStart w:id="5" w:name="Sujet"/>
      <w:r w:rsidRPr="009F58A6">
        <w:t>1. Euroopan parlamentin päätös 11. huhtikuuta 2024 vastuuvapauden myöntämisestä Euroopan innovaatio- ja teknologiainstituutin (EIT) talousarvion toteuttamisesta varainhoitovuonna 2022</w:t>
      </w:r>
      <w:bookmarkEnd w:id="5"/>
      <w:r w:rsidRPr="009F58A6">
        <w:t xml:space="preserve"> </w:t>
      </w:r>
      <w:bookmarkStart w:id="6" w:name="References"/>
      <w:r w:rsidRPr="009F58A6">
        <w:t>(2023/2154(DEC))</w:t>
      </w:r>
      <w:bookmarkEnd w:id="6"/>
    </w:p>
    <w:p w:rsidR="006957D0" w:rsidRPr="009F58A6" w:rsidRDefault="006957D0" w:rsidP="006E4005">
      <w:pPr>
        <w:pStyle w:val="EPComma"/>
        <w:widowControl/>
      </w:pPr>
      <w:bookmarkStart w:id="7" w:name="TextBodyBegin"/>
      <w:bookmarkEnd w:id="7"/>
      <w:r w:rsidRPr="009F58A6">
        <w:rPr>
          <w:i/>
        </w:rPr>
        <w:t>Euroopan parlamentti</w:t>
      </w:r>
      <w:r w:rsidRPr="009F58A6">
        <w:t>, joka</w:t>
      </w:r>
    </w:p>
    <w:p w:rsidR="006957D0" w:rsidRPr="009F58A6" w:rsidRDefault="006957D0" w:rsidP="006E4005">
      <w:pPr>
        <w:pStyle w:val="NormalHanging12a"/>
        <w:widowControl/>
      </w:pPr>
      <w:r w:rsidRPr="009F58A6">
        <w:t>–</w:t>
      </w:r>
      <w:r w:rsidRPr="009F58A6">
        <w:tab/>
        <w:t>ottaa huomioon Euroopan innovaatio- ja teknologiainstituutin (EIT) lopullisen tilinpäätöksen varainhoitovuodelta 2022,</w:t>
      </w:r>
    </w:p>
    <w:p w:rsidR="006957D0" w:rsidRPr="009F58A6" w:rsidRDefault="006957D0" w:rsidP="006E4005">
      <w:pPr>
        <w:pStyle w:val="NormalHanging12a"/>
        <w:widowControl/>
      </w:pPr>
      <w:r w:rsidRPr="009F58A6">
        <w:t>–</w:t>
      </w:r>
      <w:r w:rsidRPr="009F58A6">
        <w:tab/>
        <w:t>ottaa huomioon tilintarkastustuomioistuimen vuosikertomuksen EU:n virastoista varainhoitovuodelta 2022 sekä virastojen vastaukset</w:t>
      </w:r>
      <w:r w:rsidRPr="009F58A6">
        <w:rPr>
          <w:rStyle w:val="FootnoteReference"/>
        </w:rPr>
        <w:footnoteReference w:id="1"/>
      </w:r>
      <w:r w:rsidRPr="009F58A6">
        <w:t>,</w:t>
      </w:r>
    </w:p>
    <w:p w:rsidR="006957D0" w:rsidRPr="009F58A6" w:rsidRDefault="006957D0" w:rsidP="006E4005">
      <w:pPr>
        <w:pStyle w:val="NormalHanging12a"/>
        <w:widowControl/>
      </w:pPr>
      <w:r w:rsidRPr="009F58A6">
        <w:t>–</w:t>
      </w:r>
      <w:r w:rsidRPr="009F58A6">
        <w:tab/>
        <w:t>ottaa huomioon tilintarkastustuomioistuimen Euroopan unionin toiminnasta tehdyn sopimuksen 287 artiklan mukaisesti antaman varainhoitovuotta 2022 koskevan lausuman</w:t>
      </w:r>
      <w:r w:rsidRPr="009F58A6">
        <w:rPr>
          <w:rStyle w:val="FootnoteReference"/>
        </w:rPr>
        <w:footnoteReference w:id="2"/>
      </w:r>
      <w:r w:rsidRPr="009F58A6">
        <w:t xml:space="preserve"> tilien luotettavuudesta sekä tilien perustana olevien toimien laillisuudesta ja asianmukaisuudesta (sääntöjenmukaisuudesta),</w:t>
      </w:r>
    </w:p>
    <w:p w:rsidR="006957D0" w:rsidRPr="009F58A6" w:rsidRDefault="006957D0" w:rsidP="006E4005">
      <w:pPr>
        <w:pStyle w:val="NormalHanging12a"/>
        <w:widowControl/>
      </w:pPr>
      <w:r w:rsidRPr="009F58A6">
        <w:t>–</w:t>
      </w:r>
      <w:r w:rsidRPr="009F58A6">
        <w:tab/>
        <w:t>ottaa huomioon neuvoston 22. helmikuuta 2024 antaman suosituksen varainhoitovuoden 2022 talousarvion toteuttamista koskevan vastuuvapauden myöntämisestä instituutille (0</w:t>
      </w:r>
      <w:r w:rsidR="006E4005">
        <w:t>618</w:t>
      </w:r>
      <w:r w:rsidRPr="009F58A6">
        <w:t>0/2024 – C9</w:t>
      </w:r>
      <w:r w:rsidRPr="009F58A6">
        <w:noBreakHyphen/>
        <w:t>00</w:t>
      </w:r>
      <w:r w:rsidR="006E4005">
        <w:t>92</w:t>
      </w:r>
      <w:r w:rsidRPr="009F58A6">
        <w:t>/2024),</w:t>
      </w:r>
    </w:p>
    <w:p w:rsidR="006957D0" w:rsidRPr="009F58A6" w:rsidRDefault="006957D0" w:rsidP="006E4005">
      <w:pPr>
        <w:pStyle w:val="NormalHanging12a"/>
        <w:widowControl/>
      </w:pPr>
      <w:r w:rsidRPr="009F58A6">
        <w:t>–</w:t>
      </w:r>
      <w:r w:rsidRPr="009F58A6">
        <w:tab/>
        <w:t>ottaa huomioon Euroopan unionin toiminnasta tehdyn sopimuksen 319 artiklan,</w:t>
      </w:r>
    </w:p>
    <w:p w:rsidR="006957D0" w:rsidRPr="009F58A6" w:rsidRDefault="006957D0" w:rsidP="006E4005">
      <w:pPr>
        <w:pStyle w:val="NormalHanging12a"/>
        <w:widowControl/>
      </w:pPr>
      <w:r w:rsidRPr="009F58A6">
        <w:t>–</w:t>
      </w:r>
      <w:r w:rsidRPr="009F58A6">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9F58A6">
        <w:rPr>
          <w:rStyle w:val="FootnoteReference"/>
        </w:rPr>
        <w:footnoteReference w:id="3"/>
      </w:r>
      <w:r w:rsidRPr="009F58A6">
        <w:t xml:space="preserve"> ja erityisesti sen 70 artiklan,</w:t>
      </w:r>
    </w:p>
    <w:p w:rsidR="006957D0" w:rsidRPr="009F58A6" w:rsidRDefault="006957D0" w:rsidP="006E4005">
      <w:pPr>
        <w:pStyle w:val="NormalHanging12a"/>
        <w:widowControl/>
      </w:pPr>
      <w:r w:rsidRPr="009F58A6">
        <w:lastRenderedPageBreak/>
        <w:t>–</w:t>
      </w:r>
      <w:r w:rsidRPr="009F58A6">
        <w:tab/>
        <w:t>ottaa huomioon Euroopan innovaatio- ja teknologiainstituutista 20. toukokuuta 2021 annetun Euroopan parlamentin ja neuvoston asetuksen (EU) 2021/819</w:t>
      </w:r>
      <w:r w:rsidRPr="009F58A6">
        <w:rPr>
          <w:rStyle w:val="FootnoteReference"/>
        </w:rPr>
        <w:footnoteReference w:id="4"/>
      </w:r>
      <w:r w:rsidRPr="009F58A6">
        <w:t xml:space="preserve"> ja erityisesti sen 23 artiklan,</w:t>
      </w:r>
    </w:p>
    <w:p w:rsidR="006957D0" w:rsidRPr="009F58A6" w:rsidRDefault="006957D0" w:rsidP="006E4005">
      <w:pPr>
        <w:pStyle w:val="NormalHanging12a"/>
        <w:widowControl/>
      </w:pPr>
      <w:r w:rsidRPr="009F58A6">
        <w:t>–</w:t>
      </w:r>
      <w:r w:rsidRPr="009F58A6">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9F58A6">
        <w:rPr>
          <w:rStyle w:val="FootnoteReference"/>
        </w:rPr>
        <w:footnoteReference w:id="5"/>
      </w:r>
      <w:r w:rsidRPr="009F58A6">
        <w:t xml:space="preserve"> ja erityisesti sen 105 artiklan,</w:t>
      </w:r>
    </w:p>
    <w:p w:rsidR="006957D0" w:rsidRPr="009F58A6" w:rsidRDefault="006957D0" w:rsidP="006E4005">
      <w:pPr>
        <w:pStyle w:val="NormalHanging12a"/>
        <w:widowControl/>
      </w:pPr>
      <w:r w:rsidRPr="009F58A6">
        <w:t>–</w:t>
      </w:r>
      <w:r w:rsidRPr="009F58A6">
        <w:tab/>
        <w:t>ottaa huomioon työjärjestyksen 100 artiklan ja liitteen V,</w:t>
      </w:r>
    </w:p>
    <w:p w:rsidR="006957D0" w:rsidRPr="009F58A6" w:rsidRDefault="006957D0" w:rsidP="006E4005">
      <w:pPr>
        <w:pStyle w:val="NormalHanging12a"/>
        <w:widowControl/>
      </w:pPr>
      <w:r w:rsidRPr="009F58A6">
        <w:t>–</w:t>
      </w:r>
      <w:r w:rsidRPr="009F58A6">
        <w:tab/>
        <w:t>ottaa huomioon talousarvion valvontavaliokunnan mietinnön (A9-0132/2024),</w:t>
      </w:r>
    </w:p>
    <w:p w:rsidR="006957D0" w:rsidRPr="009F58A6" w:rsidRDefault="006957D0" w:rsidP="006E4005">
      <w:pPr>
        <w:pStyle w:val="NormalHanging12a"/>
        <w:widowControl/>
      </w:pPr>
      <w:r w:rsidRPr="009F58A6">
        <w:t>1.</w:t>
      </w:r>
      <w:r w:rsidRPr="009F58A6">
        <w:tab/>
        <w:t>myöntää Euroopan innovaatio- ja teknologiainstituutin (EIT) johtajalle vastuuvapauden instituutin talousarvion toteuttamisesta varainhoitovuonna 2022;</w:t>
      </w:r>
    </w:p>
    <w:p w:rsidR="006957D0" w:rsidRPr="009F58A6" w:rsidRDefault="006957D0" w:rsidP="006E4005">
      <w:pPr>
        <w:pStyle w:val="NormalHanging12a"/>
        <w:widowControl/>
      </w:pPr>
      <w:r w:rsidRPr="009F58A6">
        <w:t>2.</w:t>
      </w:r>
      <w:r w:rsidRPr="009F58A6">
        <w:tab/>
        <w:t>esittää huomautuksensa oheisessa päätöslauselmassa;</w:t>
      </w:r>
    </w:p>
    <w:p w:rsidR="006957D0" w:rsidRPr="009F58A6" w:rsidRDefault="006957D0" w:rsidP="006E4005">
      <w:pPr>
        <w:pStyle w:val="NormalHanging12a"/>
        <w:widowControl/>
      </w:pPr>
      <w:r w:rsidRPr="009F58A6">
        <w:t>3.</w:t>
      </w:r>
      <w:r w:rsidRPr="009F58A6">
        <w:tab/>
        <w:t xml:space="preserve">kehottaa puhemiestä välittämään tämän päätöksen ja siihen erottamattomasti kuuluvan päätöslauselman Euroopan innovaatio- ja teknologiainstituutin (EIT) johtajalle, neuvostolle, komissiolle ja tilintarkastustuomioistuimelle sekä huolehtimaan niiden julkaisemisesta </w:t>
      </w:r>
      <w:r w:rsidRPr="009F58A6">
        <w:rPr>
          <w:i/>
          <w:iCs/>
        </w:rPr>
        <w:t>Euroopan unionin virallisessa lehdessä</w:t>
      </w:r>
      <w:r w:rsidRPr="009F58A6">
        <w:t xml:space="preserve"> (L-sarja).</w:t>
      </w:r>
    </w:p>
    <w:p w:rsidR="006957D0" w:rsidRPr="009F58A6" w:rsidRDefault="006957D0" w:rsidP="006E4005">
      <w:pPr>
        <w:widowControl/>
      </w:pPr>
    </w:p>
    <w:p w:rsidR="006957D0" w:rsidRPr="009F58A6" w:rsidRDefault="006957D0" w:rsidP="006E4005">
      <w:pPr>
        <w:widowControl/>
        <w:rPr>
          <w:rFonts w:ascii="Arial" w:hAnsi="Arial" w:cs="Arial"/>
          <w:b/>
        </w:rPr>
        <w:sectPr w:rsidR="006957D0" w:rsidRPr="009F58A6" w:rsidSect="009F58A6">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6957D0" w:rsidRPr="009F58A6" w:rsidRDefault="006957D0" w:rsidP="006E4005">
      <w:pPr>
        <w:pStyle w:val="ATHeading3"/>
      </w:pPr>
      <w:bookmarkStart w:id="8" w:name="_Toc146809150"/>
      <w:bookmarkStart w:id="9" w:name="_Toc162000478"/>
      <w:r w:rsidRPr="009F58A6">
        <w:lastRenderedPageBreak/>
        <w:t xml:space="preserve">2. </w:t>
      </w:r>
      <w:bookmarkEnd w:id="8"/>
      <w:bookmarkEnd w:id="9"/>
      <w:r w:rsidR="006E4005" w:rsidRPr="009F58A6">
        <w:t>Euroopan parlamentin päätös 11. huhtikuuta 2024</w:t>
      </w:r>
      <w:r w:rsidR="006E4005">
        <w:t xml:space="preserve"> </w:t>
      </w:r>
      <w:r w:rsidRPr="009F58A6">
        <w:t>Euroopan innovaatio- ja teknologiainstituutin (EIT) varainhoitovuoden 2022 tilien päättämisestä</w:t>
      </w:r>
      <w:r w:rsidR="006E4005">
        <w:t xml:space="preserve"> </w:t>
      </w:r>
      <w:r w:rsidRPr="009F58A6">
        <w:t>(2023/2154(DEC))</w:t>
      </w:r>
    </w:p>
    <w:p w:rsidR="006957D0" w:rsidRPr="009F58A6" w:rsidRDefault="006957D0" w:rsidP="006E4005">
      <w:pPr>
        <w:pStyle w:val="EPComma"/>
        <w:widowControl/>
      </w:pPr>
      <w:r w:rsidRPr="009F58A6">
        <w:rPr>
          <w:i/>
        </w:rPr>
        <w:t>Euroopan parlamentti</w:t>
      </w:r>
      <w:r w:rsidRPr="009F58A6">
        <w:t>, joka</w:t>
      </w:r>
    </w:p>
    <w:p w:rsidR="006957D0" w:rsidRPr="009F58A6" w:rsidRDefault="006957D0" w:rsidP="006E4005">
      <w:pPr>
        <w:pStyle w:val="NormalHanging12a"/>
        <w:widowControl/>
      </w:pPr>
      <w:r w:rsidRPr="009F58A6">
        <w:t>–</w:t>
      </w:r>
      <w:r w:rsidRPr="009F58A6">
        <w:tab/>
        <w:t>ottaa huomioon Euroopan innovaatio- ja teknologiainstituutin (EIT) lopullisen tilinpäätöksen varainhoitovuodelta 2022,</w:t>
      </w:r>
    </w:p>
    <w:p w:rsidR="006957D0" w:rsidRPr="009F58A6" w:rsidRDefault="006957D0" w:rsidP="006E4005">
      <w:pPr>
        <w:pStyle w:val="NormalHanging12a"/>
        <w:widowControl/>
      </w:pPr>
      <w:r w:rsidRPr="009F58A6">
        <w:t>–</w:t>
      </w:r>
      <w:r w:rsidRPr="009F58A6">
        <w:tab/>
        <w:t>ottaa huomioon tilintarkastustuomioistuimen vuosikertomuksen EU:n virastoista varainhoitovuodelta 2022 sekä virastojen vastaukset</w:t>
      </w:r>
      <w:r w:rsidRPr="009F58A6">
        <w:rPr>
          <w:rStyle w:val="FootnoteReference"/>
        </w:rPr>
        <w:footnoteReference w:id="6"/>
      </w:r>
      <w:r w:rsidRPr="009F58A6">
        <w:t>,</w:t>
      </w:r>
    </w:p>
    <w:p w:rsidR="006957D0" w:rsidRPr="009F58A6" w:rsidRDefault="006957D0" w:rsidP="006E4005">
      <w:pPr>
        <w:pStyle w:val="NormalHanging12a"/>
        <w:widowControl/>
      </w:pPr>
      <w:r w:rsidRPr="009F58A6">
        <w:t>–</w:t>
      </w:r>
      <w:r w:rsidRPr="009F58A6">
        <w:tab/>
        <w:t>ottaa huomioon tilintarkastustuomioistuimen Euroopan unionin toiminnasta tehdyn sopimuksen 287 artiklan mukaisesti antaman varainhoitovuotta 2022 koskevan lausuman</w:t>
      </w:r>
      <w:r w:rsidRPr="009F58A6">
        <w:rPr>
          <w:rStyle w:val="FootnoteReference"/>
        </w:rPr>
        <w:footnoteReference w:id="7"/>
      </w:r>
      <w:r w:rsidRPr="009F58A6">
        <w:t xml:space="preserve"> tilien luotettavuudesta sekä tilien perustana olevien toimien laillisuudesta ja asianmukaisuudesta (sääntöjenmukaisuudesta),</w:t>
      </w:r>
    </w:p>
    <w:p w:rsidR="006957D0" w:rsidRPr="009F58A6" w:rsidRDefault="006957D0" w:rsidP="006E4005">
      <w:pPr>
        <w:pStyle w:val="NormalHanging12a"/>
        <w:widowControl/>
      </w:pPr>
      <w:r w:rsidRPr="009F58A6">
        <w:t>–</w:t>
      </w:r>
      <w:r w:rsidRPr="009F58A6">
        <w:tab/>
        <w:t>ottaa huomioon neuvoston 22. helmikuuta 2024 antaman suosituksen varainhoitovuoden 2022 talousarvion toteuttamista koskevan vastuuvapauden myöntämisestä instituutille (0</w:t>
      </w:r>
      <w:r w:rsidR="006E4005">
        <w:t>618</w:t>
      </w:r>
      <w:r w:rsidRPr="009F58A6">
        <w:t>0/2024 – C9</w:t>
      </w:r>
      <w:r w:rsidRPr="009F58A6">
        <w:noBreakHyphen/>
        <w:t>00</w:t>
      </w:r>
      <w:r w:rsidR="006E4005">
        <w:t>92</w:t>
      </w:r>
      <w:r w:rsidRPr="009F58A6">
        <w:t>/2024),</w:t>
      </w:r>
    </w:p>
    <w:p w:rsidR="006957D0" w:rsidRPr="009F58A6" w:rsidRDefault="006957D0" w:rsidP="006E4005">
      <w:pPr>
        <w:pStyle w:val="NormalHanging12a"/>
        <w:widowControl/>
      </w:pPr>
      <w:r w:rsidRPr="009F58A6">
        <w:t>–</w:t>
      </w:r>
      <w:r w:rsidRPr="009F58A6">
        <w:tab/>
        <w:t>ottaa huomioon Euroopan unionin toiminnasta tehdyn sopimuksen 319 artiklan,</w:t>
      </w:r>
    </w:p>
    <w:p w:rsidR="006957D0" w:rsidRPr="009F58A6" w:rsidRDefault="006957D0" w:rsidP="006E4005">
      <w:pPr>
        <w:pStyle w:val="NormalHanging12a"/>
        <w:widowControl/>
      </w:pPr>
      <w:r w:rsidRPr="009F58A6">
        <w:t>–</w:t>
      </w:r>
      <w:r w:rsidRPr="009F58A6">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9F58A6">
        <w:rPr>
          <w:rStyle w:val="FootnoteReference"/>
        </w:rPr>
        <w:footnoteReference w:id="8"/>
      </w:r>
      <w:r w:rsidRPr="009F58A6">
        <w:t xml:space="preserve"> ja erityisesti sen 70 artiklan,</w:t>
      </w:r>
    </w:p>
    <w:p w:rsidR="006957D0" w:rsidRPr="009F58A6" w:rsidRDefault="006957D0" w:rsidP="006E4005">
      <w:pPr>
        <w:pStyle w:val="NormalHanging12a"/>
        <w:widowControl/>
      </w:pPr>
      <w:r w:rsidRPr="009F58A6">
        <w:t>–</w:t>
      </w:r>
      <w:r w:rsidRPr="009F58A6">
        <w:tab/>
        <w:t>ottaa huomioon Euroopan innovaatio- ja teknologiainstituutista 20. toukokuuta 2021 annetun Euroopan parlamentin ja neuvoston asetuksen (EU) 2021/819</w:t>
      </w:r>
      <w:r w:rsidRPr="009F58A6">
        <w:rPr>
          <w:rStyle w:val="FootnoteReference"/>
        </w:rPr>
        <w:footnoteReference w:id="9"/>
      </w:r>
      <w:r w:rsidRPr="009F58A6">
        <w:t xml:space="preserve"> ja erityisesti sen 23 artiklan,</w:t>
      </w:r>
    </w:p>
    <w:p w:rsidR="006957D0" w:rsidRPr="009F58A6" w:rsidRDefault="006957D0" w:rsidP="006E4005">
      <w:pPr>
        <w:pStyle w:val="NormalHanging12a"/>
        <w:widowControl/>
      </w:pPr>
      <w:r w:rsidRPr="009F58A6">
        <w:t>–</w:t>
      </w:r>
      <w:r w:rsidRPr="009F58A6">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9F58A6">
        <w:rPr>
          <w:rStyle w:val="FootnoteReference"/>
        </w:rPr>
        <w:footnoteReference w:id="10"/>
      </w:r>
      <w:r w:rsidRPr="009F58A6">
        <w:t xml:space="preserve"> ja erityisesti sen 105 artiklan,</w:t>
      </w:r>
    </w:p>
    <w:p w:rsidR="006957D0" w:rsidRPr="009F58A6" w:rsidRDefault="006957D0" w:rsidP="006E4005">
      <w:pPr>
        <w:pStyle w:val="NormalHanging12a"/>
        <w:widowControl/>
      </w:pPr>
      <w:r w:rsidRPr="009F58A6">
        <w:t>–</w:t>
      </w:r>
      <w:r w:rsidRPr="009F58A6">
        <w:tab/>
        <w:t>ottaa huomioon työjärjestyksen 100 artiklan ja liitteen V,</w:t>
      </w:r>
    </w:p>
    <w:p w:rsidR="006957D0" w:rsidRPr="009F58A6" w:rsidRDefault="006957D0" w:rsidP="006E4005">
      <w:pPr>
        <w:pStyle w:val="NormalHanging12a"/>
        <w:widowControl/>
      </w:pPr>
      <w:r w:rsidRPr="009F58A6">
        <w:t>–</w:t>
      </w:r>
      <w:r w:rsidRPr="009F58A6">
        <w:tab/>
        <w:t>ottaa huomioon talousarvion valvontavaliokunnan mietinnön (A9-0132/2024),</w:t>
      </w:r>
    </w:p>
    <w:p w:rsidR="006957D0" w:rsidRPr="009F58A6" w:rsidRDefault="006957D0" w:rsidP="006E4005">
      <w:pPr>
        <w:pStyle w:val="NormalHanging12a"/>
        <w:widowControl/>
      </w:pPr>
      <w:r w:rsidRPr="009F58A6">
        <w:lastRenderedPageBreak/>
        <w:t>1.</w:t>
      </w:r>
      <w:r w:rsidRPr="009F58A6">
        <w:tab/>
        <w:t>hyväksyy Euroopan innovaatio- ja teknologiainstituutin (EIT) varainhoitovuoden 2022 tilien päättämisen;</w:t>
      </w:r>
    </w:p>
    <w:p w:rsidR="006957D0" w:rsidRPr="009F58A6" w:rsidRDefault="006957D0" w:rsidP="006E4005">
      <w:pPr>
        <w:pStyle w:val="NormalHanging12a"/>
        <w:widowControl/>
      </w:pPr>
      <w:r w:rsidRPr="009F58A6">
        <w:t>2.</w:t>
      </w:r>
      <w:r w:rsidRPr="009F58A6">
        <w:tab/>
        <w:t xml:space="preserve">kehottaa puhemiestä välittämään tämän päätöksen Euroopan innovaatio- ja teknologiainstituutin (EIT) johtajalle, neuvostolle, komissiolle ja tilintarkastustuomioistuimelle sekä huolehtimaan sen julkaisemisesta </w:t>
      </w:r>
      <w:r w:rsidRPr="009F58A6">
        <w:rPr>
          <w:i/>
          <w:iCs/>
        </w:rPr>
        <w:t>Euroopan unionin virallisessa lehdessä</w:t>
      </w:r>
      <w:r w:rsidRPr="009F58A6">
        <w:t xml:space="preserve"> (L-sarja).</w:t>
      </w:r>
    </w:p>
    <w:p w:rsidR="006957D0" w:rsidRPr="009F58A6" w:rsidRDefault="006957D0" w:rsidP="006E4005">
      <w:pPr>
        <w:widowControl/>
      </w:pPr>
    </w:p>
    <w:p w:rsidR="006957D0" w:rsidRPr="009F58A6" w:rsidRDefault="006957D0" w:rsidP="006E4005">
      <w:pPr>
        <w:widowControl/>
        <w:rPr>
          <w:rFonts w:ascii="Arial" w:hAnsi="Arial" w:cs="Arial"/>
          <w:b/>
        </w:rPr>
        <w:sectPr w:rsidR="006957D0" w:rsidRPr="009F58A6" w:rsidSect="009F58A6">
          <w:footnotePr>
            <w:numRestart w:val="eachPage"/>
          </w:footnotePr>
          <w:endnotePr>
            <w:numFmt w:val="decimal"/>
          </w:endnotePr>
          <w:pgSz w:w="11906" w:h="16838"/>
          <w:pgMar w:top="1134" w:right="1418" w:bottom="1418" w:left="1418" w:header="567" w:footer="567" w:gutter="0"/>
          <w:cols w:space="720"/>
          <w:docGrid w:linePitch="326"/>
        </w:sectPr>
      </w:pPr>
    </w:p>
    <w:p w:rsidR="006957D0" w:rsidRPr="009F58A6" w:rsidRDefault="006957D0" w:rsidP="006E4005">
      <w:pPr>
        <w:pStyle w:val="ATHeading3"/>
      </w:pPr>
      <w:bookmarkStart w:id="10" w:name="_Toc146809151"/>
      <w:bookmarkStart w:id="11" w:name="_Toc162000479"/>
      <w:r w:rsidRPr="009F58A6">
        <w:lastRenderedPageBreak/>
        <w:t>3.</w:t>
      </w:r>
      <w:bookmarkEnd w:id="10"/>
      <w:bookmarkEnd w:id="11"/>
      <w:r w:rsidR="006E4005">
        <w:t xml:space="preserve"> </w:t>
      </w:r>
      <w:r w:rsidR="006E4005" w:rsidRPr="009F58A6">
        <w:t>Euroopan parlamentin päätöslauselma 11. huhtikuuta 2024</w:t>
      </w:r>
      <w:r w:rsidR="006E4005">
        <w:t xml:space="preserve">, </w:t>
      </w:r>
      <w:r w:rsidRPr="009F58A6">
        <w:t>joka sisältää huomautukset, jotka ovat erottamaton osa päätöstä vastuuvapauden myöntämisestä Euroopan innovaatio- ja teknologiainstituutin (EIT) talousarvion toteuttamisesta varainhoitovuonna 2022</w:t>
      </w:r>
      <w:r w:rsidR="006E4005">
        <w:t xml:space="preserve"> </w:t>
      </w:r>
      <w:r w:rsidRPr="009F58A6">
        <w:t>(2023/2154(DEC))</w:t>
      </w:r>
    </w:p>
    <w:p w:rsidR="006957D0" w:rsidRPr="009F58A6" w:rsidRDefault="006957D0" w:rsidP="006E4005">
      <w:pPr>
        <w:pStyle w:val="EPComma"/>
        <w:widowControl/>
      </w:pPr>
      <w:r w:rsidRPr="009F58A6">
        <w:rPr>
          <w:i/>
        </w:rPr>
        <w:t>Euroopan parlamentti, joka</w:t>
      </w:r>
    </w:p>
    <w:p w:rsidR="006957D0" w:rsidRPr="009F58A6" w:rsidRDefault="006957D0" w:rsidP="006E4005">
      <w:pPr>
        <w:pStyle w:val="NormalHanging12a"/>
        <w:widowControl/>
      </w:pPr>
      <w:r w:rsidRPr="009F58A6">
        <w:t>–</w:t>
      </w:r>
      <w:r w:rsidRPr="009F58A6">
        <w:tab/>
        <w:t>ottaa huomioon päätöksensä vastuuvapauden myöntämisestä Euroopan innovaatio- ja teknologiainstituutin (EIT) talousarvion toteuttamisesta varainhoitovuonna 2022,</w:t>
      </w:r>
    </w:p>
    <w:p w:rsidR="006957D0" w:rsidRPr="009F58A6" w:rsidRDefault="006957D0" w:rsidP="006E4005">
      <w:pPr>
        <w:pStyle w:val="NormalHanging12a"/>
        <w:widowControl/>
      </w:pPr>
      <w:r w:rsidRPr="009F58A6">
        <w:t>–</w:t>
      </w:r>
      <w:r w:rsidRPr="009F58A6">
        <w:tab/>
        <w:t>ottaa huomioon työjärjestyksen 100 artiklan ja liitteen V,</w:t>
      </w:r>
    </w:p>
    <w:p w:rsidR="006957D0" w:rsidRPr="009F58A6" w:rsidRDefault="006957D0" w:rsidP="006E4005">
      <w:pPr>
        <w:pStyle w:val="NormalHanging12a"/>
        <w:widowControl/>
      </w:pPr>
      <w:r w:rsidRPr="009F58A6">
        <w:t>–</w:t>
      </w:r>
      <w:r w:rsidRPr="009F58A6">
        <w:tab/>
        <w:t>ottaa huomioon talousarvion valvontavaliokunnan mietinnön (A9-0132/2024),</w:t>
      </w:r>
    </w:p>
    <w:p w:rsidR="006957D0" w:rsidRPr="009F58A6" w:rsidRDefault="006957D0" w:rsidP="006E4005">
      <w:pPr>
        <w:pStyle w:val="Default"/>
        <w:spacing w:after="240"/>
        <w:ind w:left="567" w:hanging="567"/>
        <w:rPr>
          <w:rFonts w:eastAsia="Times New Roman"/>
          <w:color w:val="auto"/>
        </w:rPr>
      </w:pPr>
      <w:r w:rsidRPr="009F58A6">
        <w:rPr>
          <w:color w:val="auto"/>
        </w:rPr>
        <w:t>A.</w:t>
      </w:r>
      <w:r w:rsidRPr="009F58A6">
        <w:rPr>
          <w:color w:val="auto"/>
        </w:rPr>
        <w:tab/>
        <w:t>toteaa, että instituutin tulo- ja menotaulukon</w:t>
      </w:r>
      <w:r w:rsidRPr="009F58A6">
        <w:rPr>
          <w:rStyle w:val="FootnoteReference"/>
          <w:rFonts w:eastAsia="Times New Roman"/>
          <w:color w:val="auto"/>
          <w:lang w:eastAsia="en-GB"/>
        </w:rPr>
        <w:footnoteReference w:id="11"/>
      </w:r>
      <w:r w:rsidRPr="009F58A6">
        <w:rPr>
          <w:color w:val="auto"/>
        </w:rPr>
        <w:t xml:space="preserve"> mukaan sen lopullinen talousarvio varainhoitovuodeksi 2022 oli 406 585 390,99 euroa, mikä merkitsee 12,65 prosentin lisäystä vuoteen 2021 verrattuna; toteaa, että instituutin talousarvio rahoitetaan pääasiassa unionin talousarviosta;</w:t>
      </w:r>
    </w:p>
    <w:p w:rsidR="006957D0" w:rsidRPr="009F58A6" w:rsidRDefault="006957D0" w:rsidP="006E4005">
      <w:pPr>
        <w:widowControl/>
        <w:spacing w:after="240"/>
        <w:ind w:left="567" w:hanging="567"/>
        <w:rPr>
          <w:szCs w:val="24"/>
        </w:rPr>
      </w:pPr>
      <w:r w:rsidRPr="009F58A6">
        <w:t>B.</w:t>
      </w:r>
      <w:r w:rsidRPr="009F58A6">
        <w:tab/>
        <w:t>ottaa huomioon, että tilintarkastustuomioistuin toteaa kertomuksessaan instituutin tilinpäätöksestä varainhoitovuodelta 2022 saaneensa kohtuullisen varmuuden siitä, että instituutin tilit olivat luotettavat ja tilien perustana olevat toimet olivat lailliset ja asianmukaiset (sääntöjenmukaiset);</w:t>
      </w:r>
    </w:p>
    <w:p w:rsidR="006957D0" w:rsidRPr="009F58A6" w:rsidRDefault="006957D0" w:rsidP="006E4005">
      <w:pPr>
        <w:keepNext/>
        <w:widowControl/>
        <w:spacing w:after="240"/>
        <w:ind w:left="567" w:hanging="567"/>
        <w:rPr>
          <w:b/>
          <w:i/>
          <w:szCs w:val="24"/>
        </w:rPr>
      </w:pPr>
      <w:r w:rsidRPr="009F58A6">
        <w:rPr>
          <w:b/>
          <w:i/>
        </w:rPr>
        <w:t>Talousarvio- ja varainhallinto</w:t>
      </w:r>
    </w:p>
    <w:p w:rsidR="006957D0" w:rsidRPr="009F58A6" w:rsidRDefault="006957D0" w:rsidP="006E4005">
      <w:pPr>
        <w:widowControl/>
        <w:spacing w:after="240"/>
        <w:ind w:left="567" w:hanging="567"/>
        <w:rPr>
          <w:szCs w:val="24"/>
        </w:rPr>
      </w:pPr>
      <w:r w:rsidRPr="009F58A6">
        <w:t>1.</w:t>
      </w:r>
      <w:r w:rsidRPr="009F58A6">
        <w:tab/>
        <w:t>panee merkille, että varainhoitovuonna 2022 toteutetun talousarvion seurannan tuloksena maksusitoumusmäärärahojen käyttöaste oli kyseisenä vuonna 94,03 prosenttia, mikä merkitsee 3,88 prosentin vähennystä vuoteen 2021 verrattuna; toteaa, että kyseisenä vuonna maksumäärärahojen käyttöaste oli 98,42 prosenttia, mikä on 1,06 prosenttia alhaisempi kuin vuonna 2021;</w:t>
      </w:r>
    </w:p>
    <w:p w:rsidR="006957D0" w:rsidRPr="009F58A6" w:rsidRDefault="006957D0" w:rsidP="006E4005">
      <w:pPr>
        <w:widowControl/>
        <w:spacing w:after="240"/>
        <w:ind w:left="567" w:hanging="567"/>
        <w:rPr>
          <w:szCs w:val="24"/>
        </w:rPr>
      </w:pPr>
      <w:r w:rsidRPr="009F58A6">
        <w:t>2.</w:t>
      </w:r>
      <w:r w:rsidRPr="009F58A6">
        <w:tab/>
        <w:t>huomauttaa, että instituutin lopullisen talousarvion määrä on seurausta 656 930,67 euron lisätalousarviosta, jonka hallintoneuvosto hyväksyi instituutin vuoden 2022 vuotuiseen työohjelmaan tehtyjen muutosten johdosta;</w:t>
      </w:r>
    </w:p>
    <w:p w:rsidR="006957D0" w:rsidRPr="009F58A6" w:rsidRDefault="006957D0" w:rsidP="006E4005">
      <w:pPr>
        <w:widowControl/>
        <w:spacing w:after="240"/>
        <w:ind w:left="567" w:hanging="567"/>
        <w:rPr>
          <w:szCs w:val="24"/>
        </w:rPr>
      </w:pPr>
      <w:r w:rsidRPr="009F58A6">
        <w:t>3.</w:t>
      </w:r>
      <w:r w:rsidRPr="009F58A6">
        <w:tab/>
        <w:t>panee huolestuneena merkille tilintarkastustuomioistuimen huomautuksen siitä, että riippumaton ulkopuolinen tarkastaja suoritti instituutin avustusten laillisuutta ja sääntöjenmukaisuutta koskevan jälkitarkastuksen ja että vuoden 2021 virhetaso oli 1,73 prosenttia (0,66 prosenttia vuonna 2020); korostaa, että vaikka virhetaso on edelleen alle 2 prosentin olennaisuusrajan, kasvaneesta talousarviosta, laajentuneesta toimeksiannosta ja lisääntyneistä Horisontti Eurooppa -puiteohjelman toimista johtuvat kriittiset riskit sekä osaamis- ja innovaatioyhteisöjen määrän kasvu voivat heikentää instituutin kykyä valvoa ja seurata tehokkaasti osaamis- ja innovaatioyhteisöjä, mikä voi jatkossa johtaa siihen, että virhetasot kasvavat ja sääntöjenvastaisuuksia jää havaitsematta; kehottaa instituuttia toteuttamaan konkreettisia toimia virhetason alentamiseksi;</w:t>
      </w:r>
    </w:p>
    <w:p w:rsidR="006957D0" w:rsidRPr="009F58A6" w:rsidRDefault="006957D0" w:rsidP="006E4005">
      <w:pPr>
        <w:widowControl/>
        <w:spacing w:after="240"/>
        <w:ind w:left="567" w:hanging="567"/>
        <w:rPr>
          <w:szCs w:val="24"/>
        </w:rPr>
      </w:pPr>
      <w:r w:rsidRPr="009F58A6">
        <w:lastRenderedPageBreak/>
        <w:t>4.</w:t>
      </w:r>
      <w:r w:rsidRPr="009F58A6">
        <w:tab/>
        <w:t>panee tilintarkastustuomioistuimen kertomuksesta merkille, että instituutti maksoi vuonna 2022 kahdessa tapauksessa avustuksiin liittyviä viivästyskorkoja yhteensä 32 070 euroa; panee huolestuneena merkille, että molemmissa tapauksissa instituutti laiminlöi lakimääräisten määräaikojen asianmukaisen seurannan, mikä osoittaa, että instituutin maksuja koskevassa työnkulussa on puutteita;</w:t>
      </w:r>
      <w:r w:rsidRPr="009F58A6">
        <w:rPr>
          <w:rFonts w:ascii="Calibri" w:hAnsi="Calibri"/>
          <w:color w:val="000000"/>
          <w:sz w:val="22"/>
        </w:rPr>
        <w:t xml:space="preserve"> </w:t>
      </w:r>
      <w:r w:rsidRPr="009F58A6">
        <w:t>panee merkille, että instituutin tilintarkastustuomioistuimen huomautukseen antaman vastauksen mukaan se on vuodesta 2023 lähtien tarkistanut avustusten hallinnointiprosessejaan, kouluttanut asianomaista henkilöstöä ja käyttänyt komission avustusten hallinnoinnin tietoteknistä järjestelmää (eGrants), mikä on vähentänyt merkittävästi vastaavanlaisen virheen esiintymisen todennäköisyyttä tulevaisuudessa;</w:t>
      </w:r>
    </w:p>
    <w:p w:rsidR="006957D0" w:rsidRPr="009F58A6" w:rsidRDefault="006957D0" w:rsidP="006E4005">
      <w:pPr>
        <w:keepNext/>
        <w:widowControl/>
        <w:spacing w:after="240"/>
        <w:ind w:left="567" w:hanging="567"/>
        <w:rPr>
          <w:b/>
          <w:i/>
          <w:szCs w:val="24"/>
        </w:rPr>
      </w:pPr>
      <w:r w:rsidRPr="009F58A6">
        <w:rPr>
          <w:b/>
          <w:i/>
        </w:rPr>
        <w:t>Toiminnan tuloksellisuus</w:t>
      </w:r>
    </w:p>
    <w:p w:rsidR="006957D0" w:rsidRPr="009F58A6" w:rsidRDefault="006957D0" w:rsidP="006E4005">
      <w:pPr>
        <w:widowControl/>
        <w:autoSpaceDE w:val="0"/>
        <w:autoSpaceDN w:val="0"/>
        <w:adjustRightInd w:val="0"/>
        <w:spacing w:after="240"/>
        <w:ind w:left="567" w:hanging="567"/>
        <w:rPr>
          <w:szCs w:val="24"/>
        </w:rPr>
      </w:pPr>
      <w:r w:rsidRPr="009F58A6">
        <w:t>5.</w:t>
      </w:r>
      <w:r w:rsidRPr="009F58A6">
        <w:tab/>
        <w:t>panee tyytyväisenä merkille, että instituutti käyttää operatiivisiin toimiin, hallintoon ja yhteisötiedotukseen liittyvien keskeisten tulosindikaattorien järjestelmää; panee lisäksi merkille, että instituutti toteutti noin 95 prosenttia vuoden 2022 työohjelmastaan muutamin viivästyksin; panee merkille, että instituutille osoitettiin uuden eurooppalaisen innovaatio-ohjelman puitteissa uusia toimia, jotka eivät sisältyneet alkuperäiseen suunnitelmaan ja joiden toteuttamiseen ei osoitettu lisäresursseja;</w:t>
      </w:r>
    </w:p>
    <w:p w:rsidR="006957D0" w:rsidRPr="009F58A6" w:rsidRDefault="006957D0" w:rsidP="006E4005">
      <w:pPr>
        <w:widowControl/>
        <w:autoSpaceDE w:val="0"/>
        <w:autoSpaceDN w:val="0"/>
        <w:adjustRightInd w:val="0"/>
        <w:spacing w:after="240"/>
        <w:ind w:left="567" w:hanging="567"/>
        <w:rPr>
          <w:szCs w:val="24"/>
        </w:rPr>
      </w:pPr>
      <w:r w:rsidRPr="009F58A6">
        <w:t>6.</w:t>
      </w:r>
      <w:r w:rsidRPr="009F58A6">
        <w:tab/>
        <w:t>panee tyytyväisenä merkille, että instituutti lisäsi edelleen vaikutustaan vuonna 2022 edistämällä lähes 1 670 innovatiivisen tuotteen ja palvelun kehittämistä, kouluttamalla tuhansia yrittäjiä ja tukemalla 5 600:aa startup- ja scale-up-yritystä, jotka saivat investointeja lähes kuuden miljardin euron arvosta: panee lisäksi merkille, että instituutti saattoi päätökseen yhdistymisensä Horisontti Eurooppa ‐puiteohjelmaan siirtymällä monivuotiseen rahoitusmalliin;</w:t>
      </w:r>
    </w:p>
    <w:p w:rsidR="006957D0" w:rsidRPr="009F58A6" w:rsidRDefault="006957D0" w:rsidP="006E4005">
      <w:pPr>
        <w:widowControl/>
        <w:autoSpaceDE w:val="0"/>
        <w:autoSpaceDN w:val="0"/>
        <w:adjustRightInd w:val="0"/>
        <w:spacing w:after="240"/>
        <w:ind w:left="567" w:hanging="567"/>
        <w:rPr>
          <w:szCs w:val="24"/>
        </w:rPr>
      </w:pPr>
      <w:r w:rsidRPr="009F58A6">
        <w:t>7.</w:t>
      </w:r>
      <w:r w:rsidRPr="009F58A6">
        <w:tab/>
        <w:t>panee merkille, että instituutti on edistynyt vuonna 2021 käynnistetyn korkeakouluille tarkoitetun innovaatiovalmiuksien kehittämistä koskevan aloitteen täytäntöönpanossa ja lisännyt siten korkeakoulujen kiinnostusta ja osallistumista; panee merkille, että instituuttia on tuotu esiin yhtenä Euroopan innovaatioekosysteemin keskeisenä rahoittajana ja toimijana, sillä se käynnisti syväteknologian osaajia koskevan aloitteensa, jonka tavoitteena on vähintään miljoonan osaajan kouluttaminen sekä uudelleen- ja täydennyskouluttaminen seuraavien kolmen vuoden aikana;</w:t>
      </w:r>
    </w:p>
    <w:p w:rsidR="006957D0" w:rsidRPr="009F58A6" w:rsidRDefault="006957D0" w:rsidP="006E4005">
      <w:pPr>
        <w:widowControl/>
        <w:autoSpaceDE w:val="0"/>
        <w:autoSpaceDN w:val="0"/>
        <w:adjustRightInd w:val="0"/>
        <w:spacing w:after="240"/>
        <w:ind w:left="567" w:hanging="567"/>
        <w:rPr>
          <w:szCs w:val="24"/>
        </w:rPr>
      </w:pPr>
      <w:r w:rsidRPr="009F58A6">
        <w:t>8.</w:t>
      </w:r>
      <w:r w:rsidRPr="009F58A6">
        <w:tab/>
        <w:t>suhtautuu myönteisesti siihen, että instituutti tuki Ukrainan kansaa Venäjän helmikuussa 2022 aloittaman laittoman ja provosoimattoman hyökkäyksen jälkeen ja tarjosi apua opiskelijoille, yrittäjille, tutkijoille, korkeakouluille ja yrityksille; panee lisäksi merkille, että instituutti perusti koheesiota ja Euroopan alueita tukevan elpymisavun yhteydessä Euroopan akkualan yhteenliittymän koulutuskeskuksen, jolloin instituutille osoitettiin ensimmäistä kertaa merkittävästi varoja toisesta ohjelmasta;</w:t>
      </w:r>
    </w:p>
    <w:p w:rsidR="006957D0" w:rsidRPr="009F58A6" w:rsidRDefault="006957D0" w:rsidP="006E4005">
      <w:pPr>
        <w:keepNext/>
        <w:widowControl/>
        <w:spacing w:after="240"/>
        <w:ind w:left="567" w:hanging="567"/>
        <w:rPr>
          <w:b/>
          <w:i/>
          <w:szCs w:val="24"/>
        </w:rPr>
      </w:pPr>
      <w:r w:rsidRPr="009F58A6">
        <w:rPr>
          <w:b/>
          <w:i/>
        </w:rPr>
        <w:t>Tehokkuus ja hyödyt</w:t>
      </w:r>
    </w:p>
    <w:p w:rsidR="006957D0" w:rsidRPr="009F58A6" w:rsidRDefault="006957D0" w:rsidP="006E4005">
      <w:pPr>
        <w:widowControl/>
        <w:autoSpaceDE w:val="0"/>
        <w:autoSpaceDN w:val="0"/>
        <w:adjustRightInd w:val="0"/>
        <w:spacing w:after="240"/>
        <w:ind w:left="567" w:hanging="567"/>
        <w:rPr>
          <w:szCs w:val="24"/>
        </w:rPr>
      </w:pPr>
      <w:r w:rsidRPr="009F58A6">
        <w:t>9.</w:t>
      </w:r>
      <w:r w:rsidRPr="009F58A6">
        <w:tab/>
        <w:t xml:space="preserve">panee merkille, että instituutti on allekirjoittanut Euroopan unionin lainvalvontakoulutusviraston kanssa yhteisymmärryspöytäkirjan useista yhteisistä toimista ja turvallisuusarvioinneista; muistuttaa, että yhteisten toimien avulla yhdistetään erilaisia näkökulmia, vähennetään päällekkäisyyksiä, tehostetaan oppimista ja vahvistetaan osallistujien välisiä suhteita; panee lisäksi merkille, että tehokkuutensa parantamiseksi instituutti aloitti vuonna 2021 siirtymisen Horisontti </w:t>
      </w:r>
      <w:r w:rsidRPr="009F58A6">
        <w:lastRenderedPageBreak/>
        <w:t xml:space="preserve">2020 </w:t>
      </w:r>
      <w:r w:rsidRPr="009F58A6">
        <w:noBreakHyphen/>
        <w:t>puiteohjelmasta Horisontti Eurooppa ‐puiteohjelmaan yhteistyössä Euroopan komission kanssa ja sai sen päätökseen vuonna 2022;</w:t>
      </w:r>
    </w:p>
    <w:p w:rsidR="006957D0" w:rsidRPr="009F58A6" w:rsidRDefault="006957D0" w:rsidP="006E4005">
      <w:pPr>
        <w:widowControl/>
        <w:autoSpaceDE w:val="0"/>
        <w:autoSpaceDN w:val="0"/>
        <w:adjustRightInd w:val="0"/>
        <w:spacing w:after="240"/>
        <w:ind w:left="567" w:hanging="567"/>
        <w:rPr>
          <w:szCs w:val="24"/>
        </w:rPr>
      </w:pPr>
      <w:r w:rsidRPr="009F58A6">
        <w:t>10.</w:t>
      </w:r>
      <w:r w:rsidRPr="009F58A6">
        <w:tab/>
        <w:t>panee merkille, että instituutti on ottanut käyttöön erilaisia prosessin tehokkuutta koskevia arviointeja, joiden perusteella on mukautettu muun muassa toimenkuvia, henkilöstön tavoitteita sekä tehtävien ja resurssien kohdentamista; panee merkille, että instituutti toteutti vuonna 2022 rakenneuudistuksen ja hyväksyi muun muassa työtapaa koskevan asiakirjan tehokkuuden parantamiseksi esimerkiksi sähköpostin käytön, kokousten ja etätyön osalta;</w:t>
      </w:r>
    </w:p>
    <w:p w:rsidR="006957D0" w:rsidRPr="009F58A6" w:rsidRDefault="006957D0" w:rsidP="006E4005">
      <w:pPr>
        <w:widowControl/>
        <w:autoSpaceDE w:val="0"/>
        <w:autoSpaceDN w:val="0"/>
        <w:adjustRightInd w:val="0"/>
        <w:spacing w:after="240"/>
        <w:ind w:left="567" w:hanging="567"/>
        <w:rPr>
          <w:szCs w:val="24"/>
        </w:rPr>
      </w:pPr>
      <w:r w:rsidRPr="009F58A6">
        <w:t>11.</w:t>
      </w:r>
      <w:r w:rsidRPr="009F58A6">
        <w:tab/>
        <w:t>suhtautuu myönteisesti siihen, että vuonna 2022 otettiin käyttöön instituutin hallinnollisia toimintoja tukevia uusia tietoteknisiä välineitä, millä pyrittiin viime kädessä parantamaan organisaation toiminnan tehokkuutta ja vaikuttavuutta, muun muassa julkisten hankintojen hallinnointityökalu PPMT, sähköinen allekirjoitus Q-Sign sekä komission henkilöstöhallinnon tietojärjestelmä SYSPERin eri moduuleja; kehottaa instituuttia selvittämään, mitä muita sisäisiä menettelyjä olisi mahdollista tehostaa uusien tietoteknisten välineiden avulla;</w:t>
      </w:r>
    </w:p>
    <w:p w:rsidR="006957D0" w:rsidRPr="009F58A6" w:rsidRDefault="006957D0" w:rsidP="006E4005">
      <w:pPr>
        <w:pStyle w:val="NormalHanging12a"/>
        <w:widowControl/>
      </w:pPr>
      <w:r w:rsidRPr="009F58A6">
        <w:t>12.</w:t>
      </w:r>
      <w:r w:rsidRPr="009F58A6">
        <w:tab/>
        <w:t>muistuttaa, että on tärkeää lisätä instituutin sisäisen toiminnan ja hallinnoinnin digitalisointia mutta nopeuttaa myös menettelyjen digitalisointia; korostaa, että instituutin on jatkossakin toimittava tässä suhteessa ennakoivasti, jottei unionin virastojen välille pääse syntymään digitaalista kuilua; kehottaa kuitenkin kiinnittämään huomiota siihen, että käsiteltävien tietojen verkkoturvallisuuteen kohdistuvien riskien välttämiseksi on toteuttava kaikki tarvittavat turvatoimet, ja pitää ehdottoman välttämättömänä, että lisätään toimia erityisesti Venäjältä tai Kiinasta käsin tapahtuvien kyberhyökkäysten ja soluttautumispyrkimysten torjumiseksi;</w:t>
      </w:r>
    </w:p>
    <w:p w:rsidR="006957D0" w:rsidRPr="009F58A6" w:rsidRDefault="006957D0" w:rsidP="006E4005">
      <w:pPr>
        <w:keepNext/>
        <w:widowControl/>
        <w:spacing w:after="240"/>
        <w:ind w:left="567" w:hanging="567"/>
        <w:rPr>
          <w:szCs w:val="24"/>
        </w:rPr>
      </w:pPr>
      <w:r w:rsidRPr="009F58A6">
        <w:rPr>
          <w:b/>
          <w:i/>
        </w:rPr>
        <w:t>Henkilöstöpolitiikka</w:t>
      </w:r>
    </w:p>
    <w:p w:rsidR="006957D0" w:rsidRPr="009F58A6" w:rsidRDefault="006957D0" w:rsidP="006E4005">
      <w:pPr>
        <w:widowControl/>
        <w:autoSpaceDE w:val="0"/>
        <w:autoSpaceDN w:val="0"/>
        <w:adjustRightInd w:val="0"/>
        <w:spacing w:after="240"/>
        <w:ind w:left="567" w:hanging="567"/>
        <w:rPr>
          <w:szCs w:val="24"/>
        </w:rPr>
      </w:pPr>
      <w:r w:rsidRPr="009F58A6">
        <w:t>13.</w:t>
      </w:r>
      <w:r w:rsidRPr="009F58A6">
        <w:tab/>
        <w:t>panee merkille, että 31. joulukuuta 2022 henkilöstötaulukosta oli täytettynä 93 prosenttia ja että unionin talousarviossa hyväksytyistä 45 väliaikaisesta toimesta 40 oli täytettynä (sama määrä hyväksyttyjä toimia kuin vuonna 2021); panee merkille, että vuonna 2022 instituutin palveluksessa työskenteli lisäksi 25 sopimussuhteista toimihenkilöä, 10 tilapäistä henkilöstön jäsentä ja yksi kansallinen asiantuntija;</w:t>
      </w:r>
    </w:p>
    <w:p w:rsidR="006957D0" w:rsidRPr="009F58A6" w:rsidRDefault="006957D0" w:rsidP="006E4005">
      <w:pPr>
        <w:widowControl/>
        <w:autoSpaceDE w:val="0"/>
        <w:autoSpaceDN w:val="0"/>
        <w:adjustRightInd w:val="0"/>
        <w:spacing w:after="240"/>
        <w:ind w:left="567" w:hanging="567"/>
        <w:rPr>
          <w:bCs/>
          <w:szCs w:val="24"/>
        </w:rPr>
      </w:pPr>
      <w:r w:rsidRPr="009F58A6">
        <w:t>14.</w:t>
      </w:r>
      <w:r w:rsidRPr="009F58A6">
        <w:tab/>
        <w:t>on huolissaan siitä, että tilintarkastustuomioistuimen vuosikertomuksissaan esiin tuomaan instituutin jatkuvaan henkilöstövajeeseen ei ole vastattu lisäämällä toimien määrää; korostaa, että instituutti toisti vuoden 2023 alussa pyyntönsä kymmenen lisätoimen saamisesta, jotta se voisi toteuttaa vuoden 2024 työohjelmansa; kiinnittää huomiota siihen, että instituutin resurssit on mukautettava sen toimeksiannon vaatimuksiin;</w:t>
      </w:r>
    </w:p>
    <w:p w:rsidR="006957D0" w:rsidRPr="009F58A6" w:rsidRDefault="006957D0" w:rsidP="006E4005">
      <w:pPr>
        <w:widowControl/>
        <w:autoSpaceDE w:val="0"/>
        <w:autoSpaceDN w:val="0"/>
        <w:adjustRightInd w:val="0"/>
        <w:spacing w:after="240"/>
        <w:ind w:left="567" w:hanging="567"/>
        <w:rPr>
          <w:szCs w:val="24"/>
        </w:rPr>
      </w:pPr>
      <w:r w:rsidRPr="009F58A6">
        <w:t>15.</w:t>
      </w:r>
      <w:r w:rsidRPr="009F58A6">
        <w:tab/>
        <w:t xml:space="preserve">panee merkille instituutin ylemmän ja keskijohdon sukupuolijakauman ja toteaa, että kahdeksasta ylempään tai keskijohtoon kuuluvasta henkilöstön jäsenestä viisi (67 prosenttia) on miehiä; on huolissaan sukupuolten tasapuolisesta edustuksesta hallintoneuvostossa, jonka 14 jäsenestä yhdeksän on miehiä; panee merkille instituutin koko henkilöstön sukupuolijakauman ja toteaa, että 65 henkilöstön jäsenestä 28 oli miehiä (53 prosenttia); toteaa, että vuonna 2022 hyväksyttiin instituutin tasa-arvoa koskevat toimintaperiaatteet ja toimintasuunnitelma; muistuttaa, että on tärkeää varmistaa sukupuolten tasapuolinen edustus, ja kehottaa instituuttia ottamaan tämän huomioon henkilöstön palvelukseenotossa sekä ylempään ja keskijohtoon tehtävissä </w:t>
      </w:r>
      <w:r w:rsidRPr="009F58A6">
        <w:lastRenderedPageBreak/>
        <w:t>nimityksissä; pyytää komissiota ottamaan huomioon, että on tärkeää varmistaa sukupuolten tasapuolinen edustus nimitettäessä sen jäseniä instituutin hallintoneuvostoon;</w:t>
      </w:r>
    </w:p>
    <w:p w:rsidR="006957D0" w:rsidRPr="009F58A6" w:rsidRDefault="006957D0" w:rsidP="006E4005">
      <w:pPr>
        <w:pStyle w:val="NormalHanging12a"/>
        <w:widowControl/>
      </w:pPr>
      <w:r w:rsidRPr="009F58A6">
        <w:t>16.</w:t>
      </w:r>
      <w:r w:rsidRPr="009F58A6">
        <w:tab/>
        <w:t>on huolissaan maantieteellisestä tasapainosta instituutin ylemmässä ja keskijohdossa, koska johtohenkilöstöön kuuluvista vain yksi on keskisestä Itä-Euroopasta; vaatii parantamaan tilannetta; pyytää instituuttia raportoimaan asiasta vastuuvapauden myöntävälle viranomaiselle;</w:t>
      </w:r>
    </w:p>
    <w:p w:rsidR="006957D0" w:rsidRPr="009F58A6" w:rsidRDefault="006957D0" w:rsidP="006E4005">
      <w:pPr>
        <w:widowControl/>
        <w:autoSpaceDE w:val="0"/>
        <w:autoSpaceDN w:val="0"/>
        <w:adjustRightInd w:val="0"/>
        <w:spacing w:after="240"/>
        <w:ind w:left="567" w:hanging="567"/>
        <w:rPr>
          <w:szCs w:val="24"/>
        </w:rPr>
      </w:pPr>
      <w:r w:rsidRPr="009F58A6">
        <w:t>17.</w:t>
      </w:r>
      <w:r w:rsidRPr="009F58A6">
        <w:tab/>
        <w:t>suhtautuu myönteisesti instituutin aloitteisiin, joilla vahvistetaan sukupuolten tasapuolista edustusta, kuten Girls Go Circular -ohjelmaan kouluissa, ja Supernovas</w:t>
      </w:r>
      <w:r w:rsidRPr="009F58A6">
        <w:noBreakHyphen/>
        <w:t>ohjelmaan, jolla edistetään naisten yrittäjyyttä ja johtajuutta; panee lisäksi merkille, että instituutti hyväksyi vuonna 2023 EU:n virastojen verkoston monimuotoisuutta ja osallisuutta koskevan peruskirjan, mikä vahvistaa sen sitoutumisen yhtäläisten mahdollisuuksien turvaamiseen läpi uran ja toimintamahdollisuuksien lisäämiseen työympäristössä, jossa monimuotoisuutta pidetään innovoinnin, kehittymisen ja luovuuden lähteenä ja jossa johtajat ja koko henkilöstö edistävät osallisuutta;</w:t>
      </w:r>
    </w:p>
    <w:p w:rsidR="006957D0" w:rsidRPr="009F58A6" w:rsidRDefault="006957D0" w:rsidP="006E4005">
      <w:pPr>
        <w:widowControl/>
        <w:autoSpaceDE w:val="0"/>
        <w:autoSpaceDN w:val="0"/>
        <w:adjustRightInd w:val="0"/>
        <w:spacing w:after="240"/>
        <w:ind w:left="567" w:hanging="567"/>
        <w:rPr>
          <w:szCs w:val="24"/>
        </w:rPr>
      </w:pPr>
      <w:r w:rsidRPr="009F58A6">
        <w:t>18</w:t>
      </w:r>
      <w:r w:rsidR="002C5041">
        <w:t>.</w:t>
      </w:r>
      <w:r w:rsidRPr="009F58A6">
        <w:tab/>
        <w:t>panee merkille, että instituutti oli ottanut käyttöön suurimman osan SYSPER-moduuleista vuonna 2022 ja että käyttöönotto jatkuu vuonna 2023; panee merkille, että instituutti on hyväksynyt EU:n virastojen verkoston monimuotoisuutta ja osallisuutta koskevan peruskirjan, mikä osoittaa sen sitoutuneen yhtäläisten mahdollisuuksien turvaamiseen ja toimintamahdollisuuksien lisäämiseen työympäristössä; panee lisäksi merkille, että instituutti on toteuttanut henkilöstönsä työhyvinvoinnin ja työ- ja yksityiselämän tasapainon parantamiseksi useita toimenpiteitä, jotka koskevat muun muassa julkisen liikenteen kustannuksia, päivähoidon järjestämistä henkilöstön jäsenten lapsille kansainvälisissä päiväkodeissa sekä joustavia ja hybridimuotoisia työjärjestelyjä;</w:t>
      </w:r>
    </w:p>
    <w:p w:rsidR="006957D0" w:rsidRPr="009F58A6" w:rsidRDefault="006957D0" w:rsidP="006E4005">
      <w:pPr>
        <w:pStyle w:val="NormalHanging12a"/>
        <w:widowControl/>
      </w:pPr>
      <w:r w:rsidRPr="009F58A6">
        <w:t>19.</w:t>
      </w:r>
      <w:r w:rsidRPr="009F58A6">
        <w:tab/>
        <w:t>panee merkille, että koulutuskarttaohjelmassa, joka kehitettiin instituutin ja sen henkilöstön yleisen suorituskyvyn parantamiseksi, instituutti tarjosi edelleen henkilöstölleen koulutusta verkossa, muun muassa eettisistä näkökohdista ja lahjomattomuudesta, häirinnän ehkäisemisestä, tietosuojasta, hybridikokousten tehokkuudesta, tietoturvallisuustietoisuudesta ja turvallisuudesta;</w:t>
      </w:r>
    </w:p>
    <w:p w:rsidR="006957D0" w:rsidRPr="009F58A6" w:rsidRDefault="006957D0" w:rsidP="006E4005">
      <w:pPr>
        <w:pStyle w:val="NormalHanging12a"/>
        <w:widowControl/>
      </w:pPr>
      <w:r w:rsidRPr="009F58A6">
        <w:t>20.</w:t>
      </w:r>
      <w:r w:rsidRPr="009F58A6">
        <w:tab/>
        <w:t>panee tyytyväisenä merkille, että vuonna 2022 käynnistettiin onnistuneesti kaksi harjoittelijahakua; panee merkille, että tämän seurauksena yhteensä 23 nuorta ammattilaista osallistui instituutin tarjoamaan harjoitteluun ja joko aloitti harjoittelunsa tai saattoi sen päätökseen vuonna 2022;</w:t>
      </w:r>
    </w:p>
    <w:p w:rsidR="006957D0" w:rsidRPr="009F58A6" w:rsidRDefault="006957D0" w:rsidP="006E4005">
      <w:pPr>
        <w:widowControl/>
        <w:autoSpaceDE w:val="0"/>
        <w:autoSpaceDN w:val="0"/>
        <w:adjustRightInd w:val="0"/>
        <w:spacing w:after="240"/>
        <w:ind w:left="567" w:hanging="567"/>
        <w:rPr>
          <w:szCs w:val="24"/>
        </w:rPr>
      </w:pPr>
      <w:r w:rsidRPr="009F58A6">
        <w:t>21.</w:t>
      </w:r>
      <w:r w:rsidRPr="009F58A6">
        <w:tab/>
        <w:t>panee merkille, että instituutin määrärahoista maksetaan yhdelle entiselle komission jäsenelle ja yhdelle entiselle parlamentin jäsenelle instituutin hallintoneuvoston kokouksiin hallintoneuvoston jäseninä osallistumisesta 2 000 euron kokouspalkkioita;</w:t>
      </w:r>
    </w:p>
    <w:p w:rsidR="006957D0" w:rsidRPr="009F58A6" w:rsidRDefault="006957D0" w:rsidP="006E4005">
      <w:pPr>
        <w:pStyle w:val="NormalHanging12a"/>
        <w:widowControl/>
      </w:pPr>
      <w:r w:rsidRPr="009F58A6">
        <w:t>22.</w:t>
      </w:r>
      <w:r w:rsidRPr="009F58A6">
        <w:tab/>
        <w:t xml:space="preserve">on huolissaan siitä, että vuonna 2022 ilmoitettiin yhdestä häirintätapauksesta, ja toteaa, että siitä aloitettiin hallinnollinen tutkimus, joka on edelleen käynnissä; kehottaa instituuttia antamaan vastuuvapauden myöntävälle viranomaiselle mahdollisimman pian selvityksen kaikesta edistymisestä asiassa; panee merkille, että instituutilla on työntekijöiden ihmisarvon suojelua sekä työpaikkakiusaamisen ja seksuaalisen </w:t>
      </w:r>
      <w:r w:rsidRPr="009F58A6">
        <w:lastRenderedPageBreak/>
        <w:t>häirinnän ehkäisemistä koskevat toimintaperiaatteet ja että se kuuluu virastojen väliseen häirintäyhdyshenkilöiden työryhmään; odottaa saavansa sen raportit ja suositukset;</w:t>
      </w:r>
    </w:p>
    <w:p w:rsidR="006957D0" w:rsidRPr="009F58A6" w:rsidRDefault="006957D0" w:rsidP="006E4005">
      <w:pPr>
        <w:keepNext/>
        <w:widowControl/>
        <w:spacing w:after="240"/>
        <w:ind w:left="567" w:hanging="567"/>
        <w:rPr>
          <w:b/>
          <w:i/>
          <w:szCs w:val="24"/>
        </w:rPr>
      </w:pPr>
      <w:r w:rsidRPr="009F58A6">
        <w:rPr>
          <w:b/>
          <w:i/>
        </w:rPr>
        <w:t>Eturistiriitojen ennaltaehkäisy ja hallinta sekä avoimuus</w:t>
      </w:r>
    </w:p>
    <w:p w:rsidR="006957D0" w:rsidRPr="009F58A6" w:rsidRDefault="006957D0" w:rsidP="006E4005">
      <w:pPr>
        <w:widowControl/>
        <w:spacing w:after="240"/>
        <w:ind w:left="567" w:hanging="567"/>
        <w:rPr>
          <w:szCs w:val="24"/>
        </w:rPr>
      </w:pPr>
      <w:r w:rsidRPr="009F58A6">
        <w:t>23.</w:t>
      </w:r>
      <w:r w:rsidRPr="009F58A6">
        <w:tab/>
        <w:t>panee merkille instituutin nykyiset toimenpiteet ja jatkuvat pyrkimykset, joiden tarkoituksena on turvata avoimuus, eturistiriitojen ennaltaehkäisy ja hallinta sekä varmistaa väärinkäytösten paljastajien suojelu; toteaa, että instituutti julkisti verkkosivustollaan hallintoneuvostonsa jäsenten ja johtohenkilöstön sidonnaisuuksia koskevat ilmoitukset ja ansioluettelot;</w:t>
      </w:r>
      <w:r w:rsidRPr="009F58A6">
        <w:rPr>
          <w:rFonts w:ascii="Calibri" w:hAnsi="Calibri"/>
          <w:color w:val="1F497D"/>
          <w:sz w:val="22"/>
        </w:rPr>
        <w:t xml:space="preserve"> </w:t>
      </w:r>
      <w:r w:rsidRPr="009F58A6">
        <w:t>panee lisäksi merkille, että instituutti julkaisee verkkosivustollaan osiossa, joka sisältää kuukausikohtaisia tietoja julkisista tapahtumista ja kokouksista, tiedot kaikista hallintoneuvostonsa ja johtoryhmänsä pitämistä kokouksista;</w:t>
      </w:r>
    </w:p>
    <w:p w:rsidR="006957D0" w:rsidRPr="009F58A6" w:rsidRDefault="006957D0" w:rsidP="006E4005">
      <w:pPr>
        <w:widowControl/>
        <w:spacing w:after="240"/>
        <w:ind w:left="567" w:hanging="567"/>
        <w:rPr>
          <w:szCs w:val="24"/>
        </w:rPr>
      </w:pPr>
      <w:r w:rsidRPr="009F58A6">
        <w:t>24.</w:t>
      </w:r>
      <w:r w:rsidRPr="009F58A6">
        <w:tab/>
        <w:t>panee merkille, että instituutti on hyväksynyt henkilöstön eturistiriitojen ennaltaehkäisyä ja hallintaa koskevat toimintaperiaatteet, muun muassa menettelyt sidonnaisuuksia koskevien vuosittaisten ilmoitusten antamiseksi ja arvioimiseksi sekä menettelyn sidonnaisuusilmoitusta koskeviin instituutin sääntöihin sisältyvän luottamusaseman väärinkäytön osalta; panee lisäksi merkille, että instituutti on perustanut ristiriitoja käsittelevän neuvoa-antavan komitean, järjestänyt henkilöstölleen eettisiä kysymyksiä ja lahjomattomuutta käsitteleviä tiedotustilaisuuksia ja on tekemässä päätöstä eturistiriitoihin liittyvien mallien ja hallinnollisten menettelyjen laatimisesta;</w:t>
      </w:r>
    </w:p>
    <w:p w:rsidR="006957D0" w:rsidRPr="009F58A6" w:rsidRDefault="006957D0" w:rsidP="006E4005">
      <w:pPr>
        <w:widowControl/>
        <w:spacing w:after="240"/>
        <w:ind w:left="567" w:hanging="567"/>
        <w:rPr>
          <w:szCs w:val="24"/>
        </w:rPr>
      </w:pPr>
      <w:r w:rsidRPr="009F58A6">
        <w:t>25.</w:t>
      </w:r>
      <w:r w:rsidRPr="009F58A6">
        <w:tab/>
        <w:t>pitää myönteisenä instituutin toimenpiteitä hallintoneuvostonsa jäsenten sidonnaisuuksia koskevien ilmoitusten osalta sekä sitä, että ilmoituksia on kolmenlaisia: vuotuinen sidonnaisuusilmoitus, osaamis- ja innovaatioyhteisön ehdotusten arviointia koskeva sidonnaisuusilmoitus ja osaamis- ja innovaatioyhteisön liiketoimintasuunnitelmaa koskeva sidonnaisuusilmoitus; panee merkille, että joidenkin hallintoneuvoston jäsenten vuotuisen sidonnaisuusilmoituksen perusteella havaittiin eturistiriitatilanteita, minkä seurauksena heille ilmoitettiin asiasta ja toteutettiin lieventäviä toimenpiteitä;</w:t>
      </w:r>
    </w:p>
    <w:p w:rsidR="006957D0" w:rsidRPr="009F58A6" w:rsidRDefault="006957D0" w:rsidP="006E4005">
      <w:pPr>
        <w:widowControl/>
        <w:spacing w:after="240"/>
        <w:ind w:left="567" w:hanging="567"/>
        <w:rPr>
          <w:szCs w:val="24"/>
        </w:rPr>
      </w:pPr>
      <w:r w:rsidRPr="009F58A6">
        <w:t>26.</w:t>
      </w:r>
      <w:r w:rsidRPr="009F58A6">
        <w:tab/>
        <w:t>panee merkille, että instituutti laatii parhaillaan uusia toimintaperiaatteita, joiden avulla arvioidaan työsuhteen päättymisen jälkeisiä rajoituksia ja instituutin ylimpiä toimihenkilöitä koskevia kieltoja tiettyihin toimiin siirtymisestä toimikauden päättymisen jälkeen; toteaa, että toimintaperiaatteissa yksilöidään toimet, joihin toimikauden jälkeen ei voi siirtyä, sekä perusteet sille, missä tapauksessa nämä siirrot kielletään tulevaisuudessa kahden vuoden ajaksi; suhtautuu myönteisesti siihen, että instituutin oli määrä hyväksyä vuoden 2024 alussa myös korruptiota koskevat toimintaperiaatteet tai sitä koskeva päätös, jonka perusteella kehitetään sisäiset korruptiontorjuntamekanismit;</w:t>
      </w:r>
    </w:p>
    <w:p w:rsidR="006957D0" w:rsidRPr="009F58A6" w:rsidRDefault="006957D0" w:rsidP="006E4005">
      <w:pPr>
        <w:pStyle w:val="NormalHanging12a"/>
        <w:widowControl/>
        <w:rPr>
          <w:b/>
          <w:i/>
        </w:rPr>
      </w:pPr>
      <w:r w:rsidRPr="009F58A6">
        <w:t>27.</w:t>
      </w:r>
      <w:r w:rsidRPr="009F58A6">
        <w:tab/>
        <w:t>panee merkille, että Euroopan petostentorjuntavirasto (OLAF) antoi kahden eri tutkimuksen perusteella kaksi suositusta, joiden täytäntöönpano on yhden osalta saatu päätökseen vuoden 2022 aikana ja toisen osalta vielä kesken; pyytää instituuttia raportoimaan vastuuvapauden myöntävälle viranomaiselle näiden suositusten jatkotoimenpiteistä;</w:t>
      </w:r>
    </w:p>
    <w:p w:rsidR="006957D0" w:rsidRPr="009F58A6" w:rsidRDefault="006957D0" w:rsidP="006E4005">
      <w:pPr>
        <w:pStyle w:val="NormalHanging12a"/>
        <w:widowControl/>
      </w:pPr>
      <w:r w:rsidRPr="009F58A6">
        <w:t>28.</w:t>
      </w:r>
      <w:r w:rsidRPr="009F58A6">
        <w:tab/>
        <w:t>pitää tärkeänä lisätä instituutin näkyvyyttä tiedotusvälineissä, internetissä sekä sosiaalisessa mediassa sen työn tekemiseksi tunnetuksi kansalaisten parissa;</w:t>
      </w:r>
    </w:p>
    <w:p w:rsidR="006957D0" w:rsidRPr="009F58A6" w:rsidRDefault="006957D0" w:rsidP="006E4005">
      <w:pPr>
        <w:keepNext/>
        <w:widowControl/>
        <w:spacing w:after="240"/>
        <w:ind w:left="567" w:hanging="567"/>
        <w:rPr>
          <w:b/>
          <w:i/>
          <w:szCs w:val="24"/>
        </w:rPr>
      </w:pPr>
      <w:r w:rsidRPr="009F58A6">
        <w:rPr>
          <w:b/>
          <w:i/>
        </w:rPr>
        <w:lastRenderedPageBreak/>
        <w:t>Hankinnat</w:t>
      </w:r>
    </w:p>
    <w:p w:rsidR="006957D0" w:rsidRPr="009F58A6" w:rsidRDefault="006957D0" w:rsidP="006E4005">
      <w:pPr>
        <w:widowControl/>
        <w:spacing w:after="240"/>
        <w:ind w:left="567" w:hanging="567"/>
        <w:rPr>
          <w:szCs w:val="24"/>
        </w:rPr>
      </w:pPr>
      <w:r w:rsidRPr="009F58A6">
        <w:t>29.</w:t>
      </w:r>
      <w:r w:rsidRPr="009F58A6">
        <w:tab/>
        <w:t xml:space="preserve">panee merkille, että instituutti oli hyväksynyt kolmen tarkastetun hallintomenoihin liittyneen maksun osalta, joiden kokonaisarvo oli 337 116 euroa, talousarviositoumukset vasta kun menoihin liittyneet oikeudelliset sitoumukset oli tehty; korostaa, että kyseessä ei ole yksittäistapaus, sillä tilintarkastustuomioistuin esitti samanlaisen huomautuksen vuoden 2021 kertomuksessaan; muistuttaa, että tämä on vastoin komission delegoidun asetuksen </w:t>
      </w:r>
      <w:r w:rsidR="002C5041">
        <w:t xml:space="preserve">(EU) </w:t>
      </w:r>
      <w:r w:rsidRPr="009F58A6">
        <w:t>2019/715</w:t>
      </w:r>
      <w:r w:rsidRPr="009F58A6">
        <w:rPr>
          <w:rStyle w:val="FootnoteReference"/>
          <w:szCs w:val="24"/>
        </w:rPr>
        <w:footnoteReference w:id="12"/>
      </w:r>
      <w:r w:rsidRPr="009F58A6">
        <w:t xml:space="preserve"> (varainhoidon puiteasetus) 73 artiklan 2 kohtaa; panee instituutin vastauksesta merkille, että se toteuttaa lisätoimenpiteitä varmistaakseen, että varainhoidon puiteasetuksen 73 artiklan 2 kohtaa noudatetaan kaikilta osin, esimerkiksi järjestämällä henkilöstölle erityisiä tiedotustilaisuuksia, päivittämällä käytössä olevia menettelyjä ja vahvistamalla niihin liittyvää sisäistä valvontaa; kehottaa instituuttia ryhtymään välittömiin toimiin ja toteuttamaan toimenpiteitä sen varmistamiseksi, että kaikki maksutapahtumat ovat varainhoidon puiteasetuksen mukaisia;</w:t>
      </w:r>
    </w:p>
    <w:p w:rsidR="006957D0" w:rsidRPr="009F58A6" w:rsidRDefault="006957D0" w:rsidP="006E4005">
      <w:pPr>
        <w:keepNext/>
        <w:widowControl/>
        <w:spacing w:after="240"/>
        <w:ind w:left="567" w:hanging="567"/>
        <w:rPr>
          <w:b/>
          <w:i/>
          <w:szCs w:val="24"/>
        </w:rPr>
      </w:pPr>
      <w:r w:rsidRPr="009F58A6">
        <w:rPr>
          <w:b/>
          <w:i/>
        </w:rPr>
        <w:t>Sisäinen valvonta</w:t>
      </w:r>
    </w:p>
    <w:p w:rsidR="006957D0" w:rsidRPr="009F58A6" w:rsidRDefault="006957D0" w:rsidP="006E4005">
      <w:pPr>
        <w:widowControl/>
        <w:spacing w:after="240"/>
        <w:ind w:left="567" w:hanging="567"/>
        <w:rPr>
          <w:szCs w:val="24"/>
        </w:rPr>
      </w:pPr>
      <w:r w:rsidRPr="009F58A6">
        <w:t>30.</w:t>
      </w:r>
      <w:r w:rsidRPr="009F58A6">
        <w:tab/>
        <w:t>panee merkille, että instituutti saattoi päätökseen sisäisen tarkastuksen yksikön toiminnon siirtymisen osaamis- ja innovaatioyhteisön seuranta- ja valvontatoimintoon ja että se oli hyväksytty hallintoneuvoston 1. huhtikuuta 2022 voimaan tulleella päätöksellä 12/2022; toteaa, että sisäisen tarkastuksen toiminnosta huolehtii nyt komission sisäinen tarkastus; panee lisäksi merkille, että sisäisen valvonnan koordinaattorin roolia vahvistettiin muun muassa tehtävillä, joihin kuuluu sisäisen valvonnan toimien koordinointi ja raportointi instituutissa, tarkastussuositusten täytäntöönpano, tarkastusten koordinointi, yhteyden pitäminen ulkopuolisiin tarkastuselimiin sekä osallistuminen varainhoidon ja toiminnan hallinnointiin muun muassa hankintojen, sopimusten täytäntöönpanon, maksujen ja raportoinnin aloilla;</w:t>
      </w:r>
    </w:p>
    <w:p w:rsidR="006957D0" w:rsidRPr="009F58A6" w:rsidRDefault="006957D0" w:rsidP="006E4005">
      <w:pPr>
        <w:widowControl/>
        <w:spacing w:after="240"/>
        <w:ind w:left="567" w:hanging="567"/>
        <w:rPr>
          <w:szCs w:val="24"/>
        </w:rPr>
      </w:pPr>
      <w:r w:rsidRPr="009F58A6">
        <w:t>31</w:t>
      </w:r>
      <w:r w:rsidR="002C5041">
        <w:t>.</w:t>
      </w:r>
      <w:bookmarkStart w:id="12" w:name="_GoBack"/>
      <w:bookmarkEnd w:id="12"/>
      <w:r w:rsidRPr="009F58A6">
        <w:tab/>
        <w:t>panee merkille, että komission sisäinen tarkastus käynnisti vuonna 2022 instituutin strategisen sisäisen tarkastuksen suunnitelmaan 2023–2025 liittyvät valmistelut; panee lisäksi merkille, että komission sisäinen tarkastus aloitti instituutin asiantuntijahallinnointia koskeneen tarkastuksen, joka saatiin päätökseen vuonna 2023 ja jossa arvioitiin sisäinen valvontajärjestelmän toimivuutta instituutin asiantuntijahallinnoinnin prosesseissa, muun muassa valintamenettelyissä, sopimusten tekemisessä ja maksujen suorittamisessa;</w:t>
      </w:r>
    </w:p>
    <w:p w:rsidR="006957D0" w:rsidRPr="009F58A6" w:rsidRDefault="006957D0" w:rsidP="006E4005">
      <w:pPr>
        <w:widowControl/>
        <w:spacing w:after="240"/>
        <w:ind w:left="567" w:hanging="567"/>
        <w:rPr>
          <w:szCs w:val="24"/>
        </w:rPr>
      </w:pPr>
      <w:r w:rsidRPr="009F58A6">
        <w:t>32.</w:t>
      </w:r>
      <w:r w:rsidRPr="009F58A6">
        <w:tab/>
        <w:t xml:space="preserve">huomauttaa, että komission sisäisen tarkastuksen vuoden 2021 henkilöstöhallinnon tarkastuksessa antaman tärkeän suosituksen, joka koski arviointia ja uudelleenluokittelua, täytäntöönpano viivästyi merkittävästi 15 kuukaudella; toteaa, että havaittuja riskejä olivat muun muassa toimenpiteiden mahdolliset viivästykset ja tehottomuus sekä mahdolliset virheellisesti perustellut hallintopäätökset, jotka voivat johtaa arviointimenettelyjen riitauttamiseen tai siihen, että asia viedään tuomioistuimeen, sekä henkilöstön tyytymättömyyteen ja motivaation puutteeseen, ja toteaa olevansa huolestunut siitä, että uudelleenluokittelua käsittelevä pariteettikomitea ei täytä tehtäväänsä ja että uudelleenluokittelu ja arviointimekanismi menettävät </w:t>
      </w:r>
      <w:r w:rsidRPr="009F58A6">
        <w:lastRenderedPageBreak/>
        <w:t>yleisesti uskottavuutensa, mikä vähentää henkilöstön motivaatiota; kehottaa instituuttia toteuttamaan ennakoivia toimenpiteitä, joilla puututaan arviointi- ja uudelleenluokittelumenettelyn mahdollisiin viivästyksiin ja tehottomuuteen, ja raportoimaan vastuuvapauden myöntävälle viranomaiselle asian edistymisestä;</w:t>
      </w:r>
    </w:p>
    <w:p w:rsidR="006957D0" w:rsidRPr="009F58A6" w:rsidRDefault="006957D0" w:rsidP="006E4005">
      <w:pPr>
        <w:widowControl/>
        <w:spacing w:after="240"/>
        <w:ind w:left="567" w:hanging="567"/>
        <w:rPr>
          <w:szCs w:val="24"/>
        </w:rPr>
      </w:pPr>
      <w:r w:rsidRPr="009F58A6">
        <w:t>33.</w:t>
      </w:r>
      <w:r w:rsidRPr="009F58A6">
        <w:tab/>
        <w:t>panee merkille, että instituutti on lisännyt vuorovaikutustaan OLAFin kanssa ja järjestänyt kahdenvälisiä kokouksia ja petostentorjuntaa koskevia tiedotustilaisuuksia; panee lisäksi merkille, että instituutti on aloittanut toukokuussa 2021 hyväksytyn petostentorjuntastrategiansa 2021–2023 toteuttamisen;</w:t>
      </w:r>
    </w:p>
    <w:p w:rsidR="006957D0" w:rsidRPr="009F58A6" w:rsidRDefault="006957D0" w:rsidP="006E4005">
      <w:pPr>
        <w:widowControl/>
        <w:spacing w:after="240"/>
        <w:ind w:left="567" w:hanging="567"/>
        <w:rPr>
          <w:szCs w:val="24"/>
        </w:rPr>
      </w:pPr>
      <w:r w:rsidRPr="009F58A6">
        <w:t>34.</w:t>
      </w:r>
      <w:r w:rsidRPr="009F58A6">
        <w:tab/>
        <w:t>panee merkille, että instituutti teki riskinarvioinnin ja kirjasi riskirekisteriinsä 2022 muun muassa seuraavat tunnistamansa riskit: vuotuisen työohjelman osien toteuttamatta jättäminen puutteellisten henkilöresurssien vuoksi, osaamis- ja innovaatioyhteisöjen sopimusten epäasianmukainen täytäntöönpano, instituutin hankintamenettelyissä ja komission tietojärjestelmiin perehdyttämisessä tapahtuneet viivästykset; kehottaa instituuttia tiedottamaan vastuuvapauden myöntävälle viranomaiselle kaikesta edistymisestä asiassa;</w:t>
      </w:r>
    </w:p>
    <w:p w:rsidR="006957D0" w:rsidRPr="009F58A6" w:rsidRDefault="006957D0" w:rsidP="006E4005">
      <w:pPr>
        <w:widowControl/>
        <w:spacing w:after="240"/>
        <w:ind w:left="567" w:hanging="567"/>
        <w:rPr>
          <w:szCs w:val="24"/>
        </w:rPr>
      </w:pPr>
      <w:r w:rsidRPr="009F58A6">
        <w:t>35.</w:t>
      </w:r>
      <w:r w:rsidRPr="009F58A6">
        <w:tab/>
        <w:t>panee tilintarkastustuomioistuimen kertomuksesta merkille, että instituutti ei tehnyt ohjelmiston uusimistilauksen osalta ennakkotarkastusta, jossa se olisi vahvistanut, että palveluntarjoaja oli veloittanut oikean hinnan ja lisäpalkkion siten kuin tilaukseen sovellettavassa puitesopimuksessa määrätään, ja toteaa tämän olevan vastoin varainhoitoasetuksen 30 artiklan säännöksiä, jotka koskevat ennakkotarkastuksia, ja että se aiheuttaa riskin siitä, että instituutti maksaa saamistaan palveluista virheellisiä määriä; toteaa, että instituutin vastauksen mukaan se vaatii jatkossa tarjousta pyytäessään toimeksisaajalta erittelyn, josta käy selvästi ilmi hinta ja kate, jotta instituutti voisi arvioida mahdollisia hintoihin liittyviä riskejä;</w:t>
      </w:r>
    </w:p>
    <w:p w:rsidR="006957D0" w:rsidRPr="009F58A6" w:rsidRDefault="006957D0" w:rsidP="006E4005">
      <w:pPr>
        <w:keepNext/>
        <w:widowControl/>
        <w:spacing w:after="240"/>
        <w:ind w:left="567" w:hanging="567"/>
        <w:rPr>
          <w:b/>
          <w:i/>
          <w:szCs w:val="24"/>
        </w:rPr>
      </w:pPr>
      <w:r w:rsidRPr="009F58A6">
        <w:rPr>
          <w:b/>
          <w:i/>
        </w:rPr>
        <w:t>Muita huomautuksia</w:t>
      </w:r>
    </w:p>
    <w:p w:rsidR="006957D0" w:rsidRPr="009F58A6" w:rsidRDefault="006957D0" w:rsidP="006E4005">
      <w:pPr>
        <w:widowControl/>
        <w:spacing w:after="240"/>
        <w:ind w:left="567" w:hanging="567"/>
        <w:rPr>
          <w:szCs w:val="24"/>
        </w:rPr>
      </w:pPr>
      <w:r w:rsidRPr="009F58A6">
        <w:t>36.</w:t>
      </w:r>
      <w:r w:rsidRPr="009F58A6">
        <w:tab/>
        <w:t>panee merkille, että instituutti järjesti vuoden 2022 aikana tapahtumia näkyvyytensä parantamiseksi jäsenvaltioissa ja unionissa sekä avoimien ovien päiviä, joissa tiedotettiin instituutin tarjoamista mahdollisuuksista mahdollisille hakijoille; panee lisäksi merkille, että instituutti käynnisti myös syväteknologian osaajia koskevan aloitteen, joka on osa uutta eurooppalaista innovaatio-ohjelmaa ja auttaa kehittämään kansalaisten teknologiaosaamista tulevaisuudessa;</w:t>
      </w:r>
    </w:p>
    <w:p w:rsidR="006957D0" w:rsidRPr="009F58A6" w:rsidRDefault="006957D0" w:rsidP="006E4005">
      <w:pPr>
        <w:widowControl/>
        <w:spacing w:after="240"/>
        <w:ind w:left="567" w:hanging="567"/>
        <w:rPr>
          <w:szCs w:val="24"/>
        </w:rPr>
      </w:pPr>
      <w:r w:rsidRPr="009F58A6">
        <w:t>37.</w:t>
      </w:r>
      <w:r w:rsidRPr="009F58A6">
        <w:tab/>
        <w:t>panee merkille, että instituutti on pyrkinyt kehittymään ilmastoneutraaliksi virastoksi ja että se toteuttaa tarvittavia toimia ympäristöasioiden hallinnan edistämiseksi; huomauttaa, että instituutti on Euroopan suurin innovaatioekosysteemi ja johtava Horisontti Eurooppa ‐puiteohjelman osapuoli ilmastonmuutoksen ja siihen liittyvien ongelmien torjunnassa; on tyytyväinen siihen, että instituutti toteutti ympäristötavoitteidensa saavuttamiseksi vuonna 2022 seuraavat toimet: kestävyyskomitean perustaminen, liittyminen EU:n virastojen verkoston viherryttämistä käsittelevän alaverkoston jäseneksi ja osallistuminen EITree-tapahtumaan, jossa työntekijät istuttivat puita kaupunkialueelle;</w:t>
      </w:r>
    </w:p>
    <w:p w:rsidR="006957D0" w:rsidRPr="009F58A6" w:rsidRDefault="006957D0" w:rsidP="006E4005">
      <w:pPr>
        <w:widowControl/>
        <w:spacing w:after="240"/>
        <w:ind w:left="567" w:hanging="567"/>
        <w:rPr>
          <w:szCs w:val="24"/>
        </w:rPr>
      </w:pPr>
      <w:r w:rsidRPr="009F58A6">
        <w:t>38.</w:t>
      </w:r>
      <w:r w:rsidRPr="009F58A6">
        <w:tab/>
        <w:t>toteaa, että EMAS-sertifiointi on instituutin keskipitkän tai pitkän aikavälin asialistalla;</w:t>
      </w:r>
    </w:p>
    <w:p w:rsidR="006E4005" w:rsidRDefault="006E4005" w:rsidP="00535A7C">
      <w:pPr>
        <w:pStyle w:val="NormalCenter12a"/>
        <w:keepNext/>
        <w:keepLines/>
        <w:widowControl/>
      </w:pPr>
      <w:r>
        <w:lastRenderedPageBreak/>
        <w:t>°</w:t>
      </w:r>
    </w:p>
    <w:p w:rsidR="006E4005" w:rsidRDefault="006E4005" w:rsidP="00535A7C">
      <w:pPr>
        <w:pStyle w:val="NormalCenter12a"/>
        <w:keepNext/>
        <w:keepLines/>
        <w:widowControl/>
      </w:pPr>
      <w:r>
        <w:t>°     °</w:t>
      </w:r>
    </w:p>
    <w:p w:rsidR="00E365E1" w:rsidRPr="009F58A6" w:rsidRDefault="006957D0" w:rsidP="006E4005">
      <w:pPr>
        <w:pStyle w:val="NormalHanging12a"/>
        <w:widowControl/>
      </w:pPr>
      <w:r w:rsidRPr="009F58A6">
        <w:t>39.</w:t>
      </w:r>
      <w:r w:rsidRPr="009F58A6">
        <w:tab/>
        <w:t xml:space="preserve">viittaa vastuuvapauden myöntämistä koskevaan päätökseen liittyvien muiden, luonteeltaan yleisten huomautusten osalta erillisvirastojen toiminnan tuloksellisuudesta, varainhoidosta ja sen valvonnasta </w:t>
      </w:r>
      <w:r w:rsidR="006E4005">
        <w:t>11. huhtikuuta</w:t>
      </w:r>
      <w:r w:rsidRPr="009F58A6">
        <w:t xml:space="preserve"> 2024 antamaansa päätöslauselmaan</w:t>
      </w:r>
      <w:r w:rsidRPr="009F58A6">
        <w:rPr>
          <w:rStyle w:val="FootnoteReference"/>
        </w:rPr>
        <w:footnoteReference w:id="13"/>
      </w:r>
      <w:r w:rsidRPr="009F58A6">
        <w:t>.</w:t>
      </w:r>
      <w:bookmarkStart w:id="13" w:name="TextBodyEnd"/>
      <w:bookmarkEnd w:id="13"/>
    </w:p>
    <w:sectPr w:rsidR="00E365E1" w:rsidRPr="009F58A6" w:rsidSect="009F58A6">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576F" w:rsidRPr="009F58A6" w:rsidRDefault="0017576F">
      <w:r w:rsidRPr="009F58A6">
        <w:separator/>
      </w:r>
    </w:p>
  </w:endnote>
  <w:endnote w:type="continuationSeparator" w:id="0">
    <w:p w:rsidR="0017576F" w:rsidRPr="009F58A6" w:rsidRDefault="0017576F">
      <w:r w:rsidRPr="009F58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57D0" w:rsidRPr="009F58A6" w:rsidRDefault="006957D0" w:rsidP="00AC3223">
    <w:pPr>
      <w:pStyle w:val="EPFooter"/>
    </w:pPr>
    <w:r w:rsidRPr="009F58A6">
      <w:t>PE</w:t>
    </w:r>
    <w:r w:rsidRPr="009F58A6">
      <w:rPr>
        <w:rStyle w:val="HideTWBExt"/>
      </w:rPr>
      <w:t>&lt;NoPE&gt;</w:t>
    </w:r>
    <w:r w:rsidRPr="009F58A6">
      <w:t>753.522</w:t>
    </w:r>
    <w:r w:rsidRPr="009F58A6">
      <w:rPr>
        <w:rStyle w:val="HideTWBExt"/>
      </w:rPr>
      <w:t>&lt;/NoPE&gt;&lt;Version&gt;</w:t>
    </w:r>
    <w:r w:rsidRPr="009F58A6">
      <w:t>v03-00</w:t>
    </w:r>
    <w:r w:rsidRPr="009F58A6">
      <w:rPr>
        <w:rStyle w:val="HideTWBExt"/>
      </w:rPr>
      <w:t>&lt;/Version&gt;</w:t>
    </w:r>
    <w:r w:rsidRPr="009F58A6">
      <w:tab/>
    </w:r>
    <w:r w:rsidRPr="009F58A6">
      <w:fldChar w:fldCharType="begin"/>
    </w:r>
    <w:r w:rsidRPr="009F58A6">
      <w:instrText xml:space="preserve"> PAGE  \* MERGEFORMAT </w:instrText>
    </w:r>
    <w:r w:rsidRPr="009F58A6">
      <w:fldChar w:fldCharType="separate"/>
    </w:r>
    <w:r w:rsidR="009F58A6" w:rsidRPr="009F58A6">
      <w:rPr>
        <w:noProof/>
      </w:rPr>
      <w:t>2</w:t>
    </w:r>
    <w:r w:rsidRPr="009F58A6">
      <w:fldChar w:fldCharType="end"/>
    </w:r>
    <w:r w:rsidRPr="009F58A6">
      <w:t>/</w:t>
    </w:r>
    <w:r w:rsidR="002C5041">
      <w:fldChar w:fldCharType="begin"/>
    </w:r>
    <w:r w:rsidR="002C5041">
      <w:instrText xml:space="preserve"> NUMPAGES  \* MERGEFORMAT </w:instrText>
    </w:r>
    <w:r w:rsidR="002C5041">
      <w:fldChar w:fldCharType="separate"/>
    </w:r>
    <w:r w:rsidR="009F58A6" w:rsidRPr="009F58A6">
      <w:rPr>
        <w:noProof/>
      </w:rPr>
      <w:t>4</w:t>
    </w:r>
    <w:r w:rsidR="002C5041">
      <w:rPr>
        <w:noProof/>
      </w:rPr>
      <w:fldChar w:fldCharType="end"/>
    </w:r>
    <w:r w:rsidRPr="009F58A6">
      <w:tab/>
    </w:r>
    <w:r w:rsidRPr="009F58A6">
      <w:rPr>
        <w:rStyle w:val="HideTWBExt"/>
      </w:rPr>
      <w:t>&lt;PathFdR&gt;</w:t>
    </w:r>
    <w:r w:rsidRPr="009F58A6">
      <w:t>RR\1299238FI.docx</w:t>
    </w:r>
    <w:r w:rsidRPr="009F58A6">
      <w:rPr>
        <w:rStyle w:val="HideTWBExt"/>
      </w:rPr>
      <w:t>&lt;/PathFdR&gt;</w:t>
    </w:r>
  </w:p>
  <w:p w:rsidR="006957D0" w:rsidRPr="009F58A6" w:rsidRDefault="006957D0" w:rsidP="00AC3223">
    <w:pPr>
      <w:pStyle w:val="EPFooter2"/>
    </w:pPr>
    <w:r w:rsidRPr="009F58A6">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57D0" w:rsidRPr="009F58A6" w:rsidRDefault="006957D0" w:rsidP="00AC3223">
    <w:pPr>
      <w:pStyle w:val="EPFooter"/>
    </w:pPr>
    <w:r w:rsidRPr="009F58A6">
      <w:rPr>
        <w:rStyle w:val="HideTWBExt"/>
      </w:rPr>
      <w:t>&lt;PathFdR&gt;</w:t>
    </w:r>
    <w:r w:rsidRPr="009F58A6">
      <w:t>RR\1299238FI.docx</w:t>
    </w:r>
    <w:r w:rsidRPr="009F58A6">
      <w:rPr>
        <w:rStyle w:val="HideTWBExt"/>
      </w:rPr>
      <w:t>&lt;/PathFdR&gt;</w:t>
    </w:r>
    <w:r w:rsidRPr="009F58A6">
      <w:tab/>
    </w:r>
    <w:r w:rsidRPr="009F58A6">
      <w:tab/>
      <w:t>PE</w:t>
    </w:r>
    <w:r w:rsidRPr="009F58A6">
      <w:rPr>
        <w:rStyle w:val="HideTWBExt"/>
      </w:rPr>
      <w:t>&lt;NoPE&gt;</w:t>
    </w:r>
    <w:r w:rsidRPr="009F58A6">
      <w:t>753.522</w:t>
    </w:r>
    <w:r w:rsidRPr="009F58A6">
      <w:rPr>
        <w:rStyle w:val="HideTWBExt"/>
      </w:rPr>
      <w:t>&lt;/NoPE&gt;&lt;Version&gt;</w:t>
    </w:r>
    <w:r w:rsidRPr="009F58A6">
      <w:t>v03-00</w:t>
    </w:r>
    <w:r w:rsidRPr="009F58A6">
      <w:rPr>
        <w:rStyle w:val="HideTWBExt"/>
      </w:rPr>
      <w:t>&lt;/Version&gt;</w:t>
    </w:r>
  </w:p>
  <w:p w:rsidR="006957D0" w:rsidRPr="009F58A6" w:rsidRDefault="006957D0" w:rsidP="00AC3223">
    <w:pPr>
      <w:pStyle w:val="EPFooter2"/>
    </w:pPr>
    <w:r w:rsidRPr="009F58A6">
      <w:t>FI</w:t>
    </w:r>
    <w:r w:rsidRPr="009F58A6">
      <w:tab/>
    </w:r>
    <w:r w:rsidRPr="009F58A6">
      <w:rPr>
        <w:b w:val="0"/>
        <w:i/>
        <w:color w:val="C0C0C0"/>
        <w:sz w:val="22"/>
      </w:rPr>
      <w:t>Moninaisuudessaan yhtenäinen</w:t>
    </w:r>
    <w:r w:rsidRPr="009F58A6">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58A6"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58A6"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58A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576F" w:rsidRPr="009F58A6" w:rsidRDefault="0017576F">
      <w:r w:rsidRPr="009F58A6">
        <w:separator/>
      </w:r>
    </w:p>
  </w:footnote>
  <w:footnote w:type="continuationSeparator" w:id="0">
    <w:p w:rsidR="0017576F" w:rsidRPr="009F58A6" w:rsidRDefault="0017576F">
      <w:r w:rsidRPr="009F58A6">
        <w:continuationSeparator/>
      </w:r>
    </w:p>
  </w:footnote>
  <w:footnote w:id="1">
    <w:p w:rsidR="006957D0" w:rsidRPr="009F58A6" w:rsidRDefault="006957D0" w:rsidP="009F58A6">
      <w:pPr>
        <w:pStyle w:val="FootnoteText"/>
        <w:ind w:left="567" w:hanging="567"/>
        <w:rPr>
          <w:sz w:val="24"/>
          <w:lang w:val="fi-FI"/>
        </w:rPr>
      </w:pPr>
      <w:r w:rsidRPr="009F58A6">
        <w:rPr>
          <w:rStyle w:val="FootnoteReference"/>
          <w:sz w:val="24"/>
          <w:lang w:val="fi-FI"/>
        </w:rPr>
        <w:footnoteRef/>
      </w:r>
      <w:r w:rsidR="009F58A6" w:rsidRPr="009F58A6">
        <w:rPr>
          <w:sz w:val="24"/>
          <w:lang w:val="fi-FI"/>
        </w:rPr>
        <w:t xml:space="preserve"> </w:t>
      </w:r>
      <w:r w:rsidR="009F58A6" w:rsidRPr="009F58A6">
        <w:rPr>
          <w:sz w:val="24"/>
          <w:lang w:val="fi-FI"/>
        </w:rPr>
        <w:tab/>
      </w:r>
      <w:r w:rsidRPr="009F58A6">
        <w:rPr>
          <w:sz w:val="24"/>
          <w:lang w:val="fi-FI"/>
        </w:rPr>
        <w:t>EUVL C, C/2023/594, 27.10.2023.</w:t>
      </w:r>
    </w:p>
  </w:footnote>
  <w:footnote w:id="2">
    <w:p w:rsidR="006957D0" w:rsidRPr="009F58A6" w:rsidRDefault="006957D0" w:rsidP="009F58A6">
      <w:pPr>
        <w:pStyle w:val="FootnoteText"/>
        <w:ind w:left="567" w:hanging="567"/>
        <w:rPr>
          <w:sz w:val="24"/>
          <w:lang w:val="fi-FI"/>
        </w:rPr>
      </w:pPr>
      <w:r w:rsidRPr="009F58A6">
        <w:rPr>
          <w:rStyle w:val="FootnoteReference"/>
          <w:sz w:val="24"/>
          <w:lang w:val="fi-FI"/>
        </w:rPr>
        <w:footnoteRef/>
      </w:r>
      <w:r w:rsidR="009F58A6" w:rsidRPr="009F58A6">
        <w:rPr>
          <w:sz w:val="24"/>
          <w:lang w:val="fi-FI"/>
        </w:rPr>
        <w:t xml:space="preserve"> </w:t>
      </w:r>
      <w:r w:rsidR="009F58A6" w:rsidRPr="009F58A6">
        <w:rPr>
          <w:sz w:val="24"/>
          <w:lang w:val="fi-FI"/>
        </w:rPr>
        <w:tab/>
      </w:r>
      <w:r w:rsidRPr="009F58A6">
        <w:rPr>
          <w:sz w:val="24"/>
          <w:lang w:val="fi-FI"/>
        </w:rPr>
        <w:t>EUVL C, C/2023/112, 12.10.2023.</w:t>
      </w:r>
    </w:p>
  </w:footnote>
  <w:footnote w:id="3">
    <w:p w:rsidR="006957D0" w:rsidRPr="009F58A6" w:rsidRDefault="006957D0" w:rsidP="009F58A6">
      <w:pPr>
        <w:pStyle w:val="FootnoteText"/>
        <w:ind w:left="567" w:hanging="567"/>
        <w:rPr>
          <w:sz w:val="24"/>
          <w:lang w:val="fi-FI"/>
        </w:rPr>
      </w:pPr>
      <w:r w:rsidRPr="009F58A6">
        <w:rPr>
          <w:rStyle w:val="FootnoteReference"/>
          <w:sz w:val="24"/>
          <w:lang w:val="fi-FI"/>
        </w:rPr>
        <w:footnoteRef/>
      </w:r>
      <w:r w:rsidR="009F58A6" w:rsidRPr="009F58A6">
        <w:rPr>
          <w:sz w:val="24"/>
          <w:lang w:val="fi-FI"/>
        </w:rPr>
        <w:t xml:space="preserve"> </w:t>
      </w:r>
      <w:r w:rsidR="009F58A6" w:rsidRPr="009F58A6">
        <w:rPr>
          <w:sz w:val="24"/>
          <w:lang w:val="fi-FI"/>
        </w:rPr>
        <w:tab/>
      </w:r>
      <w:r w:rsidRPr="009F58A6">
        <w:rPr>
          <w:sz w:val="24"/>
          <w:lang w:val="fi-FI"/>
        </w:rPr>
        <w:t>EUVL L 193, 30.7.2018, s. 1.</w:t>
      </w:r>
    </w:p>
  </w:footnote>
  <w:footnote w:id="4">
    <w:p w:rsidR="006957D0" w:rsidRPr="009F58A6" w:rsidRDefault="006957D0" w:rsidP="009F58A6">
      <w:pPr>
        <w:pStyle w:val="FootnoteText"/>
        <w:ind w:left="567" w:hanging="567"/>
        <w:rPr>
          <w:sz w:val="24"/>
          <w:lang w:val="fi-FI"/>
        </w:rPr>
      </w:pPr>
      <w:r w:rsidRPr="009F58A6">
        <w:rPr>
          <w:rStyle w:val="FootnoteReference"/>
          <w:sz w:val="24"/>
          <w:lang w:val="fi-FI"/>
        </w:rPr>
        <w:footnoteRef/>
      </w:r>
      <w:r w:rsidR="009F58A6" w:rsidRPr="009F58A6">
        <w:rPr>
          <w:sz w:val="24"/>
          <w:lang w:val="fi-FI"/>
        </w:rPr>
        <w:t xml:space="preserve"> </w:t>
      </w:r>
      <w:r w:rsidR="009F58A6" w:rsidRPr="009F58A6">
        <w:rPr>
          <w:sz w:val="24"/>
          <w:lang w:val="fi-FI"/>
        </w:rPr>
        <w:tab/>
      </w:r>
      <w:r w:rsidRPr="009F58A6">
        <w:rPr>
          <w:sz w:val="24"/>
          <w:lang w:val="fi-FI"/>
        </w:rPr>
        <w:t>EUVL L 189, 28.5.2021, s. 61.</w:t>
      </w:r>
    </w:p>
  </w:footnote>
  <w:footnote w:id="5">
    <w:p w:rsidR="006957D0" w:rsidRPr="009F58A6" w:rsidRDefault="006957D0" w:rsidP="009F58A6">
      <w:pPr>
        <w:pStyle w:val="FootnoteText"/>
        <w:ind w:left="567" w:hanging="567"/>
        <w:rPr>
          <w:sz w:val="24"/>
          <w:szCs w:val="24"/>
          <w:lang w:val="fi-FI"/>
        </w:rPr>
      </w:pPr>
      <w:r w:rsidRPr="009F58A6">
        <w:rPr>
          <w:rStyle w:val="FootnoteReference"/>
          <w:sz w:val="24"/>
          <w:lang w:val="fi-FI"/>
        </w:rPr>
        <w:footnoteRef/>
      </w:r>
      <w:r w:rsidR="009F58A6" w:rsidRPr="009F58A6">
        <w:rPr>
          <w:sz w:val="24"/>
          <w:lang w:val="fi-FI"/>
        </w:rPr>
        <w:t xml:space="preserve"> </w:t>
      </w:r>
      <w:r w:rsidR="009F58A6" w:rsidRPr="009F58A6">
        <w:rPr>
          <w:sz w:val="24"/>
          <w:lang w:val="fi-FI"/>
        </w:rPr>
        <w:tab/>
      </w:r>
      <w:r w:rsidRPr="009F58A6">
        <w:rPr>
          <w:sz w:val="24"/>
          <w:lang w:val="fi-FI"/>
        </w:rPr>
        <w:t>EUVL L 122, 10.5.2019, s. 1.</w:t>
      </w:r>
    </w:p>
  </w:footnote>
  <w:footnote w:id="6">
    <w:p w:rsidR="006957D0" w:rsidRPr="009F58A6" w:rsidRDefault="006957D0" w:rsidP="009F58A6">
      <w:pPr>
        <w:pStyle w:val="FootnoteText"/>
        <w:ind w:left="567" w:hanging="567"/>
        <w:rPr>
          <w:sz w:val="24"/>
          <w:lang w:val="fi-FI"/>
        </w:rPr>
      </w:pPr>
      <w:r w:rsidRPr="009F58A6">
        <w:rPr>
          <w:rStyle w:val="FootnoteReference"/>
          <w:sz w:val="24"/>
          <w:lang w:val="fi-FI"/>
        </w:rPr>
        <w:footnoteRef/>
      </w:r>
      <w:r w:rsidR="009F58A6" w:rsidRPr="009F58A6">
        <w:rPr>
          <w:sz w:val="24"/>
          <w:lang w:val="fi-FI"/>
        </w:rPr>
        <w:t xml:space="preserve"> </w:t>
      </w:r>
      <w:r w:rsidR="009F58A6" w:rsidRPr="009F58A6">
        <w:rPr>
          <w:sz w:val="24"/>
          <w:lang w:val="fi-FI"/>
        </w:rPr>
        <w:tab/>
      </w:r>
      <w:r w:rsidRPr="009F58A6">
        <w:rPr>
          <w:sz w:val="24"/>
          <w:lang w:val="fi-FI"/>
        </w:rPr>
        <w:t>EUVL C, C/2023/594, 27.10.2023.</w:t>
      </w:r>
    </w:p>
  </w:footnote>
  <w:footnote w:id="7">
    <w:p w:rsidR="006957D0" w:rsidRPr="009F58A6" w:rsidRDefault="006957D0" w:rsidP="009F58A6">
      <w:pPr>
        <w:pStyle w:val="FootnoteText"/>
        <w:ind w:left="567" w:hanging="567"/>
        <w:rPr>
          <w:sz w:val="24"/>
          <w:lang w:val="fi-FI"/>
        </w:rPr>
      </w:pPr>
      <w:r w:rsidRPr="009F58A6">
        <w:rPr>
          <w:rStyle w:val="FootnoteReference"/>
          <w:sz w:val="24"/>
          <w:lang w:val="fi-FI"/>
        </w:rPr>
        <w:footnoteRef/>
      </w:r>
      <w:r w:rsidR="009F58A6" w:rsidRPr="009F58A6">
        <w:rPr>
          <w:sz w:val="24"/>
          <w:lang w:val="fi-FI"/>
        </w:rPr>
        <w:t xml:space="preserve"> </w:t>
      </w:r>
      <w:r w:rsidR="009F58A6" w:rsidRPr="009F58A6">
        <w:rPr>
          <w:sz w:val="24"/>
          <w:lang w:val="fi-FI"/>
        </w:rPr>
        <w:tab/>
      </w:r>
      <w:r w:rsidRPr="009F58A6">
        <w:rPr>
          <w:sz w:val="24"/>
          <w:lang w:val="fi-FI"/>
        </w:rPr>
        <w:t>EUVL C, C/2023/112, 12.10.2023.</w:t>
      </w:r>
    </w:p>
  </w:footnote>
  <w:footnote w:id="8">
    <w:p w:rsidR="006957D0" w:rsidRPr="009F58A6" w:rsidRDefault="006957D0" w:rsidP="009F58A6">
      <w:pPr>
        <w:pStyle w:val="FootnoteText"/>
        <w:ind w:left="567" w:hanging="567"/>
        <w:rPr>
          <w:sz w:val="24"/>
          <w:lang w:val="fi-FI"/>
        </w:rPr>
      </w:pPr>
      <w:r w:rsidRPr="009F58A6">
        <w:rPr>
          <w:rStyle w:val="FootnoteReference"/>
          <w:sz w:val="24"/>
          <w:lang w:val="fi-FI"/>
        </w:rPr>
        <w:footnoteRef/>
      </w:r>
      <w:r w:rsidR="009F58A6" w:rsidRPr="009F58A6">
        <w:rPr>
          <w:sz w:val="24"/>
          <w:lang w:val="fi-FI"/>
        </w:rPr>
        <w:t xml:space="preserve"> </w:t>
      </w:r>
      <w:r w:rsidR="009F58A6" w:rsidRPr="009F58A6">
        <w:rPr>
          <w:sz w:val="24"/>
          <w:lang w:val="fi-FI"/>
        </w:rPr>
        <w:tab/>
      </w:r>
      <w:r w:rsidRPr="009F58A6">
        <w:rPr>
          <w:sz w:val="24"/>
          <w:lang w:val="fi-FI"/>
        </w:rPr>
        <w:t>EUVL L 193, 30.7.2018, s. 1.</w:t>
      </w:r>
    </w:p>
  </w:footnote>
  <w:footnote w:id="9">
    <w:p w:rsidR="006957D0" w:rsidRPr="009F58A6" w:rsidRDefault="006957D0" w:rsidP="009F58A6">
      <w:pPr>
        <w:pStyle w:val="FootnoteText"/>
        <w:ind w:left="567" w:hanging="567"/>
        <w:rPr>
          <w:sz w:val="24"/>
          <w:lang w:val="fi-FI"/>
        </w:rPr>
      </w:pPr>
      <w:r w:rsidRPr="009F58A6">
        <w:rPr>
          <w:rStyle w:val="FootnoteReference"/>
          <w:sz w:val="24"/>
          <w:lang w:val="fi-FI"/>
        </w:rPr>
        <w:footnoteRef/>
      </w:r>
      <w:r w:rsidR="009F58A6" w:rsidRPr="009F58A6">
        <w:rPr>
          <w:sz w:val="24"/>
          <w:lang w:val="fi-FI"/>
        </w:rPr>
        <w:t xml:space="preserve"> </w:t>
      </w:r>
      <w:r w:rsidR="009F58A6" w:rsidRPr="009F58A6">
        <w:rPr>
          <w:sz w:val="24"/>
          <w:lang w:val="fi-FI"/>
        </w:rPr>
        <w:tab/>
      </w:r>
      <w:r w:rsidRPr="009F58A6">
        <w:rPr>
          <w:sz w:val="24"/>
          <w:lang w:val="fi-FI"/>
        </w:rPr>
        <w:t>EUVL L 189, 28.5.2021, s. 61.</w:t>
      </w:r>
    </w:p>
  </w:footnote>
  <w:footnote w:id="10">
    <w:p w:rsidR="006957D0" w:rsidRPr="009F58A6" w:rsidRDefault="006957D0" w:rsidP="009F58A6">
      <w:pPr>
        <w:pStyle w:val="FootnoteText"/>
        <w:ind w:left="567" w:hanging="567"/>
        <w:rPr>
          <w:sz w:val="24"/>
          <w:szCs w:val="24"/>
          <w:lang w:val="fi-FI"/>
        </w:rPr>
      </w:pPr>
      <w:r w:rsidRPr="009F58A6">
        <w:rPr>
          <w:rStyle w:val="FootnoteReference"/>
          <w:sz w:val="24"/>
          <w:lang w:val="fi-FI"/>
        </w:rPr>
        <w:footnoteRef/>
      </w:r>
      <w:r w:rsidR="009F58A6" w:rsidRPr="009F58A6">
        <w:rPr>
          <w:sz w:val="24"/>
          <w:lang w:val="fi-FI"/>
        </w:rPr>
        <w:t xml:space="preserve"> </w:t>
      </w:r>
      <w:r w:rsidR="009F58A6" w:rsidRPr="009F58A6">
        <w:rPr>
          <w:sz w:val="24"/>
          <w:lang w:val="fi-FI"/>
        </w:rPr>
        <w:tab/>
      </w:r>
      <w:r w:rsidRPr="009F58A6">
        <w:rPr>
          <w:sz w:val="24"/>
          <w:lang w:val="fi-FI"/>
        </w:rPr>
        <w:t>EUVL L 122, 10.5.2019, s. 1.</w:t>
      </w:r>
    </w:p>
  </w:footnote>
  <w:footnote w:id="11">
    <w:p w:rsidR="006957D0" w:rsidRPr="009F58A6" w:rsidRDefault="006957D0" w:rsidP="009F58A6">
      <w:pPr>
        <w:pStyle w:val="FootnoteText"/>
        <w:ind w:left="567" w:hanging="567"/>
        <w:rPr>
          <w:sz w:val="24"/>
          <w:lang w:val="fi-FI"/>
        </w:rPr>
      </w:pPr>
      <w:r w:rsidRPr="009F58A6">
        <w:rPr>
          <w:rStyle w:val="FootnoteReference"/>
          <w:sz w:val="24"/>
          <w:lang w:val="fi-FI"/>
        </w:rPr>
        <w:footnoteRef/>
      </w:r>
      <w:r w:rsidR="009F58A6" w:rsidRPr="009F58A6">
        <w:rPr>
          <w:sz w:val="24"/>
          <w:lang w:val="fi-FI"/>
        </w:rPr>
        <w:t xml:space="preserve"> </w:t>
      </w:r>
      <w:r w:rsidR="009F58A6" w:rsidRPr="009F58A6">
        <w:rPr>
          <w:sz w:val="24"/>
          <w:lang w:val="fi-FI"/>
        </w:rPr>
        <w:tab/>
      </w:r>
      <w:r w:rsidRPr="009F58A6">
        <w:rPr>
          <w:sz w:val="24"/>
          <w:lang w:val="fi-FI"/>
        </w:rPr>
        <w:t>EUVL C 489, 22.12.2022, s. 56.</w:t>
      </w:r>
    </w:p>
  </w:footnote>
  <w:footnote w:id="12">
    <w:p w:rsidR="006957D0" w:rsidRPr="009F58A6" w:rsidRDefault="006957D0" w:rsidP="009F58A6">
      <w:pPr>
        <w:pStyle w:val="FootnoteText"/>
        <w:ind w:left="567" w:hanging="567"/>
        <w:rPr>
          <w:sz w:val="24"/>
          <w:lang w:val="fi-FI"/>
        </w:rPr>
      </w:pPr>
      <w:r w:rsidRPr="009F58A6">
        <w:rPr>
          <w:rStyle w:val="FootnoteReference"/>
          <w:sz w:val="24"/>
          <w:lang w:val="fi-FI"/>
        </w:rPr>
        <w:footnoteRef/>
      </w:r>
      <w:r w:rsidR="009F58A6" w:rsidRPr="009F58A6">
        <w:rPr>
          <w:sz w:val="24"/>
          <w:lang w:val="fi-FI"/>
        </w:rPr>
        <w:t xml:space="preserve"> </w:t>
      </w:r>
      <w:r w:rsidR="009F58A6" w:rsidRPr="009F58A6">
        <w:rPr>
          <w:sz w:val="24"/>
          <w:lang w:val="fi-FI"/>
        </w:rPr>
        <w:tab/>
      </w:r>
      <w:r w:rsidRPr="009F58A6">
        <w:rPr>
          <w:sz w:val="24"/>
          <w:lang w:val="fi-FI"/>
        </w:rPr>
        <w:t>Komission delegoitu asetus (EU) 2019/715, annettu 18. joulukuuta 2018, Euroopan parlamentin ja neuvoston asetuksen (EU, Euratom) 2018/1046 70 artiklassa tarkoitettuja, SEUT-sopimuksen ja Euratomin perustamissopimuksen nojalla perustettuja elimiä koskevasta varainhoidon puiteasetuksesta (EUVL L 122, 10.5.2019, s. 1).</w:t>
      </w:r>
    </w:p>
  </w:footnote>
  <w:footnote w:id="13">
    <w:p w:rsidR="006957D0" w:rsidRPr="009F58A6" w:rsidRDefault="006957D0" w:rsidP="009F58A6">
      <w:pPr>
        <w:pStyle w:val="FootnoteText"/>
        <w:ind w:left="567" w:hanging="567"/>
        <w:rPr>
          <w:sz w:val="24"/>
          <w:lang w:val="fi-FI"/>
        </w:rPr>
      </w:pPr>
      <w:r w:rsidRPr="009F58A6">
        <w:rPr>
          <w:rStyle w:val="FootnoteReference"/>
          <w:sz w:val="24"/>
          <w:lang w:val="fi-FI"/>
        </w:rPr>
        <w:footnoteRef/>
      </w:r>
      <w:r w:rsidR="009F58A6" w:rsidRPr="009F58A6">
        <w:rPr>
          <w:sz w:val="24"/>
          <w:lang w:val="fi-FI"/>
        </w:rPr>
        <w:t xml:space="preserve"> </w:t>
      </w:r>
      <w:r w:rsidR="009F58A6" w:rsidRPr="009F58A6">
        <w:rPr>
          <w:sz w:val="24"/>
          <w:lang w:val="fi-FI"/>
        </w:rPr>
        <w:tab/>
      </w:r>
      <w:r w:rsidRPr="009F58A6">
        <w:rPr>
          <w:sz w:val="24"/>
          <w:lang w:val="fi-FI"/>
        </w:rPr>
        <w:t>Hyväksytyt tekstit, P9_TA(2024)0</w:t>
      </w:r>
      <w:r w:rsidR="00535A7C">
        <w:rPr>
          <w:sz w:val="24"/>
          <w:lang w:val="fi-FI"/>
        </w:rPr>
        <w:t>28</w:t>
      </w:r>
      <w:r w:rsidRPr="009F58A6">
        <w:rPr>
          <w:sz w:val="24"/>
          <w:lang w:val="fi-FI"/>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58A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58A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58A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2/2024"/>
    <w:docVar w:name="dvlangue" w:val="FI"/>
    <w:docVar w:name="dvnumam" w:val="0"/>
    <w:docVar w:name="dvpe" w:val="753.522"/>
    <w:docVar w:name="dvrapporteur" w:val="Esittelijä: "/>
    <w:docVar w:name="dvtitre" w:val="1. Euroopan parlamentin päätöslauselma 11. huhtikuuta 2024 vastuuvapauden myöntämisestä Euroopan innovaatio- ja teknologiainstituutin (EIT) talousarvion toteuttamisesta varainhoitovuonna 2022(2023/2154(DEC))"/>
  </w:docVars>
  <w:rsids>
    <w:rsidRoot w:val="0017576F"/>
    <w:rsid w:val="00002272"/>
    <w:rsid w:val="00064002"/>
    <w:rsid w:val="000677B9"/>
    <w:rsid w:val="000831BA"/>
    <w:rsid w:val="000A42CC"/>
    <w:rsid w:val="000E7DD9"/>
    <w:rsid w:val="0010095E"/>
    <w:rsid w:val="00125B37"/>
    <w:rsid w:val="0017576F"/>
    <w:rsid w:val="00187494"/>
    <w:rsid w:val="001F32AE"/>
    <w:rsid w:val="002767FF"/>
    <w:rsid w:val="002B18FE"/>
    <w:rsid w:val="002B5493"/>
    <w:rsid w:val="002C5041"/>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5A7C"/>
    <w:rsid w:val="00545827"/>
    <w:rsid w:val="00560270"/>
    <w:rsid w:val="005C2568"/>
    <w:rsid w:val="006037C0"/>
    <w:rsid w:val="006631B6"/>
    <w:rsid w:val="00680577"/>
    <w:rsid w:val="006957D0"/>
    <w:rsid w:val="006E4005"/>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58A6"/>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5473BD"/>
  <w15:chartTrackingRefBased/>
  <w15:docId w15:val="{EBF47D86-B222-4DFB-B2C8-020DB0AE1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957D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957D0"/>
    <w:pPr>
      <w:spacing w:before="480" w:after="240"/>
    </w:pPr>
  </w:style>
  <w:style w:type="paragraph" w:customStyle="1" w:styleId="PageHeading">
    <w:name w:val="PageHeading"/>
    <w:basedOn w:val="Normal"/>
    <w:rsid w:val="006957D0"/>
    <w:pPr>
      <w:keepNext/>
      <w:spacing w:after="480"/>
      <w:jc w:val="center"/>
    </w:pPr>
    <w:rPr>
      <w:rFonts w:ascii="Arial" w:hAnsi="Arial" w:cs="Arial"/>
      <w:b/>
    </w:rPr>
  </w:style>
  <w:style w:type="paragraph" w:customStyle="1" w:styleId="NormalBold">
    <w:name w:val="NormalBold"/>
    <w:basedOn w:val="Normal"/>
    <w:rsid w:val="006957D0"/>
    <w:rPr>
      <w:b/>
    </w:rPr>
  </w:style>
  <w:style w:type="paragraph" w:customStyle="1" w:styleId="NormalHanging12a">
    <w:name w:val="NormalHanging12a"/>
    <w:basedOn w:val="Normal"/>
    <w:link w:val="NormalHanging12aChar"/>
    <w:rsid w:val="006957D0"/>
    <w:pPr>
      <w:spacing w:after="240"/>
      <w:ind w:left="567" w:hanging="567"/>
    </w:pPr>
  </w:style>
  <w:style w:type="paragraph" w:customStyle="1" w:styleId="NormalCenter12a">
    <w:name w:val="NormalCenter12a"/>
    <w:basedOn w:val="Normal"/>
    <w:rsid w:val="006957D0"/>
    <w:pPr>
      <w:spacing w:after="240"/>
      <w:jc w:val="center"/>
    </w:pPr>
  </w:style>
  <w:style w:type="paragraph" w:styleId="Header">
    <w:name w:val="header"/>
    <w:basedOn w:val="Normal"/>
    <w:link w:val="HeaderChar"/>
    <w:rsid w:val="006957D0"/>
    <w:pPr>
      <w:tabs>
        <w:tab w:val="center" w:pos="4513"/>
        <w:tab w:val="right" w:pos="9026"/>
      </w:tabs>
    </w:pPr>
  </w:style>
  <w:style w:type="character" w:customStyle="1" w:styleId="HeaderChar">
    <w:name w:val="Header Char"/>
    <w:basedOn w:val="DefaultParagraphFont"/>
    <w:link w:val="Header"/>
    <w:rsid w:val="006957D0"/>
    <w:rPr>
      <w:sz w:val="24"/>
      <w:lang w:val="fi-FI"/>
    </w:rPr>
  </w:style>
  <w:style w:type="paragraph" w:customStyle="1" w:styleId="EPFooter">
    <w:name w:val="EPFooter"/>
    <w:basedOn w:val="Normal"/>
    <w:rsid w:val="006957D0"/>
    <w:pPr>
      <w:tabs>
        <w:tab w:val="center" w:pos="4535"/>
        <w:tab w:val="right" w:pos="9071"/>
      </w:tabs>
      <w:spacing w:before="240" w:after="240"/>
    </w:pPr>
    <w:rPr>
      <w:color w:val="010000"/>
      <w:sz w:val="22"/>
    </w:rPr>
  </w:style>
  <w:style w:type="paragraph" w:customStyle="1" w:styleId="Default">
    <w:name w:val="Default"/>
    <w:rsid w:val="006957D0"/>
    <w:pPr>
      <w:autoSpaceDE w:val="0"/>
      <w:autoSpaceDN w:val="0"/>
      <w:adjustRightInd w:val="0"/>
    </w:pPr>
    <w:rPr>
      <w:rFonts w:eastAsia="Calibri"/>
      <w:color w:val="000000"/>
      <w:sz w:val="24"/>
      <w:szCs w:val="24"/>
      <w:lang w:val="fi-FI" w:eastAsia="en-US"/>
    </w:rPr>
  </w:style>
  <w:style w:type="character" w:customStyle="1" w:styleId="NormalHanging12aChar">
    <w:name w:val="NormalHanging12a Char"/>
    <w:basedOn w:val="DefaultParagraphFont"/>
    <w:link w:val="NormalHanging12a"/>
    <w:locked/>
    <w:rsid w:val="006957D0"/>
    <w:rPr>
      <w:sz w:val="24"/>
      <w:lang w:val="fi-FI"/>
    </w:rPr>
  </w:style>
  <w:style w:type="paragraph" w:styleId="Footer">
    <w:name w:val="footer"/>
    <w:basedOn w:val="Normal"/>
    <w:link w:val="FooterChar"/>
    <w:rsid w:val="006E4005"/>
    <w:pPr>
      <w:tabs>
        <w:tab w:val="center" w:pos="4513"/>
        <w:tab w:val="right" w:pos="9026"/>
      </w:tabs>
    </w:pPr>
  </w:style>
  <w:style w:type="character" w:customStyle="1" w:styleId="FooterChar">
    <w:name w:val="Footer Char"/>
    <w:basedOn w:val="DefaultParagraphFont"/>
    <w:link w:val="Footer"/>
    <w:rsid w:val="006E4005"/>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B74D08-0BE6-4F46-9A7C-64A6D3BE93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4196</Words>
  <Characters>23920</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VUORIHUHTA Anne Kristiina</cp:lastModifiedBy>
  <cp:revision>2</cp:revision>
  <cp:lastPrinted>2004-11-19T15:42:00Z</cp:lastPrinted>
  <dcterms:created xsi:type="dcterms:W3CDTF">2024-05-15T15:12:00Z</dcterms:created>
  <dcterms:modified xsi:type="dcterms:W3CDTF">2024-05-15T15:12:00Z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P9_TA(2024)0267_</vt:lpwstr>
  </property>
  <property fmtid="{D5CDD505-2E9C-101B-9397-08002B2CF9AE}" pid="4" name="&lt;Type&gt;">
    <vt:lpwstr>RR</vt:lpwstr>
  </property>
</Properties>
</file>