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13F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13F2" w:rsidRDefault="00FC714E" w:rsidP="0010095E">
            <w:pPr>
              <w:pStyle w:val="EPName"/>
            </w:pPr>
            <w:r w:rsidRPr="003313F2">
              <w:t>Europski parlament</w:t>
            </w:r>
          </w:p>
          <w:p w:rsidR="00751A4A" w:rsidRPr="003313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13F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313F2" w:rsidRDefault="00187494" w:rsidP="0010095E">
            <w:pPr>
              <w:pStyle w:val="EPLogo"/>
            </w:pPr>
            <w:r w:rsidRPr="003313F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13F2" w:rsidRDefault="00D058B8" w:rsidP="004C5D52">
      <w:pPr>
        <w:pStyle w:val="LineTop"/>
      </w:pPr>
    </w:p>
    <w:p w:rsidR="00680577" w:rsidRPr="003313F2" w:rsidRDefault="00FC714E" w:rsidP="00680577">
      <w:pPr>
        <w:pStyle w:val="EPBodyTA1"/>
      </w:pPr>
      <w:r w:rsidRPr="003313F2">
        <w:t>USVOJENI TEKSTOVI</w:t>
      </w:r>
    </w:p>
    <w:p w:rsidR="00D058B8" w:rsidRPr="003313F2" w:rsidRDefault="00D058B8" w:rsidP="00D058B8">
      <w:pPr>
        <w:pStyle w:val="LineBottom"/>
      </w:pPr>
    </w:p>
    <w:p w:rsidR="00FC714E" w:rsidRPr="003313F2" w:rsidRDefault="00FC714E" w:rsidP="00FC714E">
      <w:pPr>
        <w:pStyle w:val="ATHeading1"/>
      </w:pPr>
      <w:bookmarkStart w:id="0" w:name="TANumber"/>
      <w:r w:rsidRPr="003313F2">
        <w:t>P9_TA(2024)0</w:t>
      </w:r>
      <w:r w:rsidR="00EA7AEC">
        <w:t>267</w:t>
      </w:r>
      <w:bookmarkEnd w:id="0"/>
    </w:p>
    <w:p w:rsidR="00FC714E" w:rsidRPr="003313F2" w:rsidRDefault="00FC714E" w:rsidP="00FC714E">
      <w:pPr>
        <w:pStyle w:val="ATHeading2"/>
      </w:pPr>
      <w:bookmarkStart w:id="1" w:name="title"/>
      <w:r w:rsidRPr="003313F2">
        <w:t>Razrješnica za 2022.: Europski institut za inovacije i tehnologiju (EIT)</w:t>
      </w:r>
      <w:bookmarkEnd w:id="1"/>
    </w:p>
    <w:p w:rsidR="00FC714E" w:rsidRPr="003313F2" w:rsidRDefault="00FC714E" w:rsidP="00FC714E">
      <w:pPr>
        <w:rPr>
          <w:i/>
          <w:vanish/>
        </w:rPr>
      </w:pPr>
      <w:r w:rsidRPr="003313F2">
        <w:rPr>
          <w:i/>
        </w:rPr>
        <w:fldChar w:fldCharType="begin"/>
      </w:r>
      <w:r w:rsidRPr="003313F2">
        <w:rPr>
          <w:i/>
        </w:rPr>
        <w:instrText xml:space="preserve"> TC"(</w:instrText>
      </w:r>
      <w:bookmarkStart w:id="2" w:name="DocNumber"/>
      <w:r w:rsidRPr="003313F2">
        <w:rPr>
          <w:i/>
        </w:rPr>
        <w:instrText>A9-0132/2024</w:instrText>
      </w:r>
      <w:bookmarkEnd w:id="2"/>
      <w:r w:rsidRPr="003313F2">
        <w:rPr>
          <w:i/>
        </w:rPr>
        <w:instrText xml:space="preserve"> - Izvjestitelj: Petri </w:instrText>
      </w:r>
      <w:proofErr w:type="spellStart"/>
      <w:r w:rsidRPr="003313F2">
        <w:rPr>
          <w:i/>
        </w:rPr>
        <w:instrText>Sarvamaa</w:instrText>
      </w:r>
      <w:proofErr w:type="spellEnd"/>
      <w:r w:rsidRPr="003313F2">
        <w:rPr>
          <w:i/>
        </w:rPr>
        <w:instrText xml:space="preserve">)"\l3 \n&gt; \* MERGEFORMAT </w:instrText>
      </w:r>
      <w:r w:rsidRPr="003313F2">
        <w:rPr>
          <w:i/>
        </w:rPr>
        <w:fldChar w:fldCharType="end"/>
      </w:r>
    </w:p>
    <w:p w:rsidR="00FC714E" w:rsidRPr="003313F2" w:rsidRDefault="00FC714E" w:rsidP="00FC714E">
      <w:pPr>
        <w:rPr>
          <w:vanish/>
        </w:rPr>
      </w:pPr>
      <w:bookmarkStart w:id="3" w:name="Commission"/>
      <w:r w:rsidRPr="003313F2">
        <w:rPr>
          <w:vanish/>
        </w:rPr>
        <w:t>Odbor za proračunski nadzor</w:t>
      </w:r>
      <w:bookmarkEnd w:id="3"/>
    </w:p>
    <w:p w:rsidR="00FC714E" w:rsidRPr="003313F2" w:rsidRDefault="00FC714E" w:rsidP="00FC714E">
      <w:pPr>
        <w:rPr>
          <w:vanish/>
        </w:rPr>
      </w:pPr>
      <w:bookmarkStart w:id="4" w:name="PE"/>
      <w:r w:rsidRPr="003313F2">
        <w:rPr>
          <w:vanish/>
        </w:rPr>
        <w:t>PE753.522</w:t>
      </w:r>
      <w:bookmarkEnd w:id="4"/>
    </w:p>
    <w:p w:rsidR="00FC714E" w:rsidRPr="003313F2" w:rsidRDefault="003313F2" w:rsidP="00FC714E">
      <w:pPr>
        <w:pStyle w:val="ATHeading3"/>
      </w:pPr>
      <w:bookmarkStart w:id="5" w:name="Sujet"/>
      <w:r>
        <w:t xml:space="preserve">1. </w:t>
      </w:r>
      <w:r w:rsidR="00FC714E" w:rsidRPr="003313F2">
        <w:t>Od</w:t>
      </w:r>
      <w:r>
        <w:t>luka Europskog parlamenta od 11</w:t>
      </w:r>
      <w:r w:rsidR="00FC714E" w:rsidRPr="003313F2">
        <w:t xml:space="preserve">. </w:t>
      </w:r>
      <w:r>
        <w:t xml:space="preserve">travnja </w:t>
      </w:r>
      <w:r w:rsidR="00FC714E" w:rsidRPr="003313F2">
        <w:t>2024. o razrješnici za izvršenje proračuna Europskog instituta za inovacije i tehnologiju (EIT) za financijsku godinu 2022.</w:t>
      </w:r>
      <w:bookmarkEnd w:id="5"/>
      <w:r w:rsidR="00FC714E" w:rsidRPr="003313F2">
        <w:t xml:space="preserve"> </w:t>
      </w:r>
      <w:bookmarkStart w:id="6" w:name="References"/>
      <w:r w:rsidR="00FC714E" w:rsidRPr="003313F2">
        <w:t>(2023/2154(DEC))</w:t>
      </w:r>
      <w:bookmarkEnd w:id="6"/>
    </w:p>
    <w:p w:rsidR="00F97E07" w:rsidRPr="003313F2" w:rsidRDefault="00F97E07" w:rsidP="00F97E07">
      <w:pPr>
        <w:pStyle w:val="EPComma"/>
      </w:pPr>
      <w:bookmarkStart w:id="7" w:name="TextBodyBegin"/>
      <w:bookmarkEnd w:id="7"/>
      <w:r w:rsidRPr="003313F2">
        <w:rPr>
          <w:i/>
        </w:rPr>
        <w:t>Europski parlament</w:t>
      </w:r>
      <w:r w:rsidRPr="003313F2">
        <w:t>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završnu godišnju računovodstvenu dokumentaciju Europskog instituta za inovacije i tehnologiju (EIT) za financijsku godinu 2022.,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godišnje izvješće Revizorskog suda o agencijama EU-a za financijsku godinu 2022., kojemu su priloženi odgovori agenciji</w:t>
      </w:r>
      <w:r w:rsidRPr="003313F2">
        <w:rPr>
          <w:rStyle w:val="FootnoteReference"/>
        </w:rPr>
        <w:footnoteReference w:id="1"/>
      </w:r>
      <w:r w:rsidRPr="003313F2">
        <w:t>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izjavu o jamstvu</w:t>
      </w:r>
      <w:r w:rsidRPr="003313F2">
        <w:rPr>
          <w:rStyle w:val="FootnoteReference"/>
        </w:rPr>
        <w:footnoteReference w:id="2"/>
      </w:r>
      <w:r w:rsidRPr="003313F2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preporuku Vijeća od 22. veljače 2024. o razrješnici koju Institut treba dobiti za izvršenje proračuna za financijsku godinu 2022. (0</w:t>
      </w:r>
      <w:r w:rsidR="00417A3C">
        <w:t>618</w:t>
      </w:r>
      <w:r w:rsidRPr="003313F2">
        <w:t>0/2024 – C9</w:t>
      </w:r>
      <w:r w:rsidRPr="003313F2">
        <w:noBreakHyphen/>
        <w:t>00</w:t>
      </w:r>
      <w:r w:rsidR="00417A3C">
        <w:t>92</w:t>
      </w:r>
      <w:r w:rsidRPr="003313F2">
        <w:t>/2024),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članak 319. Ugovora o funkcioniranju Europske unije,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3313F2">
        <w:rPr>
          <w:rStyle w:val="FootnoteReference"/>
        </w:rPr>
        <w:footnoteReference w:id="3"/>
      </w:r>
      <w:r w:rsidRPr="003313F2">
        <w:t>, a posebno njezin članak 70.,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 xml:space="preserve">uzimajući u obzir Uredbu (EU) 2021/819 Europskog parlamenta i Vijeća od </w:t>
      </w:r>
      <w:r w:rsidRPr="003313F2">
        <w:lastRenderedPageBreak/>
        <w:t>20. svibnja 2021. o Europskom institutu za inovacije i tehnologiju</w:t>
      </w:r>
      <w:r w:rsidRPr="003313F2">
        <w:rPr>
          <w:rStyle w:val="FootnoteReference"/>
        </w:rPr>
        <w:footnoteReference w:id="4"/>
      </w:r>
      <w:r w:rsidRPr="003313F2">
        <w:t>, a posebno njezin članak 23.,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 xml:space="preserve">uzimajući u obzir Delegiranu uredbu Komisije (EU) 2019/715 od 18. prosinca 2018. o okvirnoj financijskoj uredbi za tijela osnovana na temelju UFEU-a i Ugovora o </w:t>
      </w:r>
      <w:proofErr w:type="spellStart"/>
      <w:r w:rsidRPr="003313F2">
        <w:t>Euratomu</w:t>
      </w:r>
      <w:proofErr w:type="spellEnd"/>
      <w:r w:rsidRPr="003313F2">
        <w:t xml:space="preserve"> na koja se upućuje u članku 70. Uredbe (EU, Euratom) 2018/1046 Europskog parlamenta i Vijeća</w:t>
      </w:r>
      <w:r w:rsidRPr="003313F2">
        <w:rPr>
          <w:rStyle w:val="FootnoteReference"/>
        </w:rPr>
        <w:footnoteReference w:id="5"/>
      </w:r>
      <w:r w:rsidRPr="003313F2">
        <w:t>, a posebno njezin članak 105.,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članak 100. Poslovnika i Prilog V. Poslovniku,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izvješće Odbora za proračunski nadzor (A9</w:t>
      </w:r>
      <w:r w:rsidRPr="003313F2">
        <w:noBreakHyphen/>
        <w:t>0132/2024),</w:t>
      </w:r>
    </w:p>
    <w:p w:rsidR="00F97E07" w:rsidRPr="003313F2" w:rsidRDefault="00F97E07" w:rsidP="00F97E07">
      <w:pPr>
        <w:pStyle w:val="NormalHanging12a"/>
      </w:pPr>
      <w:r w:rsidRPr="003313F2">
        <w:t>1.</w:t>
      </w:r>
      <w:r w:rsidRPr="003313F2">
        <w:tab/>
        <w:t>daje razrješnicu direktoru Europskog instituta za inovacije i tehnologiju (EIT) za izvršenje proračuna Instituta za financijsku godinu 2022.;</w:t>
      </w:r>
    </w:p>
    <w:p w:rsidR="00F97E07" w:rsidRPr="003313F2" w:rsidRDefault="00F97E07" w:rsidP="00F97E07">
      <w:pPr>
        <w:pStyle w:val="NormalHanging12a"/>
      </w:pPr>
      <w:r w:rsidRPr="003313F2">
        <w:t>2.</w:t>
      </w:r>
      <w:r w:rsidRPr="003313F2">
        <w:tab/>
        <w:t>iznosi svoje primjedbe u Rezoluciji u nastavku;</w:t>
      </w:r>
    </w:p>
    <w:p w:rsidR="00F97E07" w:rsidRPr="003313F2" w:rsidRDefault="00F97E07" w:rsidP="00F97E07">
      <w:pPr>
        <w:pStyle w:val="NormalHanging12a"/>
      </w:pPr>
      <w:r w:rsidRPr="003313F2">
        <w:t>3.</w:t>
      </w:r>
      <w:r w:rsidRPr="003313F2">
        <w:tab/>
        <w:t xml:space="preserve">nalaže svojoj predsjednici da ovu Odluku i Rezoluciju, koja je njezin sastavni dio, proslijedi direktoru Europskog instituta za inovacije i tehnologiju (EIT), Vijeću, Komisiji i Revizorskom sudu te da ih da na objavu u </w:t>
      </w:r>
      <w:r w:rsidRPr="003313F2">
        <w:rPr>
          <w:i/>
        </w:rPr>
        <w:t>Službenom listu Europske unije</w:t>
      </w:r>
      <w:r w:rsidRPr="003313F2">
        <w:t xml:space="preserve"> (serija L).</w:t>
      </w:r>
    </w:p>
    <w:p w:rsidR="00F97E07" w:rsidRPr="003313F2" w:rsidRDefault="00F97E07" w:rsidP="00F97E07"/>
    <w:p w:rsidR="00F97E07" w:rsidRPr="003313F2" w:rsidRDefault="00F97E07" w:rsidP="00F97E07">
      <w:pPr>
        <w:pStyle w:val="PageHeading"/>
        <w:sectPr w:rsidR="00F97E07" w:rsidRPr="003313F2" w:rsidSect="00943D7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97E07" w:rsidRPr="003313F2" w:rsidRDefault="003313F2" w:rsidP="003313F2">
      <w:pPr>
        <w:pStyle w:val="ATHeading3"/>
      </w:pPr>
      <w:bookmarkStart w:id="8" w:name="_Toc161933890"/>
      <w:r w:rsidRPr="003313F2">
        <w:lastRenderedPageBreak/>
        <w:t xml:space="preserve">2. </w:t>
      </w:r>
      <w:r>
        <w:t>Odluka E</w:t>
      </w:r>
      <w:r w:rsidRPr="003313F2">
        <w:t>uropskog parlamenta</w:t>
      </w:r>
      <w:bookmarkEnd w:id="8"/>
      <w:r w:rsidRPr="003313F2">
        <w:t xml:space="preserve"> </w:t>
      </w:r>
      <w:r>
        <w:t xml:space="preserve">od 11. travnja 2024. </w:t>
      </w:r>
      <w:r w:rsidR="00F97E07" w:rsidRPr="003313F2">
        <w:t>o zaključenju poslovnih knjiga Europskog instituta za inovacije i tehnologiju (EIT) za financijsku godinu 2022.</w:t>
      </w:r>
      <w:r w:rsidRPr="003313F2">
        <w:t xml:space="preserve"> </w:t>
      </w:r>
      <w:r w:rsidR="00F97E07" w:rsidRPr="003313F2">
        <w:t>(2023/2154(DEC))</w:t>
      </w:r>
    </w:p>
    <w:p w:rsidR="00F97E07" w:rsidRPr="003313F2" w:rsidRDefault="00F97E07" w:rsidP="00F97E07">
      <w:pPr>
        <w:pStyle w:val="EPComma"/>
      </w:pPr>
      <w:r w:rsidRPr="003313F2">
        <w:rPr>
          <w:i/>
        </w:rPr>
        <w:t>Europski parlament</w:t>
      </w:r>
      <w:r w:rsidRPr="003313F2">
        <w:t>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završnu godišnju računovodstvenu dokumentaciju Europskog instituta za inovacije i tehnologiju (EIT) za financijsku godinu 2022.,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godišnje izvješće Revizorskog suda o agencijama EU-a za financijsku godinu 2022., kojemu su priloženi odgovori agenciji</w:t>
      </w:r>
      <w:r w:rsidRPr="003313F2">
        <w:rPr>
          <w:rStyle w:val="FootnoteReference"/>
        </w:rPr>
        <w:footnoteReference w:id="6"/>
      </w:r>
      <w:r w:rsidRPr="003313F2">
        <w:t>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izjavu o jamstvu</w:t>
      </w:r>
      <w:r w:rsidRPr="003313F2">
        <w:rPr>
          <w:rStyle w:val="FootnoteReference"/>
        </w:rPr>
        <w:footnoteReference w:id="7"/>
      </w:r>
      <w:r w:rsidRPr="003313F2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preporuku Vijeća od 22. veljače 2024. o razrješnici koju Institut treba dobiti za izvršenje proračuna za financijsku godinu 2022. (0</w:t>
      </w:r>
      <w:r w:rsidR="00417A3C">
        <w:t>618</w:t>
      </w:r>
      <w:r w:rsidRPr="003313F2">
        <w:t>0/2024 – C9</w:t>
      </w:r>
      <w:r w:rsidRPr="003313F2">
        <w:noBreakHyphen/>
        <w:t>00</w:t>
      </w:r>
      <w:r w:rsidR="00417A3C">
        <w:t>92</w:t>
      </w:r>
      <w:r w:rsidRPr="003313F2">
        <w:t>/2024),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članak 319. Ugovora o funkcioniranju Europske unije,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3313F2">
        <w:rPr>
          <w:rStyle w:val="FootnoteReference"/>
        </w:rPr>
        <w:footnoteReference w:id="8"/>
      </w:r>
      <w:r w:rsidRPr="003313F2">
        <w:t>, a posebno njezin članak 70.,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Uredbu (EU) 2021/819 Europskog parlamenta i Vijeća od 20. svibnja 2021. o Europskom institutu za inovacije i tehnologiju</w:t>
      </w:r>
      <w:r w:rsidRPr="003313F2">
        <w:rPr>
          <w:rStyle w:val="FootnoteReference"/>
        </w:rPr>
        <w:footnoteReference w:id="9"/>
      </w:r>
      <w:r w:rsidRPr="003313F2">
        <w:t>, a posebno njezin članak 23.,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 xml:space="preserve">uzimajući u obzir Delegiranu uredbu Komisije (EU) 2019/715 od 18. prosinca 2018. o okvirnoj financijskoj uredbi za tijela osnovana na temelju UFEU-a i Ugovora o </w:t>
      </w:r>
      <w:proofErr w:type="spellStart"/>
      <w:r w:rsidRPr="003313F2">
        <w:t>Euratomu</w:t>
      </w:r>
      <w:proofErr w:type="spellEnd"/>
      <w:r w:rsidRPr="003313F2">
        <w:t xml:space="preserve"> na koja se upućuje u članku 70. Uredbe (EU, Euratom) 2018/1046 Europskog parlamenta i Vijeća</w:t>
      </w:r>
      <w:r w:rsidRPr="003313F2">
        <w:rPr>
          <w:rStyle w:val="FootnoteReference"/>
        </w:rPr>
        <w:footnoteReference w:id="10"/>
      </w:r>
      <w:r w:rsidRPr="003313F2">
        <w:t>, a posebno njezin članak 105.,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članak 100. Poslovnika i Prilog V. Poslovniku,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izvješće Odbora za proračunski nadzor (A9</w:t>
      </w:r>
      <w:r w:rsidRPr="003313F2">
        <w:noBreakHyphen/>
        <w:t>0132/2024),</w:t>
      </w:r>
    </w:p>
    <w:p w:rsidR="00F97E07" w:rsidRPr="003313F2" w:rsidRDefault="00F97E07" w:rsidP="00F97E07">
      <w:pPr>
        <w:pStyle w:val="NormalHanging12a"/>
      </w:pPr>
      <w:r w:rsidRPr="003313F2">
        <w:t>1.</w:t>
      </w:r>
      <w:r w:rsidRPr="003313F2">
        <w:tab/>
        <w:t>odobrava zaključenje poslovnih knjiga Europskog instituta za inovacije i tehnologiju (EIT) za financijsku godinu 2022.;</w:t>
      </w:r>
    </w:p>
    <w:p w:rsidR="00F97E07" w:rsidRPr="003313F2" w:rsidRDefault="00F97E07" w:rsidP="00F97E07">
      <w:pPr>
        <w:pStyle w:val="NormalHanging12a"/>
      </w:pPr>
      <w:r w:rsidRPr="003313F2">
        <w:lastRenderedPageBreak/>
        <w:t>2.</w:t>
      </w:r>
      <w:r w:rsidRPr="003313F2">
        <w:tab/>
        <w:t xml:space="preserve">nalaže svojoj predsjednici da ovu Odluku proslijedi direktoru Europskog instituta za inovacije i tehnologiju (EIT), Vijeću, Komisiji i Revizorskom sudu te da je da na objavu u </w:t>
      </w:r>
      <w:r w:rsidRPr="003313F2">
        <w:rPr>
          <w:i/>
        </w:rPr>
        <w:t>Službenom listu Europske unije</w:t>
      </w:r>
      <w:r w:rsidRPr="003313F2">
        <w:t xml:space="preserve"> (serija L).</w:t>
      </w:r>
    </w:p>
    <w:p w:rsidR="00F97E07" w:rsidRPr="003313F2" w:rsidRDefault="00F97E07" w:rsidP="00F97E07"/>
    <w:p w:rsidR="00F97E07" w:rsidRPr="003313F2" w:rsidRDefault="00F97E07" w:rsidP="00F97E07">
      <w:pPr>
        <w:pStyle w:val="PageHeading"/>
        <w:sectPr w:rsidR="00F97E07" w:rsidRPr="003313F2" w:rsidSect="00943D7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97E07" w:rsidRPr="003313F2" w:rsidRDefault="003313F2" w:rsidP="003313F2">
      <w:pPr>
        <w:pStyle w:val="ATHeading3"/>
      </w:pPr>
      <w:bookmarkStart w:id="9" w:name="_Toc161933891"/>
      <w:r w:rsidRPr="003313F2">
        <w:lastRenderedPageBreak/>
        <w:t xml:space="preserve">3. </w:t>
      </w:r>
      <w:r>
        <w:t>Rezolucija E</w:t>
      </w:r>
      <w:r w:rsidRPr="003313F2">
        <w:t>uropskog parlamenta</w:t>
      </w:r>
      <w:bookmarkEnd w:id="9"/>
      <w:r w:rsidRPr="003313F2">
        <w:t xml:space="preserve"> </w:t>
      </w:r>
      <w:r>
        <w:t xml:space="preserve">od 11. travnja 2024. </w:t>
      </w:r>
      <w:r w:rsidR="00F97E07" w:rsidRPr="003313F2">
        <w:t>s primjedbama koje su sastavni dio Odluke o razrješnici za izvršenje proračuna Europskog instituta za inovacije i tehnologiju (EIT) za financijsku godinu 2022.</w:t>
      </w:r>
      <w:r w:rsidRPr="003313F2">
        <w:t xml:space="preserve"> </w:t>
      </w:r>
      <w:r w:rsidR="00F97E07" w:rsidRPr="003313F2">
        <w:t>(2023/2154(DEC))</w:t>
      </w:r>
    </w:p>
    <w:p w:rsidR="00F97E07" w:rsidRPr="003313F2" w:rsidRDefault="00F97E07" w:rsidP="00F97E07">
      <w:pPr>
        <w:pStyle w:val="EPComma"/>
      </w:pPr>
      <w:r w:rsidRPr="003313F2">
        <w:rPr>
          <w:i/>
        </w:rPr>
        <w:t>Europski parlament</w:t>
      </w:r>
      <w:r w:rsidRPr="003313F2">
        <w:t>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svoju Odluku o razrješnici za izvršenje proračuna Europskog instituta za inovacije i tehnologiju („Institut”) za financijsku godinu 2022.,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članak 100. Poslovnika i Prilog V. Poslovniku,</w:t>
      </w:r>
    </w:p>
    <w:p w:rsidR="00F97E07" w:rsidRPr="003313F2" w:rsidRDefault="00F97E07" w:rsidP="00F97E07">
      <w:pPr>
        <w:pStyle w:val="NormalHanging12a"/>
      </w:pPr>
      <w:r w:rsidRPr="003313F2">
        <w:t>–</w:t>
      </w:r>
      <w:r w:rsidRPr="003313F2">
        <w:tab/>
        <w:t>uzimajući u obzir izvješće Odbora za proračunski nadzor (A9</w:t>
      </w:r>
      <w:r w:rsidRPr="003313F2">
        <w:noBreakHyphen/>
        <w:t>0132/2024),</w:t>
      </w:r>
    </w:p>
    <w:p w:rsidR="00F97E07" w:rsidRPr="003313F2" w:rsidRDefault="00F97E07" w:rsidP="00F97E07">
      <w:pPr>
        <w:pStyle w:val="Default"/>
        <w:spacing w:after="240"/>
        <w:ind w:left="567" w:hanging="567"/>
        <w:rPr>
          <w:rFonts w:eastAsia="Times New Roman"/>
          <w:color w:val="auto"/>
        </w:rPr>
      </w:pPr>
      <w:r w:rsidRPr="003313F2">
        <w:rPr>
          <w:color w:val="auto"/>
        </w:rPr>
        <w:t>A.</w:t>
      </w:r>
      <w:r w:rsidRPr="003313F2">
        <w:rPr>
          <w:color w:val="auto"/>
        </w:rPr>
        <w:tab/>
        <w:t>budući da je prema izvještaju o prihodima i rashodima</w:t>
      </w:r>
      <w:r w:rsidRPr="003313F2">
        <w:rPr>
          <w:rStyle w:val="FootnoteReference"/>
          <w:rFonts w:eastAsia="Times New Roman"/>
          <w:color w:val="auto"/>
          <w:lang w:eastAsia="en-GB"/>
        </w:rPr>
        <w:footnoteReference w:id="11"/>
      </w:r>
      <w:r w:rsidRPr="003313F2">
        <w:rPr>
          <w:color w:val="auto"/>
        </w:rPr>
        <w:t xml:space="preserve"> Instituta za financijsku godinu 2022. njegov konačni proračun iznosio 406 585 390,99 EUR, što je povećanje od 12,65 % u odnosu na 2021. godinu; budući da se proračun Instituta uglavnom financira iz proračuna Unije;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B.</w:t>
      </w:r>
      <w:r w:rsidRPr="003313F2">
        <w:tab/>
        <w:t>budući da je Revizorski sud u svojem izvješću o godišnjoj računovodstvenoj dokumentaciji Instituta za financijsku godinu 2022. („izvješće Revizorskog suda”) izjavio da je dobio razumno jamstvo da je godišnja računovodstvena dokumentacija Instituta pouzdana te da su temeljne transakcije zakonite i pravilne;</w:t>
      </w:r>
    </w:p>
    <w:p w:rsidR="00F97E07" w:rsidRPr="003313F2" w:rsidRDefault="00F97E07" w:rsidP="00F97E07">
      <w:pPr>
        <w:spacing w:after="240"/>
        <w:ind w:left="567" w:hanging="567"/>
        <w:rPr>
          <w:b/>
          <w:i/>
          <w:szCs w:val="24"/>
        </w:rPr>
      </w:pPr>
      <w:r w:rsidRPr="003313F2">
        <w:rPr>
          <w:b/>
          <w:i/>
        </w:rPr>
        <w:t>Proračunsko i financijsko upravljanje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1.</w:t>
      </w:r>
      <w:r w:rsidRPr="003313F2">
        <w:tab/>
        <w:t>prima na znanje da je praćenje proračuna tijekom financijske godine 2022. rezultiralo stopom izvršenja od 94,03 % za odobrena sredstva za preuzimanje obveza, što je smanjenje od 3,88 % u odnosu na 2021.; prima na znanje da je stopa izvršenja odobrenih sredstava za plaćanje za tekuću godinu iznosila 98,42 %, što je smanjenje od 1,06 % u odnosu na 2021.;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2.</w:t>
      </w:r>
      <w:r w:rsidRPr="003313F2">
        <w:tab/>
        <w:t>napominje da je iznos konačnog proračuna Instituta rezultat izmjene u iznosu od 656 930,67 EUR koju je njegov Upravni odbor („Odbor”) usvojio zbog izmjena godišnjeg programa rada Instituta za 2022.;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3.</w:t>
      </w:r>
      <w:r w:rsidRPr="003313F2">
        <w:tab/>
        <w:t xml:space="preserve">sa zabrinutošću prima na znanje da je opažanje Revizorskog suda o zakonitosti i pravilnosti bespovratnih sredstava Instituta </w:t>
      </w:r>
      <w:r w:rsidRPr="003313F2">
        <w:rPr>
          <w:i/>
          <w:iCs/>
        </w:rPr>
        <w:t>ex post</w:t>
      </w:r>
      <w:r w:rsidRPr="003313F2">
        <w:t xml:space="preserve"> provjerio neovisni vanjski revizor, pri čemu je stopa pogreške 2021. iznosila 1,73 % (u odnosu na 0,66 % 2020.), ističe da, iako je stopa pogreške i dalje ispod praga značajnosti od 2 %, kritični rizici zbog povećanog proračuna, mandata i aktivnosti u okviru programa Obzor Europa, zajedno s povećanjem broja zajednica znanja i inovacija (ZZI), mogu opteretiti sposobnost Instituta da učinkovito nadzire i prati ZZI-</w:t>
      </w:r>
      <w:proofErr w:type="spellStart"/>
      <w:r w:rsidRPr="003313F2">
        <w:t>jeve</w:t>
      </w:r>
      <w:proofErr w:type="spellEnd"/>
      <w:r w:rsidRPr="003313F2">
        <w:t>, što bi moglo dovesti do viših stopa pogreške i neotkrivenih nepravilnosti u budućnosti; poziva Institut da poduzme konkretne korake za smanjenje stope pogreške;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4.</w:t>
      </w:r>
      <w:r w:rsidRPr="003313F2">
        <w:tab/>
        <w:t xml:space="preserve">prima na znanje iz izvješća Revizorskog suda da je Institut 2022. platio kamate na zakašnjela plaćanja u vezi s bespovratnim sredstvima u dva slučaja, u ukupnom iznosu od 32 070 EUR; sa zabrinutošću primjećuje da Institut u obama slučajevima nije na odgovarajući način pratio regulatorne rokove, što pokazuje da postoji nedostatak u </w:t>
      </w:r>
      <w:r w:rsidRPr="003313F2">
        <w:lastRenderedPageBreak/>
        <w:t>njegovim postupcima plaćanja;</w:t>
      </w:r>
      <w:r w:rsidRPr="003313F2">
        <w:rPr>
          <w:rFonts w:ascii="Calibri" w:hAnsi="Calibri"/>
          <w:color w:val="000000"/>
          <w:sz w:val="22"/>
        </w:rPr>
        <w:t xml:space="preserve"> </w:t>
      </w:r>
      <w:r w:rsidRPr="003313F2">
        <w:t>iz odgovora Instituta na opažanje Revizorskog suda prima na znanje da je Institut u 2023. preispitao svoje procese upravljanja bespovratnim sredstvima, osposobio relevantne članove osoblja te da upotrebljava informatički sustav Komisije za upravljanje bespovratnim sredstvima (</w:t>
      </w:r>
      <w:proofErr w:type="spellStart"/>
      <w:r w:rsidRPr="003313F2">
        <w:t>eGrants</w:t>
      </w:r>
      <w:proofErr w:type="spellEnd"/>
      <w:r w:rsidRPr="003313F2">
        <w:t>), čime se znatno smanjuje vjerojatnost pojave slične pogreške u budućnosti;</w:t>
      </w:r>
    </w:p>
    <w:p w:rsidR="00F97E07" w:rsidRPr="003313F2" w:rsidRDefault="00F97E07" w:rsidP="00F97E07">
      <w:pPr>
        <w:spacing w:after="240"/>
        <w:ind w:left="567" w:hanging="567"/>
        <w:rPr>
          <w:b/>
          <w:i/>
          <w:szCs w:val="24"/>
        </w:rPr>
      </w:pPr>
      <w:r w:rsidRPr="003313F2">
        <w:rPr>
          <w:b/>
          <w:i/>
        </w:rPr>
        <w:t>Uspješnost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5.</w:t>
      </w:r>
      <w:r w:rsidRPr="003313F2">
        <w:tab/>
        <w:t>sa zadovoljstvom primjećuje da Institut upotrebljava sustav ključnih pokazatelja uspješnosti povezanih s operativnim aktivnostima, upravljanjem i korporativnom komunikacijom; nadalje, napominje da je Institut, s određenim kašnjenjima, ostvario oko 95 % svojeg programa rada za 2022.; prima na znanje da je u okviru Novog europskog programa za inovacije Institutu povjerena provedba novih aktivnosti koje nisu bile uključene u početni plan i da nisu dodijeljena dodatna sredstva za provedbu tih aktivnosti;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6.</w:t>
      </w:r>
      <w:r w:rsidRPr="003313F2">
        <w:tab/>
        <w:t xml:space="preserve">pozdravlja činjenicu da je Institut nastavio povećavati svoj učinak tijekom 2022., omogućavanjem gotovo 1670 inovativnih proizvoda i usluga, osposobljavanjem tisuća poduzetnika i podupiranjem 5600 </w:t>
      </w:r>
      <w:r w:rsidRPr="003313F2">
        <w:rPr>
          <w:i/>
          <w:iCs/>
        </w:rPr>
        <w:t xml:space="preserve">start </w:t>
      </w:r>
      <w:proofErr w:type="spellStart"/>
      <w:r w:rsidRPr="003313F2">
        <w:rPr>
          <w:i/>
          <w:iCs/>
        </w:rPr>
        <w:t>up</w:t>
      </w:r>
      <w:proofErr w:type="spellEnd"/>
      <w:r w:rsidRPr="003313F2">
        <w:t xml:space="preserve"> poduzeća i rastućih poduzeća koja su privukla gotovo 6 milijardi EUR ulaganja; nadalje, napominje da je Institut dovršio svoju integraciju u program Obzor Europa, nakon što je prešao na višegodišnji model financiranja;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7.</w:t>
      </w:r>
      <w:r w:rsidRPr="003313F2">
        <w:tab/>
        <w:t xml:space="preserve">primjećuje da je Institut napredovao u provedbi pilot-inicijative „Izgradnja inovacijskih kapaciteta za visoko obrazovanje”, pokrenute 2021., čime se povećao interes i sudjelovanje visokih učilišta; napominje da je Institut istaknut kao jedan od ključnih </w:t>
      </w:r>
      <w:proofErr w:type="spellStart"/>
      <w:r w:rsidRPr="003313F2">
        <w:t>doprinositelja</w:t>
      </w:r>
      <w:proofErr w:type="spellEnd"/>
      <w:r w:rsidRPr="003313F2">
        <w:t xml:space="preserve"> i aktera europskog inovacijskog ekosustava pokretanjem inicijative za talente s kvalifikacijama u području duboke tehnologije, čiji je cilj stjecanje vještina, prekvalifikacija i usavršavanje najmanje milijun talenata u sljedeće tri godine;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8.</w:t>
      </w:r>
      <w:r w:rsidRPr="003313F2">
        <w:tab/>
        <w:t>pozdravlja činjenicu da je Institut pružio potporu ukrajinskom narodu nakon nezakonite i ničim izazvane ruske invazije u veljači 2022., pružajući pomoć studentima, poduzetnicima, istraživačima te visokim učilištima i poduzećima; nadalje, napominje da je Institut pokrenuo Akademiju europskog saveza za baterije u okviru programa Pomoći za oporavak za koheziju i europska područja, što je prva velika dodjela sredstava Institutu iz nekog drugog programa;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3313F2">
        <w:rPr>
          <w:b/>
          <w:i/>
        </w:rPr>
        <w:t>Učinkovitost i rezultati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9.</w:t>
      </w:r>
      <w:r w:rsidRPr="003313F2">
        <w:tab/>
        <w:t>prima na znanje da je Institut potpisao memorandum o razumijevanju s Agencijom Europske unije za osposobljavanje u području izvršavanja zakonodavstva, kojim je obuhvaćeno nekoliko zajedničkih aktivnosti i sigurnosnih procjena; podsjeća da zajedničke aktivnosti objedinjuju različite perspektive, smanjuju dupliciranje napora, poboljšavaju učenje i jačaju odnose među sudionicima; nadalje, napominje da je Institut, kako bi poboljšao svoju učinkovitost, 2021. počeo provoditi svoj prelazak s programa Obzor 2020. na program Obzor Europa i da ga je u suradnji s Komisijom zaključio 2022.;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10.</w:t>
      </w:r>
      <w:r w:rsidRPr="003313F2">
        <w:tab/>
        <w:t xml:space="preserve">primjećuje da je Institut usvojio različite revizije učinkovitosti postupaka, što je, među ostalim, dovelo do prilagodbe opisa radnih mjesta, ciljeva u pogledu osoblja te raspodjele zadaća i resursa; napominje da je Institut 2022. proveo postupak </w:t>
      </w:r>
      <w:r w:rsidRPr="003313F2">
        <w:lastRenderedPageBreak/>
        <w:t>restrukturiranja i donio, među ostalim, dokument o načinu rada kako bi se povećala učinkovitost, na primjer za upotrebu e-pošte, sastanke i rad na daljinu;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11.</w:t>
      </w:r>
      <w:r w:rsidRPr="003313F2">
        <w:tab/>
        <w:t>pozdravlja činjenicu da su 2022. uvedeni novi informatički alati za potporu administrativnim operacijama Instituta s krajnjim ciljem povećanja operativne učinkovitosti i djelotvornosti organizacije, uključujući alat za upravljanje javnom nabavom (PPMT), Q-</w:t>
      </w:r>
      <w:proofErr w:type="spellStart"/>
      <w:r w:rsidRPr="003313F2">
        <w:t>Sign</w:t>
      </w:r>
      <w:proofErr w:type="spellEnd"/>
      <w:r w:rsidRPr="003313F2">
        <w:t xml:space="preserve"> (elektronički potpis) i uvođenje različitih modula informacijskog sustava Europske komisije za upravljanje ljudskim resursima (SYSPER); poziva Institut da identificira više internih postupaka koji bi se mogli pojednostavniti s pomoću novih informatičkih alata;</w:t>
      </w:r>
    </w:p>
    <w:p w:rsidR="00F97E07" w:rsidRPr="003313F2" w:rsidRDefault="00F97E07" w:rsidP="00F97E07">
      <w:pPr>
        <w:pStyle w:val="NormalHanging12a"/>
      </w:pPr>
      <w:r w:rsidRPr="003313F2">
        <w:t>12.</w:t>
      </w:r>
      <w:r w:rsidRPr="003313F2">
        <w:tab/>
        <w:t xml:space="preserve">podsjeća na važnost povećanja digitalizacije Instituta u pogledu unutarnjeg djelovanja i upravljanja, ali i kako bi se ubrzala digitalizacija postupaka; naglašava da Institut u tom pogledu i dalje treba biti </w:t>
      </w:r>
      <w:proofErr w:type="spellStart"/>
      <w:r w:rsidRPr="003313F2">
        <w:t>proaktivan</w:t>
      </w:r>
      <w:proofErr w:type="spellEnd"/>
      <w:r w:rsidRPr="003313F2">
        <w:t xml:space="preserve"> kako bi se izbjegao digitalni jaz među agencijama Unije; međutim, skreće pozornost na potrebu za poduzimanjem svih potrebnih sigurnosnih mjera kako bi se izbjegao rizik za sigurnost informacija koje se obrađuju na internetu, inzistira na jačanju borbe protiv </w:t>
      </w:r>
      <w:proofErr w:type="spellStart"/>
      <w:r w:rsidRPr="003313F2">
        <w:t>kibernetičkih</w:t>
      </w:r>
      <w:proofErr w:type="spellEnd"/>
      <w:r w:rsidRPr="003313F2">
        <w:t xml:space="preserve"> napada ili pokušaja infiltracije, posebno onih koji potječu iz Rusije ili Kine;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rPr>
          <w:b/>
          <w:i/>
        </w:rPr>
        <w:t>Kadrovska politika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13.</w:t>
      </w:r>
      <w:r w:rsidRPr="003313F2">
        <w:tab/>
        <w:t>konstatira da je na dan 31. prosinca 2022. izvršeno 93 % plana radnih mjesta, tj. zaposleno je 40 privremenih djelatnika od njih ukupno 45 koji su odobreni u okviru proračuna Unije (isti broj odobrenih radnih mjesta kao i 2021.); također primjećuje da je 2022. za Institut radilo 25 ugovornih djelatnika, 10 članova vanjskog osoblja i jedan upućeni nacionalni stručnjak;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3313F2">
        <w:t>14.</w:t>
      </w:r>
      <w:r w:rsidRPr="003313F2">
        <w:tab/>
        <w:t>zabrinut je zbog toga što stalni manjak osoblja Instituta, kako je istaknuo Revizorski sud u svojim godišnjim izvješćima, nije popraćen dodatnim radnim mjestima; ističe da je Institut početkom 2023. ponovio svoj zahtjev za dodjelu dodatnih 10 radnih mjesta, što bi mu omogućilo da ostvari svoj program rada za 2024.; skreće pozornost na potrebu za usklađivanjem resursa Instituta s očekivanjima iz njegova mandata;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15.</w:t>
      </w:r>
      <w:r w:rsidRPr="003313F2">
        <w:tab/>
        <w:t>prima na znanje rodnu raspodjelu na višim i srednjim rukovodećim položajima Instituta, gdje 5 od 8 radnih mjesta zauzimaju muškarci; zabrinut je zbog rodne ravnoteže u Odboru, u kojem su 9 od 14 članova osoblja muškarci; prima na znanje rodnu raspodjelu među ukupnim osobljem Instituta, u kojemu su 28 od 65 članova osoblja muškarci; prima na znanje da su politika Instituta i njegov akcijski plan za rodnu ravnopravnost odobreni 2022.; podsjeća na važnost osiguravanja rodne ravnoteže i poziva Institut da taj aspekt uzme u obzir kad je riječ o budućem zapošljavanju novog osoblja i imenovanjima na položaje višeg i srednjeg rukovodstva; traži od Komisije da pri imenovanju članova Upravnog odbora Instituta u obzir uzme važnost osiguranja rodne ravnoteže;</w:t>
      </w:r>
    </w:p>
    <w:p w:rsidR="00F97E07" w:rsidRPr="003313F2" w:rsidRDefault="00F97E07" w:rsidP="00F97E07">
      <w:pPr>
        <w:pStyle w:val="NormalHanging12a"/>
      </w:pPr>
      <w:r w:rsidRPr="003313F2">
        <w:t>16.</w:t>
      </w:r>
      <w:r w:rsidRPr="003313F2">
        <w:tab/>
        <w:t>izražava zabrinutost zbog toga što u geografskoj raspodjeli među višim i srednjim rukovodstvom Instituta ima samo jedna osoba na rukovodećem položaju koja dolazi iz srednje i istočne Europe; ustraje u tome da su potrebna poboljšanja; traži od Instituta da o tome izvijesti tijelo nadležno za davanje razrješnice;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17.</w:t>
      </w:r>
      <w:r w:rsidRPr="003313F2">
        <w:tab/>
        <w:t xml:space="preserve">pozdravlja inicijative Instituta za jačanje važnosti rodne ravnoteže, kao što su program </w:t>
      </w:r>
      <w:proofErr w:type="spellStart"/>
      <w:r w:rsidRPr="003313F2">
        <w:t>Girls</w:t>
      </w:r>
      <w:proofErr w:type="spellEnd"/>
      <w:r w:rsidRPr="003313F2">
        <w:t xml:space="preserve"> </w:t>
      </w:r>
      <w:proofErr w:type="spellStart"/>
      <w:r w:rsidRPr="003313F2">
        <w:t>Go</w:t>
      </w:r>
      <w:proofErr w:type="spellEnd"/>
      <w:r w:rsidRPr="003313F2">
        <w:t xml:space="preserve"> </w:t>
      </w:r>
      <w:proofErr w:type="spellStart"/>
      <w:r w:rsidRPr="003313F2">
        <w:t>Circular</w:t>
      </w:r>
      <w:proofErr w:type="spellEnd"/>
      <w:r w:rsidRPr="003313F2">
        <w:t xml:space="preserve">, na razini škola, i </w:t>
      </w:r>
      <w:proofErr w:type="spellStart"/>
      <w:r w:rsidRPr="003313F2">
        <w:t>Supernovas</w:t>
      </w:r>
      <w:proofErr w:type="spellEnd"/>
      <w:r w:rsidRPr="003313F2">
        <w:t xml:space="preserve">, kojim se promiče žensko poduzetništvo </w:t>
      </w:r>
      <w:r w:rsidRPr="003313F2">
        <w:lastRenderedPageBreak/>
        <w:t>i vodstvo; nadalje, napominje da je Institut 2023. usvojio Povelju EUAN-a o raznolikosti i uključivanju, čime je potvrdio svoju predanost osiguravanju jednakih mogućnosti u svim fazama karijere i osnaživanju radnog okruženja u kojem se raznolikost smatra izvorom inovacija, obogaćivanja i kreativnosti te u kojem uključenost promiču rukovoditelji i svi članovi osoblja;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18</w:t>
      </w:r>
      <w:r w:rsidR="00417A3C">
        <w:t>.</w:t>
      </w:r>
      <w:r w:rsidRPr="003313F2">
        <w:tab/>
        <w:t>primjećuje da je Institut 2022. proveo većinu modula SYSPER-a i da će 2023. nastaviti s provedbom; primjećuje da je Institut usvojio Povelju Mreže agencija Europske unije (EUAN) o raznolikosti i uključivanju, čime je pokazao svoju predanost osiguravanju jednakih mogućnosti i osnaživanju radnog okruženja; nadalje, napominje da je Institut uspostavio nekoliko mjera za poboljšanje dobrobiti svojeg osoblja na radnome mjestu te ravnoteže između poslovnog i privatnog života, uključujući, među ostalim, troškove javnog prijevoza, upis djece zaposlenika u međunarodne vrtiće te fleksibilne i hibridne radne uvjete;</w:t>
      </w:r>
    </w:p>
    <w:p w:rsidR="00F97E07" w:rsidRPr="003313F2" w:rsidRDefault="00F97E07" w:rsidP="00F97E07">
      <w:pPr>
        <w:pStyle w:val="NormalHanging12a"/>
      </w:pPr>
      <w:r w:rsidRPr="003313F2">
        <w:t>19.</w:t>
      </w:r>
      <w:r w:rsidRPr="003313F2">
        <w:tab/>
        <w:t>konstatira da je u okviru programa karte osposobljavanja, koji je razvijen u skladu s potrebom Instituta i njegova osoblja da poboljšaju opću uspješnost, Institut nastavio nuditi osposobljavanje za članove svojeg osoblja putem interneta, među ostalim u pogledu etike i integriteta, sprečavanja uznemiravanja, zaštite podataka, učinkovitosti na hibridnim sastancima, osviještenosti o informatičkoj sigurnosti, kao i osposobljavanje u području sigurnosti;</w:t>
      </w:r>
    </w:p>
    <w:p w:rsidR="00F97E07" w:rsidRPr="003313F2" w:rsidRDefault="00F97E07" w:rsidP="00F97E07">
      <w:pPr>
        <w:pStyle w:val="NormalHanging12a"/>
      </w:pPr>
      <w:r w:rsidRPr="003313F2">
        <w:t>20.</w:t>
      </w:r>
      <w:r w:rsidRPr="003313F2">
        <w:tab/>
        <w:t>pozdravlja činjenicu da su 2022. uspješno provedena dva natječaja za stažiranje; napominje da su na temelju toga 23 mlada stručnjaka koristila mogućnost stažiranja u Institutu, pri čemu su 2022. ili započeli ili završili stažiranje;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3313F2">
        <w:t>21.</w:t>
      </w:r>
      <w:r w:rsidRPr="003313F2">
        <w:tab/>
        <w:t>napominje da jedan bivši povjerenik i jedan bivši zastupnik u Europskom parlamentu, kao članovi Odbora, iz proračuna Instituta primaju honorar u iznosu od 2000 EUR za svaki sastanak Odbora kojem prisustvuju;</w:t>
      </w:r>
    </w:p>
    <w:p w:rsidR="00F97E07" w:rsidRPr="003313F2" w:rsidRDefault="00F97E07" w:rsidP="00F97E07">
      <w:pPr>
        <w:pStyle w:val="NormalHanging12a"/>
      </w:pPr>
      <w:r w:rsidRPr="003313F2">
        <w:t>22.</w:t>
      </w:r>
      <w:r w:rsidRPr="003313F2">
        <w:tab/>
        <w:t>zabrinut je zbog toga što je 2022. prijavljen jedan slučaj uznemiravanja, za koji je pokrenuta administrativna istraga koja je još uvijek u tijeku; poziva Institut da tijelo nadležno za davanje razrješnice u najkraćem mogućem roku obavijesti o razvoju događaja u tom pogledu; konstatira da Institut ima politiku za zaštitu dostojanstva osobe i za sprečavanje psihološkog i seksualnog uznemiravanja te da sudjeluje u međuagencijskoj radnoj skupini povjerljivih savjetnika; sa zanimanjem iščekuje njihovo izvješće i preporuke;</w:t>
      </w:r>
    </w:p>
    <w:p w:rsidR="00F97E07" w:rsidRPr="003313F2" w:rsidRDefault="00F97E07" w:rsidP="00F97E07">
      <w:pPr>
        <w:spacing w:after="240"/>
        <w:ind w:left="567" w:hanging="567"/>
        <w:rPr>
          <w:b/>
          <w:i/>
          <w:szCs w:val="24"/>
        </w:rPr>
      </w:pPr>
      <w:r w:rsidRPr="003313F2">
        <w:rPr>
          <w:b/>
          <w:i/>
        </w:rPr>
        <w:t>Sprečavanje i postupanje u slučaju sukoba interesa te transparentnost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23.</w:t>
      </w:r>
      <w:r w:rsidRPr="003313F2">
        <w:tab/>
        <w:t>prima na znanje postojeće mjere Instituta i njegove stalne napore oko osiguravanja transparentnosti, sprečavanja i postupanja u slučaju sukoba interesa te jamčenja zaštite zviždača; prima na znanje da je Institut na svojim internetskim stranicama objavio izjave o financijskim interesima i životopise članova Odbora i upravljačkog tima;</w:t>
      </w:r>
      <w:r w:rsidRPr="003313F2">
        <w:rPr>
          <w:rFonts w:ascii="Calibri" w:hAnsi="Calibri"/>
          <w:color w:val="1F497D"/>
          <w:sz w:val="22"/>
        </w:rPr>
        <w:t xml:space="preserve"> </w:t>
      </w:r>
      <w:r w:rsidRPr="003313F2">
        <w:t>nadalje, napominje da Institut na svojim internetskim stranicama objavljuje informacije o svim sastancima koje održavaju Odbor i upravljački tim, uključujući broj javnih događanja i sastanaka mjesečno;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24.</w:t>
      </w:r>
      <w:r w:rsidRPr="003313F2">
        <w:tab/>
        <w:t xml:space="preserve">prima na znanje da je Institut usvojio politiku sprečavanja i postupanja u slučaju sukoba interesa za osoblje, uključujući postupke za davanje i procjenu godišnjih izjava o financijskim interesima i postupke kojima se uređuje kršenje pravila Instituta o izjavi o </w:t>
      </w:r>
      <w:r w:rsidRPr="003313F2">
        <w:lastRenderedPageBreak/>
        <w:t>financijskim interesima; nadalje, napominje da je Institut osnovao odbor za sukobe i savjetovanje, da je svojem osoblju održao informativna izlaganja za podizanje razine osviještenosti o etici i integritetu te da priprema odluku o predlošcima i administrativnim postupcima povezanima sa sukobima interesa;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25.</w:t>
      </w:r>
      <w:r w:rsidRPr="003313F2">
        <w:tab/>
        <w:t>pozdravlja napore Instituta u pogledu izjava o financijskim interesima članova njegova Upravnog odbora, pri čemu se prikupljaju tri različite izjave: godišnja izjava o financijskim interesima, izjava o financijskim interesima u pogledu evaluacije prijedloga ZZI-</w:t>
      </w:r>
      <w:proofErr w:type="spellStart"/>
      <w:r w:rsidRPr="003313F2">
        <w:t>jeva</w:t>
      </w:r>
      <w:proofErr w:type="spellEnd"/>
      <w:r w:rsidRPr="003313F2">
        <w:t xml:space="preserve"> i izjava o financijskim interesima u pogledu poslovnog plana ZZI</w:t>
      </w:r>
      <w:r w:rsidRPr="003313F2">
        <w:noBreakHyphen/>
      </w:r>
      <w:proofErr w:type="spellStart"/>
      <w:r w:rsidRPr="003313F2">
        <w:t>jeva</w:t>
      </w:r>
      <w:proofErr w:type="spellEnd"/>
      <w:r w:rsidRPr="003313F2">
        <w:t>; primjećuje da su u okviru godišnje izjave o financijskim interesima za neke članove Odbora identificirane situacije sukoba interesa, o čemu su oni bili informirani te su donesene mjere ublažavanja;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26.</w:t>
      </w:r>
      <w:r w:rsidRPr="003313F2">
        <w:tab/>
        <w:t>prima na znanje da Institut radi na izradi nove politike za procjenu ograničenja i zabrana preuzimanja određenih funkcija nakon prestanka radnog odnosa za svoje rukovodeće osoblje po isteku mandata; primjećuje da će se tom politikom utvrditi konkretne funkcije koje će biti zabranjeno obnašati nakon isteka mandata te kriteriji za zabranu takvih promjena u budućnosti, uz ograničenje od dvije godine; pozdravlja činjenicu da će Institut početkom 2024. donijeti i politiku/odluku o korupciji, koja će biti temelj za razvoj unutarnjih mehanizama za borbu protiv korupcije koje treba provesti;</w:t>
      </w:r>
    </w:p>
    <w:p w:rsidR="00F97E07" w:rsidRPr="00EA7AEC" w:rsidRDefault="00F97E07" w:rsidP="00F97E07">
      <w:pPr>
        <w:pStyle w:val="NormalHanging12a"/>
      </w:pPr>
      <w:r w:rsidRPr="003313F2">
        <w:t>27.</w:t>
      </w:r>
      <w:r w:rsidRPr="003313F2">
        <w:tab/>
        <w:t>prima na znanje činjenicu da je OLAF izdao dvije preporuke nakon dviju različitih istraga, pri čemu je jedna od dviju preporuka provedena tijekom 2022., dok je druga trenutačno u postupku provedbe; poziva Institut da tijelo nadležno za davanje razrješnice obavijesti o daljnjim mjerama poduzetima u skladu s tim preporukama;</w:t>
      </w:r>
    </w:p>
    <w:p w:rsidR="00F97E07" w:rsidRPr="003313F2" w:rsidRDefault="00F97E07" w:rsidP="00F97E07">
      <w:pPr>
        <w:pStyle w:val="NormalHanging12a"/>
      </w:pPr>
      <w:r w:rsidRPr="003313F2">
        <w:t>28.</w:t>
      </w:r>
      <w:r w:rsidRPr="003313F2">
        <w:tab/>
        <w:t>podsjeća da je važno da Institut razvije veću vidljivost u medijima, na internetu i u društvenim medijima kako bi informirao građane o svojem radu;</w:t>
      </w:r>
    </w:p>
    <w:p w:rsidR="00F97E07" w:rsidRPr="003313F2" w:rsidRDefault="00F97E07" w:rsidP="00F97E07">
      <w:pPr>
        <w:spacing w:after="240"/>
        <w:ind w:left="567" w:hanging="567"/>
        <w:rPr>
          <w:b/>
          <w:i/>
          <w:szCs w:val="24"/>
        </w:rPr>
      </w:pPr>
      <w:r w:rsidRPr="003313F2">
        <w:rPr>
          <w:b/>
          <w:i/>
        </w:rPr>
        <w:t>Javna nabava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29.</w:t>
      </w:r>
      <w:r w:rsidRPr="003313F2">
        <w:tab/>
        <w:t>konstatira da je za tri administrativna plaćanja obuhvaćena revizijom u iznosu od 337 116 EUR Institut odobrio proračunske obveze tek nakon potpisivanja povezanih pravnih obveza; naglašava da to nije izolirani incident s obzirom na to da je Revizorski sud u svojem izvješću za 2021. već primijetio sličan problem; podsjeća da je to u suprotnosti s člankom 73. stavkom 2. Delegirane uredbe Komisije (EU) 2019/715</w:t>
      </w:r>
      <w:r w:rsidRPr="003313F2">
        <w:rPr>
          <w:rStyle w:val="FootnoteReference"/>
          <w:szCs w:val="24"/>
        </w:rPr>
        <w:footnoteReference w:id="12"/>
      </w:r>
      <w:r w:rsidRPr="003313F2">
        <w:t xml:space="preserve"> (Okvirna financijska uredba); iz odgovora Instituta prima na znanje da će Institut poduzeti dodatne mjere kako bi osigurao potpunu usklađenost s tom odredbom, odnosno posebne informativne sastanke s osobljem, ažuriranje uspostavljenih postupaka i jačanje povezanih unutarnjih kontrola; apelira na Institut da hitno djeluje i provede mjere kako bi osigurao usklađenost svih financijskih transakcija s Okvirnom financijskom uredbom;</w:t>
      </w:r>
    </w:p>
    <w:p w:rsidR="00F97E07" w:rsidRPr="003313F2" w:rsidRDefault="00F97E07" w:rsidP="00F97E07">
      <w:pPr>
        <w:spacing w:after="240"/>
        <w:ind w:left="567" w:hanging="567"/>
        <w:rPr>
          <w:b/>
          <w:i/>
          <w:szCs w:val="24"/>
        </w:rPr>
      </w:pPr>
      <w:r w:rsidRPr="003313F2">
        <w:rPr>
          <w:b/>
          <w:i/>
        </w:rPr>
        <w:t>Unutarnja kontrola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30.</w:t>
      </w:r>
      <w:r w:rsidRPr="003313F2">
        <w:tab/>
        <w:t>napominje da je Institut dovršio tranziciju s funkcije unutarnje revizije na funkciju praćenja i nadzora ZZI-</w:t>
      </w:r>
      <w:proofErr w:type="spellStart"/>
      <w:r w:rsidRPr="003313F2">
        <w:t>jeva</w:t>
      </w:r>
      <w:proofErr w:type="spellEnd"/>
      <w:r w:rsidRPr="003313F2">
        <w:t xml:space="preserve">, donesenu odlukom Odbora 12/2022 od 1. travnja 2022.; </w:t>
      </w:r>
      <w:r w:rsidRPr="003313F2">
        <w:lastRenderedPageBreak/>
        <w:t>potvrđuje da funkciju unutarnje revizije sada obavlja Služba Komisije za unutarnju reviziju; primjećuje da je dodatno ojačana uloga koordinatora za unutarnju kontrolu, sa zadaćama koje uključuju koordinaciju aktivnosti unutarnje kontrole i izradu izvješća u Institutu, provedbu revizijskih preporuka, koordinaciju revizija, povezivanje s tijelima za vanjsku reviziju te doprinos financijskom i operativnom upravljanju u područjima kao što su javna nabava, provedba ugovora, plaćanja i izvješćivanje;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31</w:t>
      </w:r>
      <w:r w:rsidR="00417A3C">
        <w:t>.</w:t>
      </w:r>
      <w:r w:rsidRPr="003313F2">
        <w:tab/>
        <w:t>napominje da je Služba za unutarnju reviziju 2022. počela s pripremama za strateški plan unutarnje revizije Instituta za razdoblje 2023. – 2025.; nadalje, konstatira da je Služba za unutarnju reviziju započela reviziju upravljanja stručnjacima u Institutu, koja je završena 2023., kako bi se procijenila učinkovitost sustava unutarnje kontrole za postupke upravljanja stručnjacima u Institutu, uključujući odabir, dodjelu ugovora i plaćanja;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32.</w:t>
      </w:r>
      <w:r w:rsidRPr="003313F2">
        <w:tab/>
        <w:t xml:space="preserve">ističe da je važna preporuka Službe za unutarnju reviziju na temelju revizije upravljanja ljudskim resursima iz 2021., usredotočena na postupak ocjenjivanja i reklasifikacije, znatno kasnila, točnije 15 mjeseci; napominje da su otkriveni rizici uključivali moguća kašnjenja i neučinkovitost postupka, mogućnost nepravilno opravdanih odluka o upravljanju koje dovode do izazova u postupcima preispitivanja ili pred Sudom, nezadovoljstvo i demotivaciju osoblja, zabrinutost u pogledu toga da Zajednički odbor za reklasifikaciju ne ispunjava svoju ulogu te opći gubitak vjerodostojnosti za postupak reklasifikacije i mehanizam preispitivanja, što dovodi do demotivacije članova osoblja; poziva Institut da poduzme </w:t>
      </w:r>
      <w:proofErr w:type="spellStart"/>
      <w:r w:rsidRPr="003313F2">
        <w:t>proaktivne</w:t>
      </w:r>
      <w:proofErr w:type="spellEnd"/>
      <w:r w:rsidRPr="003313F2">
        <w:t xml:space="preserve"> mjere kako bi se riješila sva moguća kašnjenja i neučinkovitost postupka ocjenjivanja i reklasifikacije te da tijelo nadležno za davanje razrješnice izvještava o napretku u tom pitanju;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33.</w:t>
      </w:r>
      <w:r w:rsidRPr="003313F2">
        <w:tab/>
        <w:t>primjećuje da je Institut povećao svoju interakciju s OLAF-om, pri čemu je održao bilateralne sastanke i sastanke za podizanje razine osviještenosti o borbi protiv prijevara; nadalje, napominje da Institut ima svoju strategiju za borbu protiv prijevara za razdoblje 2021. – 2023., koja je usvojena u svibnju 2021.;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34.</w:t>
      </w:r>
      <w:r w:rsidRPr="003313F2">
        <w:tab/>
        <w:t>prima na znanje da je Institut proveo procjenu rizika i da je u Registru rizika Instituta za 2022. zabilježeno da su, među ostalim, identificirani sljedeći rizici: neprovođenje elemenata godišnjeg programa rada zbog nedostatnih ljudskih resursa, nepravilna provedba sporazuma ZZI-</w:t>
      </w:r>
      <w:proofErr w:type="spellStart"/>
      <w:r w:rsidRPr="003313F2">
        <w:t>jeva</w:t>
      </w:r>
      <w:proofErr w:type="spellEnd"/>
      <w:r w:rsidRPr="003313F2">
        <w:t xml:space="preserve"> te kašnjenja u postupcima javne nabave Instituta i pri uključivanju u informacijske sustave Komisije; poziva Institut da tijelo nadležno za davanje razrješnice obavještava o razvoju događaja u tom pogledu;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35.</w:t>
      </w:r>
      <w:r w:rsidRPr="003313F2">
        <w:tab/>
        <w:t xml:space="preserve">iz izvješća Revizorskog suda prima na znanje da, kad je riječ o nalogu za obnovu softvera, Institut nije proveo </w:t>
      </w:r>
      <w:r w:rsidRPr="003313F2">
        <w:rPr>
          <w:i/>
          <w:iCs/>
        </w:rPr>
        <w:t xml:space="preserve">ex </w:t>
      </w:r>
      <w:proofErr w:type="spellStart"/>
      <w:r w:rsidRPr="003313F2">
        <w:rPr>
          <w:i/>
          <w:iCs/>
        </w:rPr>
        <w:t>ante</w:t>
      </w:r>
      <w:proofErr w:type="spellEnd"/>
      <w:r w:rsidRPr="003313F2">
        <w:t xml:space="preserve"> provjeru kako bi potvrdio je li izvođač naplatio ispravnu cijenu i povećanje, kako je utvrđeno u primjenjivom okvirnom ugovoru; napominje da je to u suprotnosti s odredbama članka 30. Okvirne financijske uredbe o </w:t>
      </w:r>
      <w:r w:rsidRPr="003313F2">
        <w:rPr>
          <w:i/>
          <w:iCs/>
        </w:rPr>
        <w:t xml:space="preserve">ex </w:t>
      </w:r>
      <w:proofErr w:type="spellStart"/>
      <w:r w:rsidRPr="003313F2">
        <w:rPr>
          <w:i/>
          <w:iCs/>
        </w:rPr>
        <w:t>ante</w:t>
      </w:r>
      <w:proofErr w:type="spellEnd"/>
      <w:r w:rsidRPr="003313F2">
        <w:t xml:space="preserve"> kontrolama i stvara opasnost da će Institut platiti netočne iznose za dobivene usluge; iz odgovora Instituta opaža da će pri traženju ponude od izvođača zahtijevati raščlambu cijene, u kojoj će biti jasno navedene cijena i marža, kako bi se procijenili potencijalni rizici povezani s cijenom;</w:t>
      </w:r>
    </w:p>
    <w:p w:rsidR="00F97E07" w:rsidRPr="003313F2" w:rsidRDefault="00F97E07" w:rsidP="00F97E07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3313F2">
        <w:rPr>
          <w:b/>
          <w:i/>
        </w:rPr>
        <w:t>Ostale napomene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36.</w:t>
      </w:r>
      <w:r w:rsidRPr="003313F2">
        <w:tab/>
        <w:t xml:space="preserve">primjećuje da je Institut tijekom 2022. organizirao događanja kako bi povećao svoju vidljivost u svim državama članicama i u Uniji te dane otvorenih vrata radi širenja </w:t>
      </w:r>
      <w:r w:rsidRPr="003313F2">
        <w:lastRenderedPageBreak/>
        <w:t>informacija o mogućnostima koje Institut nudi potencijalnim kandidatima; nadalje, napominje da je Institut pokrenuo i inicijativu za talente s kvalifikacijama u području duboke tehnologije, koja je dio Novog europskog programa za inovacije i koja će pomoći građanima da steknu vještine u tehnološkim područjima za budućnost;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37.</w:t>
      </w:r>
      <w:r w:rsidRPr="003313F2">
        <w:tab/>
        <w:t xml:space="preserve">primjećuje da Institut radi na tome da postane klimatski neutralna agencija koja poduzima potrebne korake za ekološko upravljanje; napominje da je Institut najveći inovacijski ekosustav Unije i vodeći instrument u okviru programa Obzor Europa za borbu protiv klimatskih promjena i povezanih pitanja; pozdravlja mjere koje je Institut poduzeo tijekom 2022. kako bi ostvario svoje okolišne ciljeve: osnivanje Odbora za održivost, članstvo u </w:t>
      </w:r>
      <w:proofErr w:type="spellStart"/>
      <w:r w:rsidRPr="003313F2">
        <w:t>podmreži</w:t>
      </w:r>
      <w:proofErr w:type="spellEnd"/>
      <w:r w:rsidRPr="003313F2">
        <w:t xml:space="preserve"> za </w:t>
      </w:r>
      <w:proofErr w:type="spellStart"/>
      <w:r w:rsidRPr="003313F2">
        <w:t>ekologizaciju</w:t>
      </w:r>
      <w:proofErr w:type="spellEnd"/>
      <w:r w:rsidRPr="003313F2">
        <w:t xml:space="preserve"> mreže agencija EU-a i organizacija događanja </w:t>
      </w:r>
      <w:proofErr w:type="spellStart"/>
      <w:r w:rsidRPr="003313F2">
        <w:t>EITree</w:t>
      </w:r>
      <w:proofErr w:type="spellEnd"/>
      <w:r w:rsidRPr="003313F2">
        <w:t>, na kojem su različiti članovi osoblja sadili stabla u urbanom području;</w:t>
      </w:r>
    </w:p>
    <w:p w:rsidR="00F97E07" w:rsidRPr="003313F2" w:rsidRDefault="00F97E07" w:rsidP="00F97E07">
      <w:pPr>
        <w:spacing w:after="240"/>
        <w:ind w:left="567" w:hanging="567"/>
        <w:rPr>
          <w:szCs w:val="24"/>
        </w:rPr>
      </w:pPr>
      <w:r w:rsidRPr="003313F2">
        <w:t>38.</w:t>
      </w:r>
      <w:r w:rsidRPr="003313F2">
        <w:tab/>
        <w:t>prima na znanje da je certifikat EMAS-a u srednjoročnim ili dugoročnim planovima Instituta;</w:t>
      </w:r>
    </w:p>
    <w:p w:rsidR="00F97E07" w:rsidRPr="003313F2" w:rsidRDefault="00F97E07" w:rsidP="00F97E07">
      <w:pPr>
        <w:pStyle w:val="NormalCenter12a"/>
      </w:pPr>
      <w:r w:rsidRPr="003313F2">
        <w:t>°</w:t>
      </w:r>
    </w:p>
    <w:p w:rsidR="00F97E07" w:rsidRPr="003313F2" w:rsidRDefault="00F97E07" w:rsidP="00F97E07">
      <w:pPr>
        <w:pStyle w:val="NormalCenter12a"/>
      </w:pPr>
      <w:r w:rsidRPr="003313F2">
        <w:t>°</w:t>
      </w:r>
      <w:r w:rsidRPr="003313F2">
        <w:tab/>
        <w:t>°</w:t>
      </w:r>
    </w:p>
    <w:p w:rsidR="00F97E07" w:rsidRPr="003313F2" w:rsidRDefault="00F97E07" w:rsidP="003313F2">
      <w:pPr>
        <w:ind w:left="567" w:hanging="567"/>
      </w:pPr>
      <w:r w:rsidRPr="003313F2">
        <w:t>39.</w:t>
      </w:r>
      <w:r w:rsidRPr="003313F2">
        <w:tab/>
        <w:t xml:space="preserve">u vezi s drugim primjedbama koje su priložene Odluci o razrješnici i horizontalne su naravi upućuje na svoju Rezoluciju od </w:t>
      </w:r>
      <w:r w:rsidR="00417A3C">
        <w:t>11. travnja</w:t>
      </w:r>
      <w:r w:rsidRPr="003313F2">
        <w:t xml:space="preserve"> 2024.</w:t>
      </w:r>
      <w:r w:rsidRPr="003313F2">
        <w:rPr>
          <w:rStyle w:val="FootnoteReference"/>
        </w:rPr>
        <w:footnoteReference w:id="13"/>
      </w:r>
      <w:r w:rsidRPr="003313F2">
        <w:t xml:space="preserve"> o uspješnosti, financijskom upravljanju i nadzoru agencija.</w:t>
      </w:r>
    </w:p>
    <w:sectPr w:rsidR="00F97E07" w:rsidRPr="003313F2" w:rsidSect="00943D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14E" w:rsidRPr="00943D78" w:rsidRDefault="00FC714E">
      <w:r w:rsidRPr="00943D78">
        <w:separator/>
      </w:r>
    </w:p>
  </w:endnote>
  <w:endnote w:type="continuationSeparator" w:id="0">
    <w:p w:rsidR="00FC714E" w:rsidRPr="00943D78" w:rsidRDefault="00FC714E">
      <w:r w:rsidRPr="00943D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E07" w:rsidRPr="00943D78" w:rsidRDefault="00F97E07" w:rsidP="00D45FC1">
    <w:pPr>
      <w:pStyle w:val="EPFooter"/>
    </w:pPr>
    <w:r w:rsidRPr="00943D78">
      <w:t>PE</w:t>
    </w:r>
    <w:r w:rsidRPr="00943D78">
      <w:rPr>
        <w:rStyle w:val="HideTWBExt"/>
      </w:rPr>
      <w:t>&lt;</w:t>
    </w:r>
    <w:proofErr w:type="spellStart"/>
    <w:r w:rsidRPr="00943D78">
      <w:rPr>
        <w:rStyle w:val="HideTWBExt"/>
      </w:rPr>
      <w:t>NoPE</w:t>
    </w:r>
    <w:proofErr w:type="spellEnd"/>
    <w:r w:rsidRPr="00943D78">
      <w:rPr>
        <w:rStyle w:val="HideTWBExt"/>
      </w:rPr>
      <w:t>&gt;</w:t>
    </w:r>
    <w:r w:rsidRPr="00943D78">
      <w:t>753.522</w:t>
    </w:r>
    <w:r w:rsidRPr="00943D78">
      <w:rPr>
        <w:rStyle w:val="HideTWBExt"/>
      </w:rPr>
      <w:t>&lt;/</w:t>
    </w:r>
    <w:proofErr w:type="spellStart"/>
    <w:r w:rsidRPr="00943D78">
      <w:rPr>
        <w:rStyle w:val="HideTWBExt"/>
      </w:rPr>
      <w:t>NoPE</w:t>
    </w:r>
    <w:proofErr w:type="spellEnd"/>
    <w:r w:rsidRPr="00943D78">
      <w:rPr>
        <w:rStyle w:val="HideTWBExt"/>
      </w:rPr>
      <w:t>&gt;&lt;Version&gt;</w:t>
    </w:r>
    <w:r w:rsidRPr="00943D78">
      <w:t>v03-00</w:t>
    </w:r>
    <w:r w:rsidRPr="00943D78">
      <w:rPr>
        <w:rStyle w:val="HideTWBExt"/>
      </w:rPr>
      <w:t>&lt;/</w:t>
    </w:r>
    <w:proofErr w:type="spellStart"/>
    <w:r w:rsidRPr="00943D78">
      <w:rPr>
        <w:rStyle w:val="HideTWBExt"/>
      </w:rPr>
      <w:t>Version</w:t>
    </w:r>
    <w:proofErr w:type="spellEnd"/>
    <w:r w:rsidRPr="00943D78">
      <w:rPr>
        <w:rStyle w:val="HideTWBExt"/>
      </w:rPr>
      <w:t>&gt;</w:t>
    </w:r>
    <w:r w:rsidRPr="00943D78">
      <w:tab/>
    </w:r>
    <w:r w:rsidRPr="00943D78">
      <w:fldChar w:fldCharType="begin"/>
    </w:r>
    <w:r w:rsidRPr="00943D78">
      <w:instrText xml:space="preserve"> PAGE  \* MERGEFORMAT </w:instrText>
    </w:r>
    <w:r w:rsidRPr="00943D78">
      <w:fldChar w:fldCharType="separate"/>
    </w:r>
    <w:r w:rsidR="00943D78" w:rsidRPr="00943D78">
      <w:rPr>
        <w:noProof/>
      </w:rPr>
      <w:t>2</w:t>
    </w:r>
    <w:r w:rsidRPr="00943D78">
      <w:fldChar w:fldCharType="end"/>
    </w:r>
    <w:r w:rsidRPr="00943D78">
      <w:t>/</w:t>
    </w:r>
    <w:fldSimple w:instr=" NUMPAGES  \* MERGEFORMAT ">
      <w:r w:rsidR="00943D78" w:rsidRPr="00943D78">
        <w:rPr>
          <w:noProof/>
        </w:rPr>
        <w:t>4</w:t>
      </w:r>
    </w:fldSimple>
    <w:r w:rsidRPr="00943D78">
      <w:tab/>
    </w:r>
    <w:r w:rsidRPr="00943D78">
      <w:rPr>
        <w:rStyle w:val="HideTWBExt"/>
      </w:rPr>
      <w:t>&lt;PathFdR&gt;</w:t>
    </w:r>
    <w:r w:rsidRPr="00943D78">
      <w:t>RR\1299238HR.docx</w:t>
    </w:r>
    <w:r w:rsidRPr="00943D78">
      <w:rPr>
        <w:rStyle w:val="HideTWBExt"/>
      </w:rPr>
      <w:t>&lt;/</w:t>
    </w:r>
    <w:proofErr w:type="spellStart"/>
    <w:r w:rsidRPr="00943D78">
      <w:rPr>
        <w:rStyle w:val="HideTWBExt"/>
      </w:rPr>
      <w:t>PathFdR</w:t>
    </w:r>
    <w:proofErr w:type="spellEnd"/>
    <w:r w:rsidRPr="00943D78">
      <w:rPr>
        <w:rStyle w:val="HideTWBExt"/>
      </w:rPr>
      <w:t>&gt;</w:t>
    </w:r>
  </w:p>
  <w:p w:rsidR="00F97E07" w:rsidRPr="00943D78" w:rsidRDefault="00F97E07" w:rsidP="00D45FC1">
    <w:pPr>
      <w:pStyle w:val="EPFooter2"/>
    </w:pPr>
    <w:r w:rsidRPr="00943D78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E07" w:rsidRPr="00943D78" w:rsidRDefault="00F97E07" w:rsidP="00D45FC1">
    <w:pPr>
      <w:pStyle w:val="EPFooter"/>
    </w:pPr>
    <w:r w:rsidRPr="00943D78">
      <w:rPr>
        <w:rStyle w:val="HideTWBExt"/>
      </w:rPr>
      <w:t>&lt;PathFdR&gt;</w:t>
    </w:r>
    <w:r w:rsidRPr="00943D78">
      <w:t>RR\1299238HR.docx</w:t>
    </w:r>
    <w:r w:rsidRPr="00943D78">
      <w:rPr>
        <w:rStyle w:val="HideTWBExt"/>
      </w:rPr>
      <w:t>&lt;/</w:t>
    </w:r>
    <w:proofErr w:type="spellStart"/>
    <w:r w:rsidRPr="00943D78">
      <w:rPr>
        <w:rStyle w:val="HideTWBExt"/>
      </w:rPr>
      <w:t>PathFdR</w:t>
    </w:r>
    <w:proofErr w:type="spellEnd"/>
    <w:r w:rsidRPr="00943D78">
      <w:rPr>
        <w:rStyle w:val="HideTWBExt"/>
      </w:rPr>
      <w:t>&gt;</w:t>
    </w:r>
    <w:r w:rsidRPr="00943D78">
      <w:tab/>
    </w:r>
    <w:r w:rsidRPr="00943D78">
      <w:tab/>
      <w:t>PE</w:t>
    </w:r>
    <w:r w:rsidRPr="00943D78">
      <w:rPr>
        <w:rStyle w:val="HideTWBExt"/>
      </w:rPr>
      <w:t>&lt;</w:t>
    </w:r>
    <w:proofErr w:type="spellStart"/>
    <w:r w:rsidRPr="00943D78">
      <w:rPr>
        <w:rStyle w:val="HideTWBExt"/>
      </w:rPr>
      <w:t>NoPE</w:t>
    </w:r>
    <w:proofErr w:type="spellEnd"/>
    <w:r w:rsidRPr="00943D78">
      <w:rPr>
        <w:rStyle w:val="HideTWBExt"/>
      </w:rPr>
      <w:t>&gt;</w:t>
    </w:r>
    <w:r w:rsidRPr="00943D78">
      <w:t>753.522</w:t>
    </w:r>
    <w:r w:rsidRPr="00943D78">
      <w:rPr>
        <w:rStyle w:val="HideTWBExt"/>
      </w:rPr>
      <w:t>&lt;/</w:t>
    </w:r>
    <w:proofErr w:type="spellStart"/>
    <w:r w:rsidRPr="00943D78">
      <w:rPr>
        <w:rStyle w:val="HideTWBExt"/>
      </w:rPr>
      <w:t>NoPE</w:t>
    </w:r>
    <w:proofErr w:type="spellEnd"/>
    <w:r w:rsidRPr="00943D78">
      <w:rPr>
        <w:rStyle w:val="HideTWBExt"/>
      </w:rPr>
      <w:t>&gt;&lt;Version&gt;</w:t>
    </w:r>
    <w:r w:rsidRPr="00943D78">
      <w:t>v03-00</w:t>
    </w:r>
    <w:r w:rsidRPr="00943D78">
      <w:rPr>
        <w:rStyle w:val="HideTWBExt"/>
      </w:rPr>
      <w:t>&lt;/</w:t>
    </w:r>
    <w:proofErr w:type="spellStart"/>
    <w:r w:rsidRPr="00943D78">
      <w:rPr>
        <w:rStyle w:val="HideTWBExt"/>
      </w:rPr>
      <w:t>Version</w:t>
    </w:r>
    <w:proofErr w:type="spellEnd"/>
    <w:r w:rsidRPr="00943D78">
      <w:rPr>
        <w:rStyle w:val="HideTWBExt"/>
      </w:rPr>
      <w:t>&gt;</w:t>
    </w:r>
  </w:p>
  <w:p w:rsidR="00F97E07" w:rsidRPr="00943D78" w:rsidRDefault="00F97E07" w:rsidP="00D45FC1">
    <w:pPr>
      <w:pStyle w:val="EPFooter2"/>
    </w:pPr>
    <w:r w:rsidRPr="00943D78">
      <w:t>HR</w:t>
    </w:r>
    <w:r w:rsidRPr="00943D78">
      <w:tab/>
    </w:r>
    <w:r w:rsidRPr="00943D78">
      <w:rPr>
        <w:b w:val="0"/>
        <w:i/>
        <w:color w:val="C0C0C0"/>
        <w:sz w:val="22"/>
      </w:rPr>
      <w:t>Ujedinjena u raznolikosti</w:t>
    </w:r>
    <w:r w:rsidRPr="00943D78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D7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D7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D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14E" w:rsidRPr="00943D78" w:rsidRDefault="00FC714E">
      <w:r w:rsidRPr="00943D78">
        <w:separator/>
      </w:r>
    </w:p>
  </w:footnote>
  <w:footnote w:type="continuationSeparator" w:id="0">
    <w:p w:rsidR="00FC714E" w:rsidRPr="00943D78" w:rsidRDefault="00FC714E">
      <w:r w:rsidRPr="00943D78">
        <w:continuationSeparator/>
      </w:r>
    </w:p>
  </w:footnote>
  <w:footnote w:id="1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C, C/2023/594, 27.10.2023.</w:t>
      </w:r>
    </w:p>
  </w:footnote>
  <w:footnote w:id="2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C, C/2023/112, 12.10.2023.</w:t>
      </w:r>
    </w:p>
  </w:footnote>
  <w:footnote w:id="3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L 193, 30.7.2018., str. 1.</w:t>
      </w:r>
    </w:p>
  </w:footnote>
  <w:footnote w:id="4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L 189, 28.5.2021., str. 61.</w:t>
      </w:r>
    </w:p>
  </w:footnote>
  <w:footnote w:id="5">
    <w:p w:rsidR="00F97E07" w:rsidRPr="00943D78" w:rsidRDefault="00F97E07" w:rsidP="00943D78">
      <w:pPr>
        <w:pStyle w:val="FootnoteText"/>
        <w:ind w:left="567" w:hanging="567"/>
        <w:rPr>
          <w:sz w:val="24"/>
          <w:szCs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 L 122, 10.5.2019., str. 1.</w:t>
      </w:r>
    </w:p>
  </w:footnote>
  <w:footnote w:id="6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C, C/2023/594, 27.10.2023.</w:t>
      </w:r>
    </w:p>
  </w:footnote>
  <w:footnote w:id="7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C, C/2023/112, 12.10.2023.</w:t>
      </w:r>
    </w:p>
  </w:footnote>
  <w:footnote w:id="8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L 193, 30.7.2018., str. 1.</w:t>
      </w:r>
    </w:p>
  </w:footnote>
  <w:footnote w:id="9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L 189, 28.5.2021., str. 61.</w:t>
      </w:r>
    </w:p>
  </w:footnote>
  <w:footnote w:id="10">
    <w:p w:rsidR="00F97E07" w:rsidRPr="00943D78" w:rsidRDefault="00F97E07" w:rsidP="00943D78">
      <w:pPr>
        <w:pStyle w:val="FootnoteText"/>
        <w:ind w:left="567" w:hanging="567"/>
        <w:rPr>
          <w:sz w:val="24"/>
          <w:szCs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 L 122, 10.5.2019., str. 1.</w:t>
      </w:r>
    </w:p>
  </w:footnote>
  <w:footnote w:id="11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SL C 489, 22.12.2022., str. 56.</w:t>
      </w:r>
    </w:p>
  </w:footnote>
  <w:footnote w:id="12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 xml:space="preserve">Delegirana uredba Komisije (EU) 2019/715 </w:t>
      </w:r>
      <w:proofErr w:type="spellStart"/>
      <w:r w:rsidRPr="00943D78">
        <w:rPr>
          <w:sz w:val="24"/>
          <w:lang w:val="hr-HR"/>
        </w:rPr>
        <w:t>оd</w:t>
      </w:r>
      <w:proofErr w:type="spellEnd"/>
      <w:r w:rsidRPr="00943D78">
        <w:rPr>
          <w:sz w:val="24"/>
          <w:lang w:val="hr-HR"/>
        </w:rPr>
        <w:t xml:space="preserve"> 18. prosinca 2018. o okvirnoj financijskoj uredbi za tijela osnovana na temelju UFEU-a i Ugovora o </w:t>
      </w:r>
      <w:proofErr w:type="spellStart"/>
      <w:r w:rsidRPr="00943D78">
        <w:rPr>
          <w:sz w:val="24"/>
          <w:lang w:val="hr-HR"/>
        </w:rPr>
        <w:t>Euratomu</w:t>
      </w:r>
      <w:proofErr w:type="spellEnd"/>
      <w:r w:rsidRPr="00943D78">
        <w:rPr>
          <w:sz w:val="24"/>
          <w:lang w:val="hr-HR"/>
        </w:rPr>
        <w:t xml:space="preserve"> na koja se upućuje u članku 70. Uredbe (EU, Euratom) 2018/1046 Europskog parlamenta i Vijeća (SL L 122, 10.5.2019., str. 1</w:t>
      </w:r>
      <w:r w:rsidR="003313F2">
        <w:rPr>
          <w:sz w:val="24"/>
          <w:lang w:val="hr-HR"/>
        </w:rPr>
        <w:t>.</w:t>
      </w:r>
      <w:r w:rsidRPr="00943D78">
        <w:rPr>
          <w:sz w:val="24"/>
          <w:lang w:val="hr-HR"/>
        </w:rPr>
        <w:t>).</w:t>
      </w:r>
    </w:p>
  </w:footnote>
  <w:footnote w:id="13">
    <w:p w:rsidR="00F97E07" w:rsidRPr="00943D78" w:rsidRDefault="00F97E07" w:rsidP="00943D78">
      <w:pPr>
        <w:pStyle w:val="FootnoteText"/>
        <w:ind w:left="567" w:hanging="567"/>
        <w:rPr>
          <w:sz w:val="24"/>
          <w:lang w:val="hr-HR"/>
        </w:rPr>
      </w:pPr>
      <w:r w:rsidRPr="00943D78">
        <w:rPr>
          <w:rStyle w:val="FootnoteReference"/>
          <w:sz w:val="24"/>
          <w:lang w:val="hr-HR"/>
        </w:rPr>
        <w:footnoteRef/>
      </w:r>
      <w:r w:rsidR="00943D78" w:rsidRPr="00943D78">
        <w:rPr>
          <w:sz w:val="24"/>
          <w:lang w:val="hr-HR"/>
        </w:rPr>
        <w:t xml:space="preserve"> </w:t>
      </w:r>
      <w:r w:rsidR="00943D78" w:rsidRPr="00943D78">
        <w:rPr>
          <w:sz w:val="24"/>
          <w:lang w:val="hr-HR"/>
        </w:rPr>
        <w:tab/>
      </w:r>
      <w:r w:rsidRPr="00943D78">
        <w:rPr>
          <w:sz w:val="24"/>
          <w:lang w:val="hr-HR"/>
        </w:rPr>
        <w:t>Us</w:t>
      </w:r>
      <w:r w:rsidR="00EA7AEC">
        <w:rPr>
          <w:sz w:val="24"/>
          <w:lang w:val="hr-HR"/>
        </w:rPr>
        <w:t xml:space="preserve">vojeni tekstovi, </w:t>
      </w:r>
      <w:r w:rsidR="00EA7AEC">
        <w:rPr>
          <w:sz w:val="24"/>
          <w:lang w:val="hr-HR"/>
        </w:rPr>
        <w:t>P9_TA(2024)0280</w:t>
      </w:r>
      <w:bookmarkStart w:id="10" w:name="_GoBack"/>
      <w:bookmarkEnd w:id="10"/>
      <w:r w:rsidRPr="00943D78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D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D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D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2/2024"/>
    <w:docVar w:name="dvlangue" w:val="HR"/>
    <w:docVar w:name="dvnumam" w:val="0"/>
    <w:docVar w:name="dvpe" w:val="753.522"/>
    <w:docVar w:name="dvrapporteur" w:val="Izvjestitelj: "/>
    <w:docVar w:name="dvtitre" w:val="Odluka Europskog parlamenta od .... 2024. o razrješnici za izvršenje proračuna Europskog instituta za inovacije i tehnologiju (EIT) za financijsku godinu 2022.(2023/2154(DEC))"/>
  </w:docVars>
  <w:rsids>
    <w:rsidRoot w:val="00FC71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3F2"/>
    <w:rsid w:val="00343214"/>
    <w:rsid w:val="00361C00"/>
    <w:rsid w:val="00395FA1"/>
    <w:rsid w:val="003E15D4"/>
    <w:rsid w:val="00411CCE"/>
    <w:rsid w:val="0041666E"/>
    <w:rsid w:val="00417A3C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D7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AE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E07"/>
    <w:rsid w:val="00FB4360"/>
    <w:rsid w:val="00FC714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7E833"/>
  <w15:chartTrackingRefBased/>
  <w15:docId w15:val="{4F0A6263-370F-43AB-80EA-60CD3AF3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97E0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97E07"/>
    <w:pPr>
      <w:spacing w:before="480" w:after="240"/>
    </w:pPr>
  </w:style>
  <w:style w:type="paragraph" w:customStyle="1" w:styleId="PageHeading">
    <w:name w:val="PageHeading"/>
    <w:basedOn w:val="Normal"/>
    <w:rsid w:val="00F97E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97E07"/>
    <w:rPr>
      <w:b/>
    </w:rPr>
  </w:style>
  <w:style w:type="paragraph" w:customStyle="1" w:styleId="NormalHanging12a">
    <w:name w:val="NormalHanging12a"/>
    <w:basedOn w:val="Normal"/>
    <w:link w:val="NormalHanging12aChar"/>
    <w:rsid w:val="00F97E0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97E07"/>
    <w:pPr>
      <w:spacing w:after="240"/>
      <w:jc w:val="center"/>
    </w:pPr>
  </w:style>
  <w:style w:type="paragraph" w:styleId="Header">
    <w:name w:val="header"/>
    <w:basedOn w:val="Normal"/>
    <w:link w:val="HeaderChar"/>
    <w:rsid w:val="00F97E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7E07"/>
    <w:rPr>
      <w:sz w:val="24"/>
      <w:lang w:val="hr-HR"/>
    </w:rPr>
  </w:style>
  <w:style w:type="paragraph" w:customStyle="1" w:styleId="EPFooter">
    <w:name w:val="EPFooter"/>
    <w:basedOn w:val="Normal"/>
    <w:rsid w:val="00F97E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F97E07"/>
    <w:rPr>
      <w:sz w:val="24"/>
      <w:lang w:val="hr-HR"/>
    </w:rPr>
  </w:style>
  <w:style w:type="paragraph" w:customStyle="1" w:styleId="Default">
    <w:name w:val="Default"/>
    <w:rsid w:val="00F97E0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rsid w:val="003313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313F2"/>
    <w:rPr>
      <w:sz w:val="24"/>
      <w:lang w:val="hr-HR"/>
    </w:rPr>
  </w:style>
  <w:style w:type="paragraph" w:styleId="BalloonText">
    <w:name w:val="Balloon Text"/>
    <w:basedOn w:val="Normal"/>
    <w:link w:val="BalloonTextChar"/>
    <w:rsid w:val="00417A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7A3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B0C6E-2F4A-40FA-8D27-DD1AB38E2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3621</Words>
  <Characters>21910</Characters>
  <Application>Microsoft Office Word</Application>
  <DocSecurity>0</DocSecurity>
  <Lines>182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2024-04-11T14:25:00Z</dcterms:created>
  <dcterms:modified xsi:type="dcterms:W3CDTF">2024-04-11T14:25:00Z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A9-0132/2024</vt:lpwstr>
  </property>
  <property fmtid="{D5CDD505-2E9C-101B-9397-08002B2CF9AE}" pid="4" name="&lt;Type&gt;">
    <vt:lpwstr>RR</vt:lpwstr>
  </property>
</Properties>
</file>