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5EAC" w:rsidTr="0010095E">
        <w:trPr>
          <w:trHeight w:hRule="exact" w:val="1418"/>
        </w:trPr>
        <w:tc>
          <w:tcPr>
            <w:tcW w:w="6804" w:type="dxa"/>
            <w:shd w:val="clear" w:color="auto" w:fill="auto"/>
            <w:vAlign w:val="center"/>
          </w:tcPr>
          <w:p w:rsidR="00751A4A" w:rsidRPr="00A65EAC" w:rsidRDefault="00E625DD" w:rsidP="0010095E">
            <w:pPr>
              <w:pStyle w:val="EPName"/>
            </w:pPr>
            <w:r w:rsidRPr="00A65EAC">
              <w:t>Europos Parlamentas</w:t>
            </w:r>
          </w:p>
          <w:p w:rsidR="00751A4A" w:rsidRPr="00A65EAC" w:rsidRDefault="00817416" w:rsidP="00756632">
            <w:pPr>
              <w:pStyle w:val="EPTerm"/>
              <w:rPr>
                <w:rStyle w:val="HideTWBExt"/>
                <w:noProof w:val="0"/>
                <w:vanish w:val="0"/>
                <w:color w:val="auto"/>
              </w:rPr>
            </w:pPr>
            <w:r w:rsidRPr="00A65EAC">
              <w:t>2019-2024</w:t>
            </w:r>
          </w:p>
        </w:tc>
        <w:tc>
          <w:tcPr>
            <w:tcW w:w="2268" w:type="dxa"/>
            <w:shd w:val="clear" w:color="auto" w:fill="auto"/>
          </w:tcPr>
          <w:p w:rsidR="00751A4A" w:rsidRPr="00A65EAC" w:rsidRDefault="00187494" w:rsidP="0010095E">
            <w:pPr>
              <w:pStyle w:val="EPLogo"/>
            </w:pPr>
            <w:r w:rsidRPr="00A65EA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5EAC" w:rsidRDefault="00D058B8" w:rsidP="004C5D52">
      <w:pPr>
        <w:pStyle w:val="LineTop"/>
      </w:pPr>
    </w:p>
    <w:p w:rsidR="00680577" w:rsidRPr="00A65EAC" w:rsidRDefault="00E625DD" w:rsidP="00680577">
      <w:pPr>
        <w:pStyle w:val="EPBodyTA1"/>
      </w:pPr>
      <w:r w:rsidRPr="00A65EAC">
        <w:t>PRIIMTI TEKSTAI</w:t>
      </w:r>
    </w:p>
    <w:p w:rsidR="00D058B8" w:rsidRPr="00A65EAC" w:rsidRDefault="00D058B8" w:rsidP="00D058B8">
      <w:pPr>
        <w:pStyle w:val="LineBottom"/>
      </w:pPr>
    </w:p>
    <w:p w:rsidR="00E625DD" w:rsidRPr="00A65EAC" w:rsidRDefault="00E625DD" w:rsidP="00E625DD">
      <w:pPr>
        <w:pStyle w:val="ATHeading1"/>
      </w:pPr>
      <w:bookmarkStart w:id="0" w:name="TANumber"/>
      <w:r w:rsidRPr="00A65EAC">
        <w:t>P9_TA(2024)0</w:t>
      </w:r>
      <w:r w:rsidR="002E6FC4" w:rsidRPr="00A65EAC">
        <w:t>267</w:t>
      </w:r>
      <w:bookmarkEnd w:id="0"/>
    </w:p>
    <w:p w:rsidR="00E625DD" w:rsidRPr="00A65EAC" w:rsidRDefault="00E625DD" w:rsidP="00E625DD">
      <w:pPr>
        <w:pStyle w:val="ATHeading2"/>
      </w:pPr>
      <w:bookmarkStart w:id="1" w:name="title"/>
      <w:r w:rsidRPr="00A65EAC">
        <w:t>2022 m. biudžeto įvykdymo patvirtinimas: Europos inovacijos ir technologijos institutas (EIT)</w:t>
      </w:r>
      <w:bookmarkEnd w:id="1"/>
    </w:p>
    <w:p w:rsidR="00E625DD" w:rsidRPr="00A65EAC" w:rsidRDefault="00E625DD" w:rsidP="00E625DD">
      <w:pPr>
        <w:rPr>
          <w:i/>
          <w:vanish/>
        </w:rPr>
      </w:pPr>
      <w:r w:rsidRPr="00A65EAC">
        <w:rPr>
          <w:i/>
        </w:rPr>
        <w:fldChar w:fldCharType="begin"/>
      </w:r>
      <w:r w:rsidRPr="00A65EAC">
        <w:rPr>
          <w:i/>
        </w:rPr>
        <w:instrText xml:space="preserve"> TC"(</w:instrText>
      </w:r>
      <w:bookmarkStart w:id="2" w:name="DocNumber"/>
      <w:r w:rsidRPr="00A65EAC">
        <w:rPr>
          <w:i/>
        </w:rPr>
        <w:instrText>A9-0132/2024</w:instrText>
      </w:r>
      <w:bookmarkEnd w:id="2"/>
      <w:r w:rsidRPr="00A65EAC">
        <w:rPr>
          <w:i/>
        </w:rPr>
        <w:instrText xml:space="preserve"> - Pranešėjas: Petri Sarvamaa)"\l3 \n&gt; \* MERGEFORMAT </w:instrText>
      </w:r>
      <w:r w:rsidRPr="00A65EAC">
        <w:rPr>
          <w:i/>
        </w:rPr>
        <w:fldChar w:fldCharType="end"/>
      </w:r>
    </w:p>
    <w:p w:rsidR="00E625DD" w:rsidRPr="00A65EAC" w:rsidRDefault="00E625DD" w:rsidP="00E625DD">
      <w:pPr>
        <w:rPr>
          <w:vanish/>
        </w:rPr>
      </w:pPr>
      <w:bookmarkStart w:id="3" w:name="Commission"/>
      <w:r w:rsidRPr="00A65EAC">
        <w:rPr>
          <w:vanish/>
        </w:rPr>
        <w:t>Biudžeto kontrolės komitetas</w:t>
      </w:r>
      <w:bookmarkEnd w:id="3"/>
    </w:p>
    <w:p w:rsidR="00E625DD" w:rsidRPr="00A65EAC" w:rsidRDefault="00E625DD" w:rsidP="00E625DD">
      <w:pPr>
        <w:rPr>
          <w:vanish/>
        </w:rPr>
      </w:pPr>
      <w:bookmarkStart w:id="4" w:name="PE"/>
      <w:r w:rsidRPr="00A65EAC">
        <w:rPr>
          <w:vanish/>
        </w:rPr>
        <w:t>PE753.522</w:t>
      </w:r>
      <w:bookmarkEnd w:id="4"/>
    </w:p>
    <w:p w:rsidR="00E625DD" w:rsidRPr="00A65EAC" w:rsidRDefault="00E625DD" w:rsidP="0029464A">
      <w:pPr>
        <w:pStyle w:val="ATHeading3"/>
      </w:pPr>
      <w:bookmarkStart w:id="5" w:name="Sujet"/>
      <w:r w:rsidRPr="00A65EAC">
        <w:t xml:space="preserve">1. 2024 m. </w:t>
      </w:r>
      <w:r w:rsidR="0029464A" w:rsidRPr="00A65EAC">
        <w:t>balandžio</w:t>
      </w:r>
      <w:r w:rsidRPr="00A65EAC">
        <w:t xml:space="preserve"> 11 d. Europos Parlamento sprendimas dėl Europos inovacijos ir technologijos instituto (EIT) 2022 finansinių metų biudžeto įvykdymo patvirtinimo</w:t>
      </w:r>
      <w:bookmarkEnd w:id="5"/>
      <w:r w:rsidRPr="00A65EAC">
        <w:t xml:space="preserve"> </w:t>
      </w:r>
      <w:bookmarkStart w:id="6" w:name="References"/>
      <w:r w:rsidRPr="00A65EAC">
        <w:t>(2023/2154(DEC))</w:t>
      </w:r>
      <w:bookmarkEnd w:id="6"/>
    </w:p>
    <w:p w:rsidR="000A7999" w:rsidRPr="00A65EAC" w:rsidRDefault="000A7999" w:rsidP="000A7999">
      <w:pPr>
        <w:pStyle w:val="EPComma"/>
      </w:pPr>
      <w:bookmarkStart w:id="7" w:name="TextBodyBegin"/>
      <w:bookmarkEnd w:id="7"/>
      <w:r w:rsidRPr="00A65EAC">
        <w:rPr>
          <w:i/>
        </w:rPr>
        <w:t>Europos Parlamentas</w:t>
      </w:r>
      <w:r w:rsidRPr="00A65EAC">
        <w:t>,</w:t>
      </w:r>
    </w:p>
    <w:p w:rsidR="000A7999" w:rsidRPr="00A65EAC" w:rsidRDefault="000A7999" w:rsidP="000A7999">
      <w:pPr>
        <w:pStyle w:val="NormalHanging12a"/>
      </w:pPr>
      <w:r w:rsidRPr="00A65EAC">
        <w:t>–</w:t>
      </w:r>
      <w:r w:rsidRPr="00A65EAC">
        <w:tab/>
        <w:t>atsižvelgdamas į Europos inovacijos ir technologijos instituto (EIT) 2022 finansinių metų galutines metines ataskaitas,</w:t>
      </w:r>
    </w:p>
    <w:p w:rsidR="000A7999" w:rsidRPr="00A65EAC" w:rsidRDefault="000A7999" w:rsidP="000A7999">
      <w:pPr>
        <w:pStyle w:val="NormalHanging12a"/>
      </w:pPr>
      <w:r w:rsidRPr="00A65EAC">
        <w:t>–</w:t>
      </w:r>
      <w:r w:rsidRPr="00A65EAC">
        <w:tab/>
        <w:t>atsižvelgdamas į Audito Rūmų 2022 finansinių metų metinę ataskaitą dėl ES agentūrų kartu su agentūrų atsakymais</w:t>
      </w:r>
      <w:r w:rsidRPr="00A65EAC">
        <w:rPr>
          <w:rStyle w:val="FootnoteReference"/>
        </w:rPr>
        <w:footnoteReference w:id="1"/>
      </w:r>
      <w:r w:rsidRPr="00A65EAC">
        <w:t>,</w:t>
      </w:r>
    </w:p>
    <w:p w:rsidR="000A7999" w:rsidRPr="00A65EAC" w:rsidRDefault="000A7999" w:rsidP="000A7999">
      <w:pPr>
        <w:pStyle w:val="NormalHanging12a"/>
      </w:pPr>
      <w:r w:rsidRPr="00A65EAC">
        <w:t>–</w:t>
      </w:r>
      <w:r w:rsidRPr="00A65EAC">
        <w:tab/>
        <w:t>atsižvelgdamas į Audito Rūmų pagal Sutarties dėl Europos Sąjungos veikimo 287 straipsnį pateiktą 2022 finansinių metų sąskaitų patikimumo ir pagal jas atliktų operacijų teisėtumo ir tvarkingumo patikinimo pareiškimą</w:t>
      </w:r>
      <w:r w:rsidRPr="00A65EAC">
        <w:rPr>
          <w:rStyle w:val="FootnoteReference"/>
        </w:rPr>
        <w:footnoteReference w:id="2"/>
      </w:r>
      <w:r w:rsidRPr="00A65EAC">
        <w:t>,</w:t>
      </w:r>
    </w:p>
    <w:p w:rsidR="000A7999" w:rsidRPr="00A65EAC" w:rsidRDefault="000A7999" w:rsidP="000A7999">
      <w:pPr>
        <w:pStyle w:val="NormalHanging12a"/>
      </w:pPr>
      <w:r w:rsidRPr="00A65EAC">
        <w:t>–</w:t>
      </w:r>
      <w:r w:rsidRPr="00A65EAC">
        <w:tab/>
        <w:t xml:space="preserve">atsižvelgdamas į </w:t>
      </w:r>
      <w:r w:rsidR="00600288" w:rsidRPr="00A65EAC">
        <w:t xml:space="preserve">2024 m. vasario 22 d. </w:t>
      </w:r>
      <w:r w:rsidRPr="00A65EAC">
        <w:t>Tarybos rekomendaciją dėl patvirtinimo, kad Institutas įvykdė 2022 finansinių metų biudžetą (</w:t>
      </w:r>
      <w:r w:rsidR="0029464A" w:rsidRPr="00A65EAC">
        <w:t>06180</w:t>
      </w:r>
      <w:r w:rsidRPr="00A65EAC">
        <w:t>/2024 – C9</w:t>
      </w:r>
      <w:r w:rsidRPr="00A65EAC">
        <w:noBreakHyphen/>
      </w:r>
      <w:r w:rsidR="0029464A" w:rsidRPr="00A65EAC">
        <w:t>0092</w:t>
      </w:r>
      <w:r w:rsidRPr="00A65EAC">
        <w:t>/2024),</w:t>
      </w:r>
    </w:p>
    <w:p w:rsidR="000A7999" w:rsidRPr="00A65EAC" w:rsidRDefault="000A7999" w:rsidP="000A7999">
      <w:pPr>
        <w:pStyle w:val="NormalHanging12a"/>
      </w:pPr>
      <w:r w:rsidRPr="00A65EAC">
        <w:t>–</w:t>
      </w:r>
      <w:r w:rsidRPr="00A65EAC">
        <w:tab/>
        <w:t>atsižvelgdamas į Sutarties dėl Europos Sąjungos veikimo 319 straipsnį,</w:t>
      </w:r>
    </w:p>
    <w:p w:rsidR="000A7999" w:rsidRPr="00A65EAC" w:rsidRDefault="000A7999" w:rsidP="000A7999">
      <w:pPr>
        <w:pStyle w:val="NormalHanging12a"/>
      </w:pPr>
      <w:r w:rsidRPr="00A65EAC">
        <w:t>–</w:t>
      </w:r>
      <w:r w:rsidRPr="00A65EAC">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A65EAC">
        <w:rPr>
          <w:rStyle w:val="FootnoteReference"/>
        </w:rPr>
        <w:footnoteReference w:id="3"/>
      </w:r>
      <w:r w:rsidRPr="00A65EAC">
        <w:t>, ypač į jo 70 straipsnį,</w:t>
      </w:r>
    </w:p>
    <w:p w:rsidR="000A7999" w:rsidRPr="00A65EAC" w:rsidRDefault="000A7999" w:rsidP="000A7999">
      <w:pPr>
        <w:pStyle w:val="NormalHanging12a"/>
      </w:pPr>
      <w:r w:rsidRPr="00A65EAC">
        <w:t>–</w:t>
      </w:r>
      <w:r w:rsidRPr="00A65EAC">
        <w:tab/>
        <w:t xml:space="preserve">atsižvelgdamas į 2021 m. gegužės 20 d. Europos Parlamento ir Tarybos reglamentą </w:t>
      </w:r>
      <w:r w:rsidRPr="00A65EAC">
        <w:lastRenderedPageBreak/>
        <w:t>(ES) 2021/819 dėl Europos inovacijos ir technologijos instituto</w:t>
      </w:r>
      <w:r w:rsidRPr="00A65EAC">
        <w:rPr>
          <w:rStyle w:val="FootnoteReference"/>
        </w:rPr>
        <w:footnoteReference w:id="4"/>
      </w:r>
      <w:r w:rsidRPr="00A65EAC">
        <w:t>, ypač į jo 23 straipsnį,</w:t>
      </w:r>
    </w:p>
    <w:p w:rsidR="000A7999" w:rsidRPr="00A65EAC" w:rsidRDefault="000A7999" w:rsidP="000A7999">
      <w:pPr>
        <w:pStyle w:val="NormalHanging12a"/>
      </w:pPr>
      <w:r w:rsidRPr="00A65EAC">
        <w:t>–</w:t>
      </w:r>
      <w:r w:rsidRPr="00A65EAC">
        <w:tab/>
        <w:t>atsižvelgdamas į 2018 m. gruodžio 18 d. Komisijos deleguotąjį reglamentą (ES) 2019/715 dėl finansinio pagrindų reglamento, taikomo organams, įsteigtiems pagal SESV ir Euratomo sutartį ir nurodytiems Europos Parlamento ir Tarybos reglamento (ES, Euratomas) 2018/10467</w:t>
      </w:r>
      <w:r w:rsidRPr="00A65EAC">
        <w:rPr>
          <w:rStyle w:val="FootnoteReference"/>
        </w:rPr>
        <w:footnoteReference w:id="5"/>
      </w:r>
      <w:r w:rsidRPr="00A65EAC">
        <w:t xml:space="preserve"> 70 straipsnyje, ypač į jo 105 straipsnį,</w:t>
      </w:r>
    </w:p>
    <w:p w:rsidR="000A7999" w:rsidRPr="00A65EAC" w:rsidRDefault="000A7999" w:rsidP="000A7999">
      <w:pPr>
        <w:pStyle w:val="NormalHanging12a"/>
      </w:pPr>
      <w:r w:rsidRPr="00A65EAC">
        <w:t>–</w:t>
      </w:r>
      <w:r w:rsidRPr="00A65EAC">
        <w:tab/>
        <w:t>atsižvelgdamas į Darbo tvarkos taisyklių 100 straipsnį ir V priedą,</w:t>
      </w:r>
    </w:p>
    <w:p w:rsidR="000A7999" w:rsidRPr="00A65EAC" w:rsidRDefault="000A7999" w:rsidP="000A7999">
      <w:pPr>
        <w:pStyle w:val="NormalHanging12a"/>
      </w:pPr>
      <w:r w:rsidRPr="00A65EAC">
        <w:t>–</w:t>
      </w:r>
      <w:r w:rsidRPr="00A65EAC">
        <w:tab/>
        <w:t>atsižvelgdamas į Biudžeto kontrolės komiteto pranešimą (A9-0132/2024),</w:t>
      </w:r>
    </w:p>
    <w:p w:rsidR="000A7999" w:rsidRPr="00A65EAC" w:rsidRDefault="000A7999" w:rsidP="000A7999">
      <w:pPr>
        <w:pStyle w:val="NormalHanging12a"/>
      </w:pPr>
      <w:r w:rsidRPr="00A65EAC">
        <w:t>1.</w:t>
      </w:r>
      <w:r w:rsidRPr="00A65EAC">
        <w:tab/>
        <w:t>patvirtina Europos inovacijos ir technologijos instituto (EIT) direktoriui, kad Instituto 2022 finansinių metų biudžetas įvykdytas;</w:t>
      </w:r>
    </w:p>
    <w:p w:rsidR="000A7999" w:rsidRPr="00A65EAC" w:rsidRDefault="000A7999" w:rsidP="000A7999">
      <w:pPr>
        <w:pStyle w:val="NormalHanging12a"/>
      </w:pPr>
      <w:r w:rsidRPr="00A65EAC">
        <w:t>2.</w:t>
      </w:r>
      <w:r w:rsidRPr="00A65EAC">
        <w:tab/>
        <w:t>išdėsto savo pastabas toliau pateikiamoje rezoliucijoje;</w:t>
      </w:r>
    </w:p>
    <w:p w:rsidR="000A7999" w:rsidRPr="00A65EAC" w:rsidRDefault="000A7999" w:rsidP="000A7999">
      <w:pPr>
        <w:pStyle w:val="NormalHanging12a"/>
      </w:pPr>
      <w:r w:rsidRPr="00A65EAC">
        <w:t>3.</w:t>
      </w:r>
      <w:r w:rsidRPr="00A65EAC">
        <w:tab/>
        <w:t xml:space="preserve">paveda Pirmininkei perduoti šį sprendimą ir rezoliuciją, kuri yra neatskiriama jo dalis, Europos inovacijos ir technologijos instituto (EIT) direktoriui, Tarybai, Komisijai ir Audito Rūmams ir pasirūpinti, kad jie būtų paskelbti </w:t>
      </w:r>
      <w:r w:rsidRPr="00A65EAC">
        <w:rPr>
          <w:i/>
        </w:rPr>
        <w:t>Europos Sąjungos oficialiajame leidinyje</w:t>
      </w:r>
      <w:r w:rsidRPr="00A65EAC">
        <w:t xml:space="preserve"> (L serijoje).</w:t>
      </w:r>
    </w:p>
    <w:p w:rsidR="000A7999" w:rsidRPr="00A65EAC" w:rsidRDefault="000A7999" w:rsidP="000A7999"/>
    <w:p w:rsidR="000A7999" w:rsidRPr="00A65EAC" w:rsidRDefault="000A7999" w:rsidP="000A7999">
      <w:pPr>
        <w:pStyle w:val="NormalHanging12a"/>
        <w:sectPr w:rsidR="000A7999" w:rsidRPr="00A65EAC" w:rsidSect="007D7251">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A7999" w:rsidRPr="00A65EAC" w:rsidRDefault="000A7999" w:rsidP="001048D6">
      <w:pPr>
        <w:pStyle w:val="ATHeading3"/>
      </w:pPr>
      <w:bookmarkStart w:id="8" w:name="_Toc161939838"/>
      <w:r w:rsidRPr="00A65EAC">
        <w:lastRenderedPageBreak/>
        <w:t xml:space="preserve">2. </w:t>
      </w:r>
      <w:r w:rsidR="0029464A" w:rsidRPr="00A65EAC">
        <w:t xml:space="preserve">2024 m. balandžio 11 d. Europos Parlamento sprendimas </w:t>
      </w:r>
      <w:bookmarkEnd w:id="8"/>
      <w:r w:rsidRPr="00A65EAC">
        <w:t>dėl Europos inovacijos ir technologijos instituto (EIT) 2022 finansinių metų sąskaitų uždarymo</w:t>
      </w:r>
      <w:r w:rsidR="0029464A" w:rsidRPr="00A65EAC">
        <w:t xml:space="preserve"> </w:t>
      </w:r>
      <w:r w:rsidRPr="00A65EAC">
        <w:t>(2023/2154(DEC))</w:t>
      </w:r>
    </w:p>
    <w:p w:rsidR="000A7999" w:rsidRPr="00A65EAC" w:rsidRDefault="000A7999" w:rsidP="000A7999">
      <w:pPr>
        <w:pStyle w:val="EPComma"/>
      </w:pPr>
      <w:r w:rsidRPr="00A65EAC">
        <w:rPr>
          <w:i/>
        </w:rPr>
        <w:t>Europos Parlamentas</w:t>
      </w:r>
      <w:r w:rsidRPr="00A65EAC">
        <w:t>,</w:t>
      </w:r>
    </w:p>
    <w:p w:rsidR="000A7999" w:rsidRPr="00A65EAC" w:rsidRDefault="000A7999" w:rsidP="000A7999">
      <w:pPr>
        <w:pStyle w:val="NormalHanging12a"/>
      </w:pPr>
      <w:r w:rsidRPr="00A65EAC">
        <w:t>–</w:t>
      </w:r>
      <w:r w:rsidRPr="00A65EAC">
        <w:tab/>
        <w:t>atsižvelgdamas į Europos inovacijos ir technologijos instituto (EIT) 2022 finansinių metų galutines metines ataskaitas,</w:t>
      </w:r>
    </w:p>
    <w:p w:rsidR="000A7999" w:rsidRPr="00A65EAC" w:rsidRDefault="000A7999" w:rsidP="000A7999">
      <w:pPr>
        <w:pStyle w:val="NormalHanging12a"/>
      </w:pPr>
      <w:r w:rsidRPr="00A65EAC">
        <w:t>–</w:t>
      </w:r>
      <w:r w:rsidRPr="00A65EAC">
        <w:tab/>
        <w:t>atsižvelgdamas į Audito Rūmų 2022 finansinių metų metinę ataskaitą dėl ES agentūrų kartu su agentūrų atsakymais</w:t>
      </w:r>
      <w:r w:rsidRPr="00A65EAC">
        <w:rPr>
          <w:rStyle w:val="FootnoteReference"/>
        </w:rPr>
        <w:footnoteReference w:id="6"/>
      </w:r>
      <w:r w:rsidRPr="00A65EAC">
        <w:t>,</w:t>
      </w:r>
    </w:p>
    <w:p w:rsidR="000A7999" w:rsidRPr="00A65EAC" w:rsidRDefault="000A7999" w:rsidP="000A7999">
      <w:pPr>
        <w:pStyle w:val="NormalHanging12a"/>
      </w:pPr>
      <w:r w:rsidRPr="00A65EAC">
        <w:t>–</w:t>
      </w:r>
      <w:r w:rsidRPr="00A65EAC">
        <w:tab/>
        <w:t>atsižvelgdamas į Audito Rūmų pagal Sutarties dėl Europos Sąjungos veikimo 287 straipsnį pateiktą 2022 finansinių metų sąskaitų patikimumo ir pagal jas atliktų operacijų teisėtumo ir tvarkingumo patikinimo pareiškimą</w:t>
      </w:r>
      <w:r w:rsidRPr="00A65EAC">
        <w:rPr>
          <w:rStyle w:val="FootnoteReference"/>
        </w:rPr>
        <w:footnoteReference w:id="7"/>
      </w:r>
      <w:r w:rsidRPr="00A65EAC">
        <w:t>,</w:t>
      </w:r>
    </w:p>
    <w:p w:rsidR="000A7999" w:rsidRPr="00A65EAC" w:rsidRDefault="000A7999" w:rsidP="000A7999">
      <w:pPr>
        <w:pStyle w:val="NormalHanging12a"/>
      </w:pPr>
      <w:r w:rsidRPr="00A65EAC">
        <w:t>–</w:t>
      </w:r>
      <w:r w:rsidRPr="00A65EAC">
        <w:tab/>
        <w:t>atsižvelgdamas į 2024 m. vasario 22 d. Tarybos rekomendaciją dėl patvirtinimo, kad Institutas įvykdė 2022 finansinių metų biudžetą (</w:t>
      </w:r>
      <w:r w:rsidR="0029464A" w:rsidRPr="00A65EAC">
        <w:t>06180</w:t>
      </w:r>
      <w:r w:rsidRPr="00A65EAC">
        <w:t>/2024 – C9</w:t>
      </w:r>
      <w:r w:rsidRPr="00A65EAC">
        <w:noBreakHyphen/>
      </w:r>
      <w:r w:rsidR="0029464A" w:rsidRPr="00A65EAC">
        <w:t>0092</w:t>
      </w:r>
      <w:r w:rsidRPr="00A65EAC">
        <w:t>/2024),</w:t>
      </w:r>
    </w:p>
    <w:p w:rsidR="000A7999" w:rsidRPr="00A65EAC" w:rsidRDefault="000A7999" w:rsidP="000A7999">
      <w:pPr>
        <w:pStyle w:val="NormalHanging12a"/>
      </w:pPr>
      <w:r w:rsidRPr="00A65EAC">
        <w:t>–</w:t>
      </w:r>
      <w:r w:rsidRPr="00A65EAC">
        <w:tab/>
        <w:t>atsižvelgdamas į Sutarties dėl Europos Sąjungos veikimo 319 straipsnį,</w:t>
      </w:r>
    </w:p>
    <w:p w:rsidR="000A7999" w:rsidRPr="00A65EAC" w:rsidRDefault="000A7999" w:rsidP="000A7999">
      <w:pPr>
        <w:pStyle w:val="NormalHanging12a"/>
      </w:pPr>
      <w:r w:rsidRPr="00A65EAC">
        <w:t>–</w:t>
      </w:r>
      <w:r w:rsidRPr="00A65EAC">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A65EAC">
        <w:rPr>
          <w:rStyle w:val="FootnoteReference"/>
        </w:rPr>
        <w:footnoteReference w:id="8"/>
      </w:r>
      <w:r w:rsidRPr="00A65EAC">
        <w:t>, ypač į jo 70 straipsnį,</w:t>
      </w:r>
    </w:p>
    <w:p w:rsidR="000A7999" w:rsidRPr="00A65EAC" w:rsidRDefault="000A7999" w:rsidP="000A7999">
      <w:pPr>
        <w:pStyle w:val="NormalHanging12a"/>
      </w:pPr>
      <w:r w:rsidRPr="00A65EAC">
        <w:t>–</w:t>
      </w:r>
      <w:r w:rsidRPr="00A65EAC">
        <w:tab/>
        <w:t>atsižvelgdamas į 2021 m. gegužės 20 d. Europos Parlamento ir Tarybos reglamentą (ES) 2021/819 dėl Europos inovacijos ir technologijos instituto</w:t>
      </w:r>
      <w:r w:rsidRPr="00A65EAC">
        <w:rPr>
          <w:rStyle w:val="FootnoteReference"/>
        </w:rPr>
        <w:footnoteReference w:id="9"/>
      </w:r>
      <w:r w:rsidRPr="00A65EAC">
        <w:t>, ypač į jo 23 straipsnį,</w:t>
      </w:r>
    </w:p>
    <w:p w:rsidR="000A7999" w:rsidRPr="00A65EAC" w:rsidRDefault="000A7999" w:rsidP="000A7999">
      <w:pPr>
        <w:pStyle w:val="NormalHanging12a"/>
      </w:pPr>
      <w:r w:rsidRPr="00A65EAC">
        <w:t>–</w:t>
      </w:r>
      <w:r w:rsidRPr="00A65EAC">
        <w:tab/>
        <w:t>atsižvelgdamas į 2018 m. gruodžio 18 d. Komisijos deleguotąjį reglamentą (ES) 2019/715 dėl finansinio pagrindų reglamento, taikomo organams, įsteigtiems pagal SESV ir Euratomo sutartį ir nurodytiems Europos Parlamento ir Tarybos reglamento (ES, Euratomas) 2018/10467</w:t>
      </w:r>
      <w:r w:rsidRPr="00A65EAC">
        <w:rPr>
          <w:rStyle w:val="FootnoteReference"/>
        </w:rPr>
        <w:footnoteReference w:id="10"/>
      </w:r>
      <w:r w:rsidRPr="00A65EAC">
        <w:t xml:space="preserve"> 70 straipsnyje, ypač į jo 105 straipsnį,</w:t>
      </w:r>
    </w:p>
    <w:p w:rsidR="000A7999" w:rsidRPr="00A65EAC" w:rsidRDefault="000A7999" w:rsidP="000A7999">
      <w:pPr>
        <w:pStyle w:val="NormalHanging12a"/>
      </w:pPr>
      <w:r w:rsidRPr="00A65EAC">
        <w:t>–</w:t>
      </w:r>
      <w:r w:rsidRPr="00A65EAC">
        <w:tab/>
        <w:t>atsižvelgdamas į Darbo tvarkos taisyklių 100 straipsnį ir V priedą,</w:t>
      </w:r>
    </w:p>
    <w:p w:rsidR="000A7999" w:rsidRPr="00A65EAC" w:rsidRDefault="000A7999" w:rsidP="000A7999">
      <w:pPr>
        <w:pStyle w:val="NormalHanging12a"/>
      </w:pPr>
      <w:r w:rsidRPr="00A65EAC">
        <w:t>–</w:t>
      </w:r>
      <w:r w:rsidRPr="00A65EAC">
        <w:tab/>
        <w:t>atsižvelgdamas į Biudžeto kontrolės komiteto pranešimą (A9-0132/2024),</w:t>
      </w:r>
    </w:p>
    <w:p w:rsidR="000A7999" w:rsidRPr="00A65EAC" w:rsidRDefault="000A7999" w:rsidP="000A7999">
      <w:pPr>
        <w:pStyle w:val="NormalHanging12a"/>
      </w:pPr>
      <w:r w:rsidRPr="00A65EAC">
        <w:t>1.</w:t>
      </w:r>
      <w:r w:rsidRPr="00A65EAC">
        <w:tab/>
        <w:t>pritaria Europos inovacijos ir technologijos instituto (EIT) 2022 finansinių metų sąskaitų uždarymui;</w:t>
      </w:r>
    </w:p>
    <w:p w:rsidR="000A7999" w:rsidRPr="00A65EAC" w:rsidRDefault="000A7999" w:rsidP="000A7999">
      <w:pPr>
        <w:pStyle w:val="NormalHanging12a"/>
      </w:pPr>
      <w:r w:rsidRPr="00A65EAC">
        <w:t>2.</w:t>
      </w:r>
      <w:r w:rsidRPr="00A65EAC">
        <w:tab/>
        <w:t xml:space="preserve">paveda Pirmininkei perduoti šį sprendimą Europos inovacijos ir technologijos instituto (EIT) direktoriui, Tarybai, Komisijai ir Audito Rūmams ir pasirūpinti, kad jis būtų paskelbtas </w:t>
      </w:r>
      <w:r w:rsidRPr="00A65EAC">
        <w:rPr>
          <w:i/>
          <w:iCs/>
        </w:rPr>
        <w:t>Europos Sąjungos oficialiajame leidinyje</w:t>
      </w:r>
      <w:r w:rsidRPr="00A65EAC">
        <w:t xml:space="preserve"> (L serijoje).</w:t>
      </w:r>
    </w:p>
    <w:p w:rsidR="000A7999" w:rsidRPr="00A65EAC" w:rsidRDefault="000A7999" w:rsidP="000A7999">
      <w:pPr>
        <w:pStyle w:val="PageHeading"/>
        <w:sectPr w:rsidR="000A7999" w:rsidRPr="00A65EAC" w:rsidSect="007D7251">
          <w:footnotePr>
            <w:numRestart w:val="eachPage"/>
          </w:footnotePr>
          <w:endnotePr>
            <w:numFmt w:val="decimal"/>
          </w:endnotePr>
          <w:pgSz w:w="11906" w:h="16838" w:code="9"/>
          <w:pgMar w:top="1134" w:right="1418" w:bottom="1418" w:left="1418" w:header="567" w:footer="567" w:gutter="0"/>
          <w:cols w:space="720"/>
          <w:noEndnote/>
          <w:docGrid w:linePitch="326"/>
        </w:sectPr>
      </w:pPr>
    </w:p>
    <w:p w:rsidR="000A7999" w:rsidRPr="00A65EAC" w:rsidRDefault="000A7999" w:rsidP="001048D6">
      <w:pPr>
        <w:pStyle w:val="ATHeading3"/>
      </w:pPr>
      <w:bookmarkStart w:id="9" w:name="_Toc161939839"/>
      <w:r w:rsidRPr="00A65EAC">
        <w:lastRenderedPageBreak/>
        <w:t xml:space="preserve">3. </w:t>
      </w:r>
      <w:r w:rsidR="00E625DD" w:rsidRPr="00A65EAC">
        <w:t xml:space="preserve">2024 m. </w:t>
      </w:r>
      <w:r w:rsidR="00B82511" w:rsidRPr="00A65EAC">
        <w:t>balandžio</w:t>
      </w:r>
      <w:r w:rsidR="00E625DD" w:rsidRPr="00A65EAC">
        <w:t xml:space="preserve"> 11 d. Europos Parlamento </w:t>
      </w:r>
      <w:r w:rsidR="00621198" w:rsidRPr="00A65EAC">
        <w:t>rezoliucija</w:t>
      </w:r>
      <w:r w:rsidR="00B82511" w:rsidRPr="00A65EAC">
        <w:t xml:space="preserve"> </w:t>
      </w:r>
      <w:bookmarkEnd w:id="9"/>
      <w:r w:rsidRPr="00A65EAC">
        <w:t>su pastabomis, sudarančiomis neatskiriamą sprendimo dėl Europos inovacijos ir technologijos instituto (EIT) 2022 finansinių metų biudžeto įvykdymo patvirtinimo dalį</w:t>
      </w:r>
      <w:r w:rsidR="00B82511" w:rsidRPr="00A65EAC">
        <w:t xml:space="preserve"> </w:t>
      </w:r>
      <w:r w:rsidRPr="00A65EAC">
        <w:t>(2023/2154(DEC))</w:t>
      </w:r>
    </w:p>
    <w:p w:rsidR="000A7999" w:rsidRPr="00A65EAC" w:rsidRDefault="000A7999" w:rsidP="000A7999">
      <w:pPr>
        <w:pStyle w:val="EPComma"/>
      </w:pPr>
      <w:r w:rsidRPr="00A65EAC">
        <w:rPr>
          <w:i/>
        </w:rPr>
        <w:t>Europos Parlamentas</w:t>
      </w:r>
      <w:r w:rsidRPr="00A65EAC">
        <w:t>,</w:t>
      </w:r>
    </w:p>
    <w:p w:rsidR="000A7999" w:rsidRPr="00A65EAC" w:rsidRDefault="000A7999" w:rsidP="000A7999">
      <w:pPr>
        <w:pStyle w:val="NormalHanging12a"/>
      </w:pPr>
      <w:r w:rsidRPr="00A65EAC">
        <w:t>–</w:t>
      </w:r>
      <w:r w:rsidRPr="00A65EAC">
        <w:tab/>
        <w:t>atsižvelgdamas į savo sprendimą dėl Europos inovacijos ir technologijos instituto (toliau – „Institutas“) 2022 finansinių metų biudžeto įvykdymo patvirtinimo,</w:t>
      </w:r>
    </w:p>
    <w:p w:rsidR="000A7999" w:rsidRPr="00A65EAC" w:rsidRDefault="000A7999" w:rsidP="000A7999">
      <w:pPr>
        <w:pStyle w:val="NormalHanging12a"/>
      </w:pPr>
      <w:r w:rsidRPr="00A65EAC">
        <w:t>–</w:t>
      </w:r>
      <w:r w:rsidRPr="00A65EAC">
        <w:tab/>
        <w:t>atsižvelgdamas į Darbo tvarkos taisyklių 100 straipsnį ir V priedą,</w:t>
      </w:r>
    </w:p>
    <w:p w:rsidR="000A7999" w:rsidRPr="00A65EAC" w:rsidRDefault="000A7999" w:rsidP="000A7999">
      <w:pPr>
        <w:pStyle w:val="NormalHanging12a"/>
      </w:pPr>
      <w:r w:rsidRPr="00A65EAC">
        <w:t>–</w:t>
      </w:r>
      <w:r w:rsidRPr="00A65EAC">
        <w:tab/>
        <w:t>atsižvelgdamas į Biudžeto kontrolės komiteto pranešimą (A9-0132/2024),</w:t>
      </w:r>
    </w:p>
    <w:p w:rsidR="000A7999" w:rsidRPr="00A65EAC" w:rsidRDefault="000A7999" w:rsidP="000A7999">
      <w:pPr>
        <w:pStyle w:val="Default"/>
        <w:spacing w:after="240"/>
        <w:ind w:left="567" w:hanging="567"/>
        <w:rPr>
          <w:rFonts w:eastAsia="Times New Roman"/>
          <w:color w:val="auto"/>
        </w:rPr>
      </w:pPr>
      <w:r w:rsidRPr="00A65EAC">
        <w:rPr>
          <w:color w:val="auto"/>
        </w:rPr>
        <w:t>A.</w:t>
      </w:r>
      <w:r w:rsidRPr="00A65EAC">
        <w:rPr>
          <w:color w:val="auto"/>
        </w:rPr>
        <w:tab/>
        <w:t>kadangi, remiantis Fondo pajamų ir išlaidų suvestine</w:t>
      </w:r>
      <w:r w:rsidRPr="00A65EAC">
        <w:rPr>
          <w:rStyle w:val="FootnoteReference"/>
          <w:rFonts w:eastAsia="Times New Roman"/>
          <w:color w:val="auto"/>
          <w:lang w:eastAsia="en-GB"/>
        </w:rPr>
        <w:footnoteReference w:id="11"/>
      </w:r>
      <w:r w:rsidRPr="00A65EAC">
        <w:rPr>
          <w:color w:val="auto"/>
        </w:rPr>
        <w:t>, galutinis jo 2022 finansinių metų biudžetas buvo 406 585 390,99 EUR, t. y. 12,65 proc. didesnis, palyginti 2021 m.; kadangi Instituto biudžetą iš esmės sudaro lėšos, gautos iš Sąjungos biudžeto;</w:t>
      </w:r>
    </w:p>
    <w:p w:rsidR="000A7999" w:rsidRPr="00A65EAC" w:rsidRDefault="000A7999" w:rsidP="000A7999">
      <w:pPr>
        <w:spacing w:after="240"/>
        <w:ind w:left="567" w:hanging="567"/>
        <w:rPr>
          <w:szCs w:val="24"/>
        </w:rPr>
      </w:pPr>
      <w:r w:rsidRPr="00A65EAC">
        <w:t>B.</w:t>
      </w:r>
      <w:r w:rsidRPr="00A65EAC">
        <w:tab/>
        <w:t>kadangi Audito Rūmai savo ataskaitoje dėl Instituto 2022 finansinių metų metinių ataskaitų (toliau – Audito Rūmų ataskaita) nurodo, kad gavo pagrįstą patikinimą, jog Instituto metinės ataskaitos yra patikimos ir jose nurodytos operacijos yra teisėtos ir tvarkingos;</w:t>
      </w:r>
    </w:p>
    <w:p w:rsidR="000A7999" w:rsidRPr="00A65EAC" w:rsidRDefault="000A7999" w:rsidP="000A7999">
      <w:pPr>
        <w:spacing w:after="240"/>
        <w:ind w:left="567" w:hanging="567"/>
        <w:rPr>
          <w:b/>
          <w:i/>
          <w:szCs w:val="24"/>
        </w:rPr>
      </w:pPr>
      <w:r w:rsidRPr="00A65EAC">
        <w:rPr>
          <w:b/>
          <w:i/>
        </w:rPr>
        <w:t>Biudžeto ir finansų valdymas</w:t>
      </w:r>
    </w:p>
    <w:p w:rsidR="000A7999" w:rsidRPr="00A65EAC" w:rsidRDefault="000A7999" w:rsidP="000A7999">
      <w:pPr>
        <w:spacing w:after="240"/>
        <w:ind w:left="567" w:hanging="567"/>
        <w:rPr>
          <w:szCs w:val="24"/>
        </w:rPr>
      </w:pPr>
      <w:r w:rsidRPr="00A65EAC">
        <w:t>1.</w:t>
      </w:r>
      <w:r w:rsidRPr="00A65EAC">
        <w:tab/>
        <w:t>pažymi, kad 2022 finansiniais metais vykdant biudžeto stebėseną einamųjų metų įsipareigojimų asignavimų įvykdymo lygis buvo 94,03 proc., t. y. 3,88 proc. mažesnis, palyginti su 2021 m.; pažymi, kad aptariamais metais mokėjimų asignavimų panaudojimo lygis buvo 98,42 proc., t. y. 1,06 proc. mažesnis, palyginti su 2021 m.;</w:t>
      </w:r>
    </w:p>
    <w:p w:rsidR="000A7999" w:rsidRPr="00A65EAC" w:rsidRDefault="000A7999" w:rsidP="000A7999">
      <w:pPr>
        <w:spacing w:after="240"/>
        <w:ind w:left="567" w:hanging="567"/>
        <w:rPr>
          <w:szCs w:val="24"/>
        </w:rPr>
      </w:pPr>
      <w:r w:rsidRPr="00A65EAC">
        <w:t>2.</w:t>
      </w:r>
      <w:r w:rsidRPr="00A65EAC">
        <w:tab/>
        <w:t>pažymi, kad Instituto galutinio biudžeto suma gauta dėl valdybos priimto 656 930,67 EUR pakeitimo, susijusio su Instituto 2022 m. metinės darbo programos pakeitimais;</w:t>
      </w:r>
    </w:p>
    <w:p w:rsidR="000A7999" w:rsidRPr="00A65EAC" w:rsidRDefault="000A7999" w:rsidP="000A7999">
      <w:pPr>
        <w:spacing w:after="240"/>
        <w:ind w:left="567" w:hanging="567"/>
        <w:rPr>
          <w:szCs w:val="24"/>
        </w:rPr>
      </w:pPr>
      <w:r w:rsidRPr="00A65EAC">
        <w:t>3.</w:t>
      </w:r>
      <w:r w:rsidRPr="00A65EAC">
        <w:tab/>
        <w:t>susirūpinęs atkreipia dėmesį į Audito Rūmų pastabą dėl Instituto dotacijų teisėtumo ir tvarkingumo, kurią ex post patikrino nepriklausomas išorės auditorius ir kurioje nurodoma, kad klaidų lygis 2021 m. buvo 1,73 proc. (palyginti su 0,66 proc. 2020 m.), pabrėžia, kad, nors klaidų lygis vis dar nesiekia 2 proc. reikšmingumo lygio, didelė rizika, susijusi su padidintu biudžetu, įgaliojimais ir veikla pagal programą „Europos horizontas“, taip pat žinių ir inovacijų bendrijų (ŽIB) skaičiaus padidėjimas gali apsunkinti Instituto gebėjimą veiksmingai prižiūrėti ir stebėti ŽIB ir dėl to ateityje gali padidėti klaidų lygis ir padaugėti nenustatytų pažeidimų; ragina Institutą imtis konkrečių veiksmų siekiant sumažinti klaidų lygį;</w:t>
      </w:r>
    </w:p>
    <w:p w:rsidR="000A7999" w:rsidRPr="00A65EAC" w:rsidRDefault="000A7999" w:rsidP="000A7999">
      <w:pPr>
        <w:spacing w:after="240"/>
        <w:ind w:left="567" w:hanging="567"/>
        <w:rPr>
          <w:szCs w:val="24"/>
        </w:rPr>
      </w:pPr>
      <w:r w:rsidRPr="00A65EAC">
        <w:t>4.</w:t>
      </w:r>
      <w:r w:rsidRPr="00A65EAC">
        <w:tab/>
        <w:t>remdamasis Audito Rūmų ataskaita pažymi, kad 2022 m. Institutas dviem atvejais sumokėjo delspinigius už pavėluotus mokėjimus, susijusius su dotacijomis, kurių bendra suma siekė 32 070 EUR; susirūpinęs pažymi, kad abiem atvejais Institutas tinkamai neužtikrino teisės aktuose nustatytų terminų laikymosi, o tai rodo Instituto mokėjimų proceso trūkumą;</w:t>
      </w:r>
      <w:r w:rsidRPr="00A65EAC">
        <w:rPr>
          <w:rFonts w:ascii="Calibri" w:hAnsi="Calibri"/>
          <w:color w:val="000000"/>
          <w:sz w:val="22"/>
        </w:rPr>
        <w:t xml:space="preserve"> </w:t>
      </w:r>
      <w:r w:rsidRPr="00A65EAC">
        <w:t xml:space="preserve">pažymi, kad, remiantis Instituto atsakymų į Audito Rūmų pastabą, nuo 2023 m. jis peržiūrėjo savo dotacijų valdymo procesus, apmokė </w:t>
      </w:r>
      <w:r w:rsidRPr="00A65EAC">
        <w:lastRenderedPageBreak/>
        <w:t>atitinkamus darbuotojus ir naudoja Komisijos dotacijų valdymo IT sistemą („eGrants“), taip gerokai sumažindamas panašios klaidos tikimybę ateityje;</w:t>
      </w:r>
    </w:p>
    <w:p w:rsidR="000A7999" w:rsidRPr="00A65EAC" w:rsidRDefault="000A7999" w:rsidP="000A7999">
      <w:pPr>
        <w:spacing w:after="240"/>
        <w:ind w:left="567" w:hanging="567"/>
        <w:rPr>
          <w:b/>
          <w:i/>
          <w:szCs w:val="24"/>
        </w:rPr>
      </w:pPr>
      <w:r w:rsidRPr="00A65EAC">
        <w:rPr>
          <w:b/>
          <w:i/>
        </w:rPr>
        <w:t>Veiksmingumas</w:t>
      </w:r>
    </w:p>
    <w:p w:rsidR="000A7999" w:rsidRPr="00A65EAC" w:rsidRDefault="000A7999" w:rsidP="000A7999">
      <w:pPr>
        <w:autoSpaceDE w:val="0"/>
        <w:autoSpaceDN w:val="0"/>
        <w:adjustRightInd w:val="0"/>
        <w:spacing w:after="240"/>
        <w:ind w:left="567" w:hanging="567"/>
        <w:rPr>
          <w:szCs w:val="24"/>
        </w:rPr>
      </w:pPr>
      <w:r w:rsidRPr="00A65EAC">
        <w:t>5.</w:t>
      </w:r>
      <w:r w:rsidRPr="00A65EAC">
        <w:tab/>
        <w:t>su pasitenkinimu pažymi, kad Institutas naudoja pagrindinių veiklos rezultatų rodiklių (PVRR) sistemą, susijusią su operatyvine veikla, valdymu ir institucine komunikacija; taip pat pažymi, kad Institutas su tam tikrais vėlavimais įvykdė maždaug 95 proc. savo 2022 m. darbo programos; atkreipia dėmesį į tai, kad pagal Naująją Europos inovacijų darbotvarkę Institutui buvo pavesta vykdyti naują veiklą, kuri nebuvo įtraukta į pradinį planą ir šiai veiklai įgyvendinti nebuvo skirta jokių papildomų išteklių;</w:t>
      </w:r>
    </w:p>
    <w:p w:rsidR="000A7999" w:rsidRPr="00A65EAC" w:rsidRDefault="000A7999" w:rsidP="000A7999">
      <w:pPr>
        <w:autoSpaceDE w:val="0"/>
        <w:autoSpaceDN w:val="0"/>
        <w:adjustRightInd w:val="0"/>
        <w:spacing w:after="240"/>
        <w:ind w:left="567" w:hanging="567"/>
        <w:rPr>
          <w:szCs w:val="24"/>
        </w:rPr>
      </w:pPr>
      <w:r w:rsidRPr="00A65EAC">
        <w:t>6.</w:t>
      </w:r>
      <w:r w:rsidRPr="00A65EAC">
        <w:tab/>
        <w:t>palankiai vertina tai, kad 2022 m. Institutas toliau didino savo poveikį ir sudarė sąlygas pateikti rinkai beveik 1 670 novatoriškų produktų ir paslaugų, apmokyti tūkstančius verslininkų ir paremti 5 600 startuolių ir veiklą plečiančių įmonių, pritraukusių beveik 6 mlrd. EUR investicijų; taip pat pažymi, kad Institutas baigė savo integraciją į programą „Europos horizontas“, pereidamas prie daugiamečio finansavimo modelio;</w:t>
      </w:r>
    </w:p>
    <w:p w:rsidR="000A7999" w:rsidRPr="00A65EAC" w:rsidRDefault="000A7999" w:rsidP="000A7999">
      <w:pPr>
        <w:autoSpaceDE w:val="0"/>
        <w:autoSpaceDN w:val="0"/>
        <w:adjustRightInd w:val="0"/>
        <w:spacing w:after="240"/>
        <w:ind w:left="567" w:hanging="567"/>
        <w:rPr>
          <w:szCs w:val="24"/>
        </w:rPr>
      </w:pPr>
      <w:r w:rsidRPr="00A65EAC">
        <w:t>7.</w:t>
      </w:r>
      <w:r w:rsidRPr="00A65EAC">
        <w:tab/>
        <w:t>pažymi, kad Institutas padarė pažangą įgyvendindamas 2021 m. pradėtą bandomąją iniciatyvą „Inovacijų gebėjimų stiprinimas aukštojo mokslo srityje“, padidindamas aukštojo mokslo institucijų susidomėjimą ir dalyvavimą; pažymi, kad Institutas buvo pabrėžtas kaip vienas iš pagrindinių Europos inovacijų ekosistemos rėmėjų ir veikėjų, pradėjus įgyvendinti Giliųjų technologijų specialistų iniciatyvą, kuria siekiama per ateinančius trejus metus padėti įgyti įgūdžių, persikvalifikuoti ir pakelti kvalifikaciją bent vienam milijonui talentų;</w:t>
      </w:r>
    </w:p>
    <w:p w:rsidR="000A7999" w:rsidRPr="00A65EAC" w:rsidRDefault="000A7999" w:rsidP="000A7999">
      <w:pPr>
        <w:autoSpaceDE w:val="0"/>
        <w:autoSpaceDN w:val="0"/>
        <w:adjustRightInd w:val="0"/>
        <w:spacing w:after="240"/>
        <w:ind w:left="567" w:hanging="567"/>
        <w:rPr>
          <w:szCs w:val="24"/>
        </w:rPr>
      </w:pPr>
      <w:r w:rsidRPr="00A65EAC">
        <w:t>8.</w:t>
      </w:r>
      <w:r w:rsidRPr="00A65EAC">
        <w:tab/>
        <w:t>palankiai vertina tai, kad Institutas rėmė Ukrainos žmones po neteisėtos ir neišprovokuotos Rusijos invazijos 2022 m. vasario mėn., pvz., teikė pagalbą studentams, verslininkams, tyrėjams ir aukštojo mokslo įstaigoms bei įmonėms; be to, pažymi, kad Institutas įsteigė Europos baterijų aljanso akademiją pagal Sanglaudai ir Europos teritorijoms skirtą ekonomikos gaivinimo pagalbos iniciatyvą – tai pirmi iš kitos programos Institutui skiriami dideli ištekliai;</w:t>
      </w:r>
    </w:p>
    <w:p w:rsidR="000A7999" w:rsidRPr="00A65EAC" w:rsidRDefault="000A7999" w:rsidP="000A7999">
      <w:pPr>
        <w:autoSpaceDE w:val="0"/>
        <w:autoSpaceDN w:val="0"/>
        <w:adjustRightInd w:val="0"/>
        <w:spacing w:after="240"/>
        <w:ind w:left="567" w:hanging="567"/>
        <w:rPr>
          <w:b/>
          <w:i/>
          <w:szCs w:val="24"/>
        </w:rPr>
      </w:pPr>
      <w:r w:rsidRPr="00A65EAC">
        <w:rPr>
          <w:b/>
          <w:i/>
        </w:rPr>
        <w:t>Veiksmingumas ir nauda</w:t>
      </w:r>
    </w:p>
    <w:p w:rsidR="000A7999" w:rsidRPr="00A65EAC" w:rsidRDefault="000A7999" w:rsidP="000A7999">
      <w:pPr>
        <w:autoSpaceDE w:val="0"/>
        <w:autoSpaceDN w:val="0"/>
        <w:adjustRightInd w:val="0"/>
        <w:spacing w:after="240"/>
        <w:ind w:left="567" w:hanging="567"/>
        <w:rPr>
          <w:szCs w:val="24"/>
        </w:rPr>
      </w:pPr>
      <w:r w:rsidRPr="00A65EAC">
        <w:t>9.</w:t>
      </w:r>
      <w:r w:rsidRPr="00A65EAC">
        <w:tab/>
        <w:t>pažymi, kad Institutas su Europos Sąjungos teisėsaugos mokymo agentūra pasirašė susitarimo memorandumą, apimantį keletą bendrų veiksmų ir saugumo vertinimų; primena, kad bendra veikla apimamos skirtingos perspektyvos, mažinamas pastangų dubliavimas, gerinamas mokymasis ir stiprinami dalyvių santykiai; taip pat pažymi, kad Institutas, siekdamas padidinti savo veiksmingumą, 2021 m. pradėjo vykdyti perėjimą nuo programos „Horizontas 2020“ prie programos „Europos horizontas“ ir 2022 m. jį baigė bendradarbiaudamas su Europos Komisija;</w:t>
      </w:r>
    </w:p>
    <w:p w:rsidR="000A7999" w:rsidRPr="00A65EAC" w:rsidRDefault="000A7999" w:rsidP="000A7999">
      <w:pPr>
        <w:autoSpaceDE w:val="0"/>
        <w:autoSpaceDN w:val="0"/>
        <w:adjustRightInd w:val="0"/>
        <w:spacing w:after="240"/>
        <w:ind w:left="567" w:hanging="567"/>
        <w:rPr>
          <w:szCs w:val="24"/>
        </w:rPr>
      </w:pPr>
      <w:r w:rsidRPr="00A65EAC">
        <w:t>10.</w:t>
      </w:r>
      <w:r w:rsidRPr="00A65EAC">
        <w:tab/>
        <w:t>pažymi, kad Institutas patvirtino skirtingas procesų efektyvumo peržiūras, be kita ko, pakoregavo pareigybių aprašymus, personalo tikslus ir užduočių bei išteklių paskirstymą; pažymi, kad 2022 m. Institutas atliko restruktūrizaciją ir priėmė dokumentą dėl darbo metodų, be kita ko, siekdamas padidinti, pvz., e. pašto naudojimo, posėdžių ir nuotolinio darbo, veiksmingumą;</w:t>
      </w:r>
    </w:p>
    <w:p w:rsidR="000A7999" w:rsidRPr="00A65EAC" w:rsidRDefault="000A7999" w:rsidP="000A7999">
      <w:pPr>
        <w:autoSpaceDE w:val="0"/>
        <w:autoSpaceDN w:val="0"/>
        <w:adjustRightInd w:val="0"/>
        <w:spacing w:after="240"/>
        <w:ind w:left="567" w:hanging="567"/>
        <w:rPr>
          <w:szCs w:val="24"/>
        </w:rPr>
      </w:pPr>
      <w:r w:rsidRPr="00A65EAC">
        <w:t>11.</w:t>
      </w:r>
      <w:r w:rsidRPr="00A65EAC">
        <w:tab/>
        <w:t xml:space="preserve">palankiai vertina tai, kad 2022 m. pradėtos taikyti naujos IT priemonės, kuriomis remiamos Instituto administracinės operacijos, siekiant galutinio tikslo – padidinti </w:t>
      </w:r>
      <w:r w:rsidRPr="00A65EAC">
        <w:lastRenderedPageBreak/>
        <w:t xml:space="preserve">veiklos efektyvumą ir organizacijos veiksmingumą, įskaitant viešųjų pirkimų valdymo priemonę (angl. PPMT), Q-Sign (elektroninį parašą) ir įvairių Europos Komisijos žmogiškųjų išteklių valdymo informacijos </w:t>
      </w:r>
      <w:r w:rsidR="00621198" w:rsidRPr="00A65EAC">
        <w:t>sistemos</w:t>
      </w:r>
      <w:r w:rsidRPr="00A65EAC">
        <w:t xml:space="preserve"> (SYSPER) modulių įdiegimą; ragina Institutą rasti daugiau vidaus procedūrų, kurias būtų galima supaprastinti naudojant naujas IT priemones;</w:t>
      </w:r>
    </w:p>
    <w:p w:rsidR="000A7999" w:rsidRPr="00A65EAC" w:rsidRDefault="000A7999" w:rsidP="000A7999">
      <w:pPr>
        <w:pStyle w:val="NormalHanging12a"/>
      </w:pPr>
      <w:r w:rsidRPr="00A65EAC">
        <w:t>12.</w:t>
      </w:r>
      <w:r w:rsidRPr="00A65EAC">
        <w:tab/>
        <w:t>primena, kad svarbu didinti Instituto skaitmeninimą ne tik vidaus operacijų ir valdymo tikslais, bet ir siekiant paspartinti procedūrų skaitmeninimą; pabrėžia, kad Institutas turi ir toliau iniciatyviai veikti šioje srityje, kad bet būtų išvengta skaitmeninio atotrūkio tarp Sąjungos agentūrų; vis dėlto atkreipia dėmesį į tai, kad reikia imtis visų būtinų saugumo priemonių, kad būtų išvengta bet kokio pavojaus tvarkomos informacijos saugumui internete; primygtinai atkreipia dėmesį į būtinybę sustiprinti kovą su kibernetiniais išpuoliais ar bandymais įsiskverbti, visų pirma iš Rusijos ar Kinijos;</w:t>
      </w:r>
    </w:p>
    <w:p w:rsidR="000A7999" w:rsidRPr="00A65EAC" w:rsidRDefault="000A7999" w:rsidP="000A7999">
      <w:pPr>
        <w:spacing w:after="240"/>
        <w:ind w:left="567" w:hanging="567"/>
        <w:rPr>
          <w:szCs w:val="24"/>
        </w:rPr>
      </w:pPr>
      <w:r w:rsidRPr="00A65EAC">
        <w:rPr>
          <w:b/>
          <w:i/>
        </w:rPr>
        <w:t>Personalo politika</w:t>
      </w:r>
    </w:p>
    <w:p w:rsidR="000A7999" w:rsidRPr="00A65EAC" w:rsidRDefault="000A7999" w:rsidP="000A7999">
      <w:pPr>
        <w:autoSpaceDE w:val="0"/>
        <w:autoSpaceDN w:val="0"/>
        <w:adjustRightInd w:val="0"/>
        <w:spacing w:after="240"/>
        <w:ind w:left="567" w:hanging="567"/>
        <w:rPr>
          <w:szCs w:val="24"/>
        </w:rPr>
      </w:pPr>
      <w:r w:rsidRPr="00A65EAC">
        <w:t>13.</w:t>
      </w:r>
      <w:r w:rsidRPr="00A65EAC">
        <w:tab/>
        <w:t>pažymi, kad 2022 m. gruodžio 31 d. etatų planas buvo įgyvendintas 93 proc.: paskirti 40 iš 45 laikinųjų darbuotojų, patvirtintų pagal Sąjungos biudžetą (patvirtintų pareigybių skaičius toks pat, kaip ir 2021 m.); pažymi, kad 2022 m. Institute taip pat dirbo 25 sutartininkai, 10 laikinųjų darbuotojų ir vienas deleguotasis nacionalinis ekspertas;</w:t>
      </w:r>
    </w:p>
    <w:p w:rsidR="000A7999" w:rsidRPr="00A65EAC" w:rsidRDefault="000A7999" w:rsidP="000A7999">
      <w:pPr>
        <w:autoSpaceDE w:val="0"/>
        <w:autoSpaceDN w:val="0"/>
        <w:adjustRightInd w:val="0"/>
        <w:spacing w:after="240"/>
        <w:ind w:left="567" w:hanging="567"/>
        <w:rPr>
          <w:bCs/>
          <w:szCs w:val="24"/>
        </w:rPr>
      </w:pPr>
      <w:r w:rsidRPr="00A65EAC">
        <w:t>14.</w:t>
      </w:r>
      <w:r w:rsidRPr="00A65EAC">
        <w:tab/>
        <w:t>yra susirūpinęs dėl to, kad nuolatinis Instituto darbuotojų trūkumas, kaip pabrėžė Audito Rūmai savo metinėse ataskaitose, nebuvo kompensuotas papildomais etatais; pabrėžia, kad 2023 m. pradžioje Institutas pakartojo savo prašymą priimti 10 papildomų darbuotojų pareigybių, kas leistų jam įgyvendinti savo 2024 m. darbo programą; atkreipia dėmesį, kad Instituto išteklius reikia suderinti su lūkesčiais, susijusiais su jo įgaliojimais;</w:t>
      </w:r>
    </w:p>
    <w:p w:rsidR="000A7999" w:rsidRPr="00A65EAC" w:rsidRDefault="000A7999" w:rsidP="000A7999">
      <w:pPr>
        <w:autoSpaceDE w:val="0"/>
        <w:autoSpaceDN w:val="0"/>
        <w:adjustRightInd w:val="0"/>
        <w:spacing w:after="240"/>
        <w:ind w:left="567" w:hanging="567"/>
        <w:rPr>
          <w:szCs w:val="24"/>
        </w:rPr>
      </w:pPr>
      <w:r w:rsidRPr="00A65EAC">
        <w:t>15.</w:t>
      </w:r>
      <w:r w:rsidRPr="00A65EAC">
        <w:tab/>
        <w:t>atkreipia dėmesį į Instituto vyresniosios ir vidurinės grandies vadovybės postų pasiskirstymą pagal lytį: iš 8 darbuotojų 5 yra vyrai; yra susirūpinęs dėl lyčių pusiausvyros valdyboje: 9 iš 14 darbuotojų yra vyrai; atkreipia dėmesį, kad iš visų 65 Institucijos darbuotojų 28 yra vyrai; pažymi, kad Instituto lyčių lygybės politika ir veiksmų planas buvo patvirtinti 2022 m.; primena, kad svarbu užtikrinti lyčių pusiausvyrą, ir ragina Institutą atsižvelgti į šį aspektą ateityje įdarbinant darbuotojus ir skiriant vyresniosios ir vidurinės grandies vadovus; prašo Komisijos atsižvelgti į tai, kad svarbu užtikrinti lyčių pusiausvyrą skiriant narius į Instituto valdybą;</w:t>
      </w:r>
    </w:p>
    <w:p w:rsidR="000A7999" w:rsidRPr="00A65EAC" w:rsidRDefault="000A7999" w:rsidP="000A7999">
      <w:pPr>
        <w:pStyle w:val="NormalHanging12a"/>
      </w:pPr>
      <w:r w:rsidRPr="00A65EAC">
        <w:t>16.</w:t>
      </w:r>
      <w:r w:rsidRPr="00A65EAC">
        <w:tab/>
        <w:t>reiškia susirūpinimą dėl geografinės pusiausvyros Instituto vyresniosios ir vidurinės grandies vadovybėje, kurioje yra tik vienas vadovaujantis darbuotojas iš Vidurio ir Rytų Europos; primygtinai tvirtina, kad reikia atlikti patobulinimus; ragina Institutą pateikti paaiškinimą šiuo klausimu biudžeto įvykdymą tvirtinančiai institucijai;</w:t>
      </w:r>
    </w:p>
    <w:p w:rsidR="000A7999" w:rsidRPr="00A65EAC" w:rsidRDefault="000A7999" w:rsidP="000A7999">
      <w:pPr>
        <w:autoSpaceDE w:val="0"/>
        <w:autoSpaceDN w:val="0"/>
        <w:adjustRightInd w:val="0"/>
        <w:spacing w:after="240"/>
        <w:ind w:left="567" w:hanging="567"/>
        <w:rPr>
          <w:szCs w:val="24"/>
        </w:rPr>
      </w:pPr>
      <w:r w:rsidRPr="00A65EAC">
        <w:t>17.</w:t>
      </w:r>
      <w:r w:rsidRPr="00A65EAC">
        <w:tab/>
        <w:t>palankiai vertina Instituto iniciatyvas, kuriomis siekiama stiprinti lyčių pusiausvyros svarbą, pvz., programą „Girls Go Circular“ mokyklų lygmeniu ir projektą „Supernovas“, skatinantį moterų verslumą ir lyderystę; be to, pažymi, kad 2023 m. Institutas priėmė ES agentūrų tinklo įvairovės ir įtraukties chartiją, patvirtindamas savo įsipareigojimą užtikrinti lygias galimybes visais karjeros etapais ir įgalinti darbo aplinką, kurioje įvairovė būtų laikoma inovacijų, praturtinimo ir kūrybiškumo šaltiniu ir kurioje įtrauktį skatintų vadovai ir visi darbuotojai;</w:t>
      </w:r>
    </w:p>
    <w:p w:rsidR="000A7999" w:rsidRPr="00A65EAC" w:rsidRDefault="000A7999" w:rsidP="000A7999">
      <w:pPr>
        <w:autoSpaceDE w:val="0"/>
        <w:autoSpaceDN w:val="0"/>
        <w:adjustRightInd w:val="0"/>
        <w:spacing w:after="240"/>
        <w:ind w:left="567" w:hanging="567"/>
        <w:rPr>
          <w:szCs w:val="24"/>
        </w:rPr>
      </w:pPr>
      <w:r w:rsidRPr="00A65EAC">
        <w:t>18</w:t>
      </w:r>
      <w:r w:rsidR="004C54FF">
        <w:t>.</w:t>
      </w:r>
      <w:r w:rsidRPr="00A65EAC">
        <w:tab/>
        <w:t xml:space="preserve">pažymi, kad Institutas įgyvendino daugumą SYSPER modulių 2022 m. ir šį </w:t>
      </w:r>
      <w:r w:rsidRPr="00A65EAC">
        <w:lastRenderedPageBreak/>
        <w:t>įgyvendinimą tęs toliau 2023 m.; pažymi, kad Institutas priėmė Europos Sąjungos agentūrų tinklo įvairovės ir įtraukties chartiją, taip parodydamas įsipareigojimą užtikrinti lygias galimybes ir pagerinti darbo aplinką; taip pat pažymi, kad Institutas nustatė keletą priemonių, kuriomis siekiama pagerinti darbuotojų gerovę bei profesinio ir asmeninio gyvenimo pusiausvyrą, apimančių, be kita ko, viešojo transporto išlaidas, jų vaikų priėmimą į tarptautinius vaikų darželius, lanksčias ir mišrias darbo sąlygas;</w:t>
      </w:r>
    </w:p>
    <w:p w:rsidR="000A7999" w:rsidRPr="00A65EAC" w:rsidRDefault="000A7999" w:rsidP="000A7999">
      <w:pPr>
        <w:pStyle w:val="NormalHanging12a"/>
      </w:pPr>
      <w:r w:rsidRPr="00A65EAC">
        <w:t>19.</w:t>
      </w:r>
      <w:r w:rsidRPr="00A65EAC">
        <w:tab/>
        <w:t>pažymi, kad pagal mokymo programą, kuri buvo parengta atsižvelgiant į Instituto ir jo darbuotojų poreikį gerinti bendrus veiklos rezultatus, Institutas toliau internetu rengė mokymus savo darbuotojams, be kita ko, apie etiką ir sąžiningumą, priekabiavimo prevenciją, duomenų apsaugą, mišrių posėdžių veiksmingumą, informuotumą apie IT saugumą ir saugumo mokymus;</w:t>
      </w:r>
    </w:p>
    <w:p w:rsidR="000A7999" w:rsidRPr="00A65EAC" w:rsidRDefault="000A7999" w:rsidP="000A7999">
      <w:pPr>
        <w:pStyle w:val="NormalHanging12a"/>
      </w:pPr>
      <w:r w:rsidRPr="00A65EAC">
        <w:t>20.</w:t>
      </w:r>
      <w:r w:rsidRPr="00A65EAC">
        <w:tab/>
        <w:t>palankiai vertina tai, kad 2022 m. sėkmingai paskelbti du kvietimai teikti paraiškas dėl stažuočių; pažymi, kad dėl to 2022 m. stažuotes Institute iš viso atliko (pradėjo arba baigė) 23 jauni specialistai;</w:t>
      </w:r>
    </w:p>
    <w:p w:rsidR="000A7999" w:rsidRPr="00A65EAC" w:rsidRDefault="000A7999" w:rsidP="000A7999">
      <w:pPr>
        <w:autoSpaceDE w:val="0"/>
        <w:autoSpaceDN w:val="0"/>
        <w:adjustRightInd w:val="0"/>
        <w:spacing w:after="240"/>
        <w:ind w:left="567" w:hanging="567"/>
        <w:rPr>
          <w:szCs w:val="24"/>
        </w:rPr>
      </w:pPr>
      <w:r w:rsidRPr="00A65EAC">
        <w:t>21.</w:t>
      </w:r>
      <w:r w:rsidRPr="00A65EAC">
        <w:tab/>
        <w:t>pažymi, kad vienas buvęs Komisijos narys ir vienas buvęs Europos Parlamento narys, kaip valdybos nariai, gauna 2 000 EUR honorarus už kiekvieną valdybos posėdį, kuriame jie sudalyvauja, ir tas honoraras jiems mokamas iš Instituto biudžeto;</w:t>
      </w:r>
    </w:p>
    <w:p w:rsidR="000A7999" w:rsidRPr="00A65EAC" w:rsidRDefault="000A7999" w:rsidP="000A7999">
      <w:pPr>
        <w:pStyle w:val="NormalHanging12a"/>
      </w:pPr>
      <w:r w:rsidRPr="00A65EAC">
        <w:t>22.</w:t>
      </w:r>
      <w:r w:rsidRPr="00A65EAC">
        <w:tab/>
        <w:t>yra susirūpinęs, kad 2022 m. buvo pranešta apie vieną priekabiavimo atvejį ir pradėtas ir tebevykdomas administracinis tyrimas; ragina Institutą pranešti biudžeto įvykdymą tvirtinančiai institucijai apie visus pokyčius šioje srityje; pažymi, kad Institutas vykdo asmens orumo apsaugos ir psichologinio bei seksualinio priekabiavimo prevencijos politiką, ir priklauso konfidencialių patarėjų tarpžinybinei darbo grupei; laukia jų ataskaitos ir rekomendacijų;</w:t>
      </w:r>
    </w:p>
    <w:p w:rsidR="000A7999" w:rsidRPr="00A65EAC" w:rsidRDefault="000A7999" w:rsidP="000A7999">
      <w:pPr>
        <w:spacing w:after="240"/>
        <w:ind w:left="567" w:hanging="567"/>
        <w:rPr>
          <w:b/>
          <w:i/>
          <w:szCs w:val="24"/>
        </w:rPr>
      </w:pPr>
      <w:r w:rsidRPr="00A65EAC">
        <w:rPr>
          <w:b/>
          <w:i/>
        </w:rPr>
        <w:t>Interesų konfliktų prevencija ir valdymas, taip pat skaidrumas</w:t>
      </w:r>
    </w:p>
    <w:p w:rsidR="000A7999" w:rsidRPr="00A65EAC" w:rsidRDefault="000A7999" w:rsidP="000A7999">
      <w:pPr>
        <w:spacing w:after="240"/>
        <w:ind w:left="567" w:hanging="567"/>
        <w:rPr>
          <w:szCs w:val="24"/>
        </w:rPr>
      </w:pPr>
      <w:r w:rsidRPr="00A65EAC">
        <w:t>23.</w:t>
      </w:r>
      <w:r w:rsidRPr="00A65EAC">
        <w:tab/>
        <w:t>pripažįsta esamas Instituto priemones ir nuolatines pastangas užtikrinti skaidrumą, interesų konfliktų prevenciją ir valdymą bei informatorių apsaugą; pažymi, kad Institutas savo interneto svetainėje paskelbė savo valdybos ir vadovybės narių interesų deklaracijas ir gyvenimo aprašymus;</w:t>
      </w:r>
      <w:r w:rsidRPr="00A65EAC">
        <w:rPr>
          <w:rFonts w:ascii="Calibri" w:hAnsi="Calibri"/>
          <w:color w:val="1F497D"/>
          <w:sz w:val="22"/>
        </w:rPr>
        <w:t xml:space="preserve"> </w:t>
      </w:r>
      <w:r w:rsidRPr="00A65EAC">
        <w:t>be to, pažymi, kad Institutas savo interneto svetainėje skelbia informaciją apie visus per mėnesį surengtus valdybos ir vadovybės komandos narių posėdžius, vykusius per viešuosius renginius, taip pat apie viešuosius posėdžius;</w:t>
      </w:r>
    </w:p>
    <w:p w:rsidR="000A7999" w:rsidRPr="00A65EAC" w:rsidRDefault="000A7999" w:rsidP="000A7999">
      <w:pPr>
        <w:spacing w:after="240"/>
        <w:ind w:left="567" w:hanging="567"/>
        <w:rPr>
          <w:szCs w:val="24"/>
        </w:rPr>
      </w:pPr>
      <w:r w:rsidRPr="00A65EAC">
        <w:t>24.</w:t>
      </w:r>
      <w:r w:rsidRPr="00A65EAC">
        <w:tab/>
        <w:t>pažymi, kad Institutas patvirtino darbuotojų interesų konfliktų prevencijos ir valdymo politiką, įskaitant metinių interesų deklaracijų išdavimo ir vertinimo procedūras ir procedūrą, kuria reglamentuojamas Instituto interesų deklaravimo taisyklių pažeidimas; taip pat pažymi, kad Institutas įsteigė Konfliktų ir patariamąjį komitetą, surengė informuotumo didinimo sesijų etikos ir sąžiningumo klausimais ir rengia sprendimą dėl interesų konfliktų šablonų ir administracinių procedūrų;</w:t>
      </w:r>
    </w:p>
    <w:p w:rsidR="000A7999" w:rsidRPr="00A65EAC" w:rsidRDefault="000A7999" w:rsidP="000A7999">
      <w:pPr>
        <w:spacing w:after="240"/>
        <w:ind w:left="567" w:hanging="567"/>
        <w:rPr>
          <w:szCs w:val="24"/>
        </w:rPr>
      </w:pPr>
      <w:r w:rsidRPr="00A65EAC">
        <w:t>25.</w:t>
      </w:r>
      <w:r w:rsidRPr="00A65EAC">
        <w:tab/>
        <w:t>palankiai vertina Instituto pastangas, susijusias su jo valdybos narių interesų deklaracijomis, kurios apima trijų skirtingų deklaracijų teikimą: metinę interesų deklaraciją, interesų deklaraciją dėl ŽIB pasiūlymų vertinimo ir interesų deklaraciją dėl ŽIB veiklos plano; pažymi, kad metinėje interesų deklaracijoje buvo nustatyti kai kurių valdybos narių interesų konflikto atvejai, jie buvo apie tai informuoti ir buvo nustatyta rizikos mažinimo priemonė;</w:t>
      </w:r>
    </w:p>
    <w:p w:rsidR="000A7999" w:rsidRPr="00A65EAC" w:rsidRDefault="000A7999" w:rsidP="000A7999">
      <w:pPr>
        <w:spacing w:after="240"/>
        <w:ind w:left="567" w:hanging="567"/>
        <w:rPr>
          <w:szCs w:val="24"/>
        </w:rPr>
      </w:pPr>
      <w:r w:rsidRPr="00A65EAC">
        <w:lastRenderedPageBreak/>
        <w:t>26.</w:t>
      </w:r>
      <w:r w:rsidRPr="00A65EAC">
        <w:tab/>
        <w:t>pažymi, kad Institutas rengia naują politiką, kurios tikslas bus įvertinti apribojimus ir draudimus vyresniesiems darbuotojams eiti tam tikras pareigas pasibaigus kadencijai; atkreipia dėmesį į tai, kad politikoje bus nurodytos pareigos, kurias draudžiama užimti pasibaigus kadencijai, taip pat kriterijai, kuriais remiantis šis draudimas bus taikomas ateityje, nustatant dvejų metų apribojimą; palankiai vertina tai, kad 2024 m. pradžioje Institutas taip pat priims korupcijos politiką arba sprendimą, kuriuo bus sukurtas pagrindas įgyvendintiniems vidaus kovos su korupcija mechanizmams plėtoti;</w:t>
      </w:r>
    </w:p>
    <w:p w:rsidR="000A7999" w:rsidRPr="00A65EAC" w:rsidRDefault="000A7999" w:rsidP="000A7999">
      <w:pPr>
        <w:pStyle w:val="NormalHanging12a"/>
        <w:rPr>
          <w:b/>
          <w:i/>
        </w:rPr>
      </w:pPr>
      <w:r w:rsidRPr="00A65EAC">
        <w:t>27.</w:t>
      </w:r>
      <w:r w:rsidRPr="00A65EAC">
        <w:tab/>
        <w:t>atkreipia dėmesį į tai, kad po dviejų skirtingų tyrimų OLAF pateikė dvi rekomendacijas, viena iš dviejų rekomendacijų įgyvendinta 2022 m., o kita įgyvendinama šiuo metu; prašo Instituto informuoti biudžeto įvykdymą tvirtinančią instituciją apie tolesnius veiksmus, susijusius su šiomis rekomendacijomis;</w:t>
      </w:r>
    </w:p>
    <w:p w:rsidR="000A7999" w:rsidRPr="00A65EAC" w:rsidRDefault="000A7999" w:rsidP="000A7999">
      <w:pPr>
        <w:pStyle w:val="NormalHanging12a"/>
      </w:pPr>
      <w:r w:rsidRPr="00A65EAC">
        <w:t>28.</w:t>
      </w:r>
      <w:r w:rsidRPr="00A65EAC">
        <w:tab/>
        <w:t>primena, kad Institutui svarbu didinti matomumą žiniasklaidoje, internete ir socialinėje žiniasklaidoje, siekiant su savo darbu supažindinti visuomenę;</w:t>
      </w:r>
    </w:p>
    <w:p w:rsidR="000A7999" w:rsidRPr="00A65EAC" w:rsidRDefault="000A7999" w:rsidP="000A7999">
      <w:pPr>
        <w:spacing w:after="240"/>
        <w:ind w:left="567" w:hanging="567"/>
        <w:rPr>
          <w:b/>
          <w:i/>
          <w:szCs w:val="24"/>
        </w:rPr>
      </w:pPr>
      <w:r w:rsidRPr="00A65EAC">
        <w:rPr>
          <w:b/>
          <w:i/>
        </w:rPr>
        <w:t>Viešieji pirkimai</w:t>
      </w:r>
    </w:p>
    <w:p w:rsidR="000A7999" w:rsidRPr="00A65EAC" w:rsidRDefault="000A7999" w:rsidP="000A7999">
      <w:pPr>
        <w:spacing w:after="240"/>
        <w:ind w:left="567" w:hanging="567"/>
        <w:rPr>
          <w:szCs w:val="24"/>
        </w:rPr>
      </w:pPr>
      <w:r w:rsidRPr="00A65EAC">
        <w:t>29.</w:t>
      </w:r>
      <w:r w:rsidRPr="00A65EAC">
        <w:tab/>
        <w:t>pažymi, kad dėl trijų audituotų administracinių mokėjimų, kurių vertė – 337 116 eurų, Institutas leido patvirtinti biudžetinius įsipareigojimus tik po to, kai buvo pasirašyti susiję teisiniai įsipareigojimai; pabrėžia, kad tai nėra pavienis atvejis – Audito Rūmai jau yra aptarę panašų incidentą savo 2021 m. ataskaitoje; primena, kad tai prieštarauja Komisijos deleguotojo reglamento (ES) 2019/715</w:t>
      </w:r>
      <w:r w:rsidRPr="00A65EAC">
        <w:rPr>
          <w:rStyle w:val="FootnoteReference"/>
          <w:szCs w:val="24"/>
        </w:rPr>
        <w:footnoteReference w:id="12"/>
      </w:r>
      <w:r w:rsidRPr="00A65EAC">
        <w:t xml:space="preserve"> (finansinio pagrindų reglamento) 73 straipsnio 2 daliai; susipažinęs su Instituto atsakymu, pažymi, kad jis imsis papildomų priemonių, kad užtikrintų visišką atitiktį tai nuostatai, t. y. surengs specialias darbuotojų informavimo sesijas, atnaujins galiojančias procedūras ir sustiprins reikiamas vidaus kontrolės priemones; ragina Institutą nedelsiant imtis veiksmų ir įgyvendinti priemones, kuriomis būtų užtikrinta, kad visi finansiniai sandoriai atitinka finansinį pagrindų reglamentą;</w:t>
      </w:r>
    </w:p>
    <w:p w:rsidR="000A7999" w:rsidRPr="00A65EAC" w:rsidRDefault="000A7999" w:rsidP="000A7999">
      <w:pPr>
        <w:spacing w:after="240"/>
        <w:ind w:left="567" w:hanging="567"/>
        <w:rPr>
          <w:b/>
          <w:i/>
          <w:szCs w:val="24"/>
        </w:rPr>
      </w:pPr>
      <w:r w:rsidRPr="00A65EAC">
        <w:rPr>
          <w:b/>
          <w:i/>
        </w:rPr>
        <w:t>Vidaus kontrolė</w:t>
      </w:r>
    </w:p>
    <w:p w:rsidR="000A7999" w:rsidRPr="00A65EAC" w:rsidRDefault="000A7999" w:rsidP="000A7999">
      <w:pPr>
        <w:spacing w:after="240"/>
        <w:ind w:left="567" w:hanging="567"/>
        <w:rPr>
          <w:szCs w:val="24"/>
        </w:rPr>
      </w:pPr>
      <w:r w:rsidRPr="00A65EAC">
        <w:t>30.</w:t>
      </w:r>
      <w:r w:rsidRPr="00A65EAC">
        <w:tab/>
        <w:t>pažymi, kad Institutas baigė vykdyti vidaus audito funkcijos pakeitimą ŽIB stebėsenos ir priežiūros funkcija, patvirtinta valdybos sprendimu Nr. 12/2022, kuris įsigaliojo 2022 m. balandžio 1 d.; pripažįsta, kad vidaus audito funkciją dabar atlieka Komisijos vidaus audito tarnyba (VAT); be to, pažymi, kad buvo sustiprintas vidaus kontrolės koordinatoriaus vaidmuo, kurio užduotys apima, be kita ko, vidaus kontrolės veiklos koordinavimą ir ataskaitų teikimą Institute, audito rekomendacijų įgyvendinimą, auditų koordinavimą, ryšių su išorės audito įstaigomis palaikymą ir indėlį į finansų ir veiklos valdymą tokiose srityse kaip viešieji pirkimai, sutarčių vykdymas, mokėjimai ir ataskaitų teikimas;</w:t>
      </w:r>
    </w:p>
    <w:p w:rsidR="000A7999" w:rsidRPr="00A65EAC" w:rsidRDefault="000A7999" w:rsidP="000A7999">
      <w:pPr>
        <w:spacing w:after="240"/>
        <w:ind w:left="567" w:hanging="567"/>
        <w:rPr>
          <w:szCs w:val="24"/>
        </w:rPr>
      </w:pPr>
      <w:r w:rsidRPr="00A65EAC">
        <w:t>31</w:t>
      </w:r>
      <w:r w:rsidR="004C54FF">
        <w:t>.</w:t>
      </w:r>
      <w:r w:rsidRPr="00A65EAC">
        <w:tab/>
        <w:t>pažymi, kad VAT 2022 m. pradėjo rengti Instituto 2023–2025 m. strateginį vidaus audito pl</w:t>
      </w:r>
      <w:bookmarkStart w:id="10" w:name="_GoBack"/>
      <w:bookmarkEnd w:id="10"/>
      <w:r w:rsidRPr="00A65EAC">
        <w:t>aną; be to, pažymi, kad VAT pradėjo 2023 m. nustatytą Instituto ekspertų valdymo auditą, kad įvertintų ekspertų valdymo procesų, įskaitant atranką, sutarčių sudarymą ir mokėjimus Institute, vidaus kontrolės sistemos veiksmingumą;</w:t>
      </w:r>
    </w:p>
    <w:p w:rsidR="000A7999" w:rsidRPr="00A65EAC" w:rsidRDefault="000A7999" w:rsidP="000A7999">
      <w:pPr>
        <w:spacing w:after="240"/>
        <w:ind w:left="567" w:hanging="567"/>
        <w:rPr>
          <w:szCs w:val="24"/>
        </w:rPr>
      </w:pPr>
      <w:r w:rsidRPr="00A65EAC">
        <w:lastRenderedPageBreak/>
        <w:t>32.</w:t>
      </w:r>
      <w:r w:rsidRPr="00A65EAC">
        <w:tab/>
        <w:t>atkreipia dėmesį į tai, kad po 2021 m. žmogiškųjų išteklių valdymo audito VAT pateiktos svarbios rekomendacijos, visų pirma susijusios su rezultatų įvertinimo ir perklasifikavimo procesu, vykdymas buvo gerokai atidėtas – 15 mėnesių; pažymi, kad nustatyta rizika apėmė galimus vėlavimus ir neveiksmingumą vykdant šį procesą, galimybę priimti netinkamai pagrįstus valdymo sprendimus, dėl kurių gali kilti sunkumų vykdant peržiūros procedūras arba Audito Rūmų atžvilgiu, darbuotojų nepasitenkinimą ir motyvaciją, susirūpinimą dėl to, kad Jungtinis perklasifikavimo komitetas neatlieka savo vaidmens, ir apskritai prarastą patikimumą, susijusį su perklasifikavimo procesu ir peržiūros mechanizmu, sumažinusį darbuotojų motyvaciją; ragina Institutą imtis proaktyvių priemonių siekiant spręsti galimo vėlavimo ir neveiksmingumo atliekant rezultatų įvertinimą ir perklasifikavimą problemą ir informuoti biudžeto įvykdymą tvirtinančią instituciją apie pažangą šioje srityje;</w:t>
      </w:r>
    </w:p>
    <w:p w:rsidR="000A7999" w:rsidRPr="00A65EAC" w:rsidRDefault="000A7999" w:rsidP="000A7999">
      <w:pPr>
        <w:spacing w:after="240"/>
        <w:ind w:left="567" w:hanging="567"/>
        <w:rPr>
          <w:szCs w:val="24"/>
        </w:rPr>
      </w:pPr>
      <w:r w:rsidRPr="00A65EAC">
        <w:t>33.</w:t>
      </w:r>
      <w:r w:rsidRPr="00A65EAC">
        <w:tab/>
        <w:t>pažymi, kad Institutas, surengdamas dvišalių susitikimų ir informuotumo apie kovą su sukčiavimu sesijų, sustiprino ryšius su OLAF; taip pat pažymi, kad Institutas parengė 2021–2023 m. kovos su sukčiavimu strategiją, priimtą 2021 m. gegužės mėn.;</w:t>
      </w:r>
    </w:p>
    <w:p w:rsidR="000A7999" w:rsidRPr="00A65EAC" w:rsidRDefault="000A7999" w:rsidP="000A7999">
      <w:pPr>
        <w:spacing w:after="240"/>
        <w:ind w:left="567" w:hanging="567"/>
        <w:rPr>
          <w:szCs w:val="24"/>
        </w:rPr>
      </w:pPr>
      <w:r w:rsidRPr="00A65EAC">
        <w:t>34.</w:t>
      </w:r>
      <w:r w:rsidRPr="00A65EAC">
        <w:tab/>
        <w:t>pažymi, kad Institutas atliko rizikos vertinimą ir įtraukė į savo 2022 m. rizikos registrą šią riziką: metinės darbo programos elementų neįgyvendinimas dėl nepakankamų žmogiškųjų išteklių, netinkamas ŽIB susitarimų įgyvendinimas, vėlavimas vykdyti Instituto viešųjų pirkimų procedūras ir prisijungti prie Komisijos IT sistemų; ragina Institutą pranešti biudžeto įvykdymą tvirtinančiai institucijai apie visus pokyčius šioje srityje;</w:t>
      </w:r>
    </w:p>
    <w:p w:rsidR="000A7999" w:rsidRPr="00A65EAC" w:rsidRDefault="000A7999" w:rsidP="000A7999">
      <w:pPr>
        <w:spacing w:after="240"/>
        <w:ind w:left="567" w:hanging="567"/>
        <w:rPr>
          <w:szCs w:val="24"/>
        </w:rPr>
      </w:pPr>
      <w:r w:rsidRPr="00A65EAC">
        <w:t>35.</w:t>
      </w:r>
      <w:r w:rsidRPr="00A65EAC">
        <w:tab/>
        <w:t xml:space="preserve">remdamasis Audito Rūmų ataskaita pažymi, kad, kalbant apie programinės įrangos atnaujinimo užsakymą, Institutas neatliko ex ante patikrinimo, kad patvirtintų, jog rangovas taikė teisingą kainą ir antkainį, kaip nustatyta taikytinoje preliminariojoje sutartyje; pažymi, kad tai prieštarauja finansinio reglamento 30 straipsnio nuostatoms dėl </w:t>
      </w:r>
      <w:r w:rsidRPr="00A65EAC">
        <w:rPr>
          <w:i/>
          <w:iCs/>
        </w:rPr>
        <w:t>ex ante</w:t>
      </w:r>
      <w:r w:rsidRPr="00A65EAC">
        <w:t xml:space="preserve"> kontrolės ir kelia riziką, kad Institutas už gautas paslaugas sumokės neteisingas sumas; pažymi, kad, remiantis Instituto atsakymu, prašydamas pateikti pasiūlymą, jis reikalaus, kad rangovas pateiktų informaciją, kurioje būtų aiškiai nurodyta kaina ir antkainis, kad būtų galima įvertinti bet kokią su kaina susijusią riziką;</w:t>
      </w:r>
    </w:p>
    <w:p w:rsidR="000A7999" w:rsidRPr="00A65EAC" w:rsidRDefault="000A7999" w:rsidP="000A7999">
      <w:pPr>
        <w:autoSpaceDE w:val="0"/>
        <w:autoSpaceDN w:val="0"/>
        <w:adjustRightInd w:val="0"/>
        <w:spacing w:after="240"/>
        <w:ind w:left="567" w:hanging="567"/>
        <w:rPr>
          <w:b/>
          <w:i/>
          <w:szCs w:val="24"/>
        </w:rPr>
      </w:pPr>
      <w:r w:rsidRPr="00A65EAC">
        <w:rPr>
          <w:b/>
          <w:i/>
        </w:rPr>
        <w:t>Kitos pastabos</w:t>
      </w:r>
    </w:p>
    <w:p w:rsidR="000A7999" w:rsidRPr="00A65EAC" w:rsidRDefault="000A7999" w:rsidP="000A7999">
      <w:pPr>
        <w:spacing w:after="240"/>
        <w:ind w:left="567" w:hanging="567"/>
        <w:rPr>
          <w:szCs w:val="24"/>
        </w:rPr>
      </w:pPr>
      <w:r w:rsidRPr="00A65EAC">
        <w:t>36.</w:t>
      </w:r>
      <w:r w:rsidRPr="00A65EAC">
        <w:tab/>
        <w:t>pažymi, kad 2022 m. Institutas surengė renginių, kad padidintų savo matomumą visose valstybėse narėse ir Sąjungoje, taip pat atvirų durų dienas, siekdamas informuoti potencialius kandidatus apie Instituto teikiamas galimybes; be to, pažymi, kad Institutas taip pat pradėjo įgyvendinti Giliųjų technologijų specialistų iniciatyvą, kuri yra Naujosios Europos inovacijų darbotvarkės dalis ir kuri padės ateityje ugdyti piliečių įgūdžius technologijų srityse;</w:t>
      </w:r>
    </w:p>
    <w:p w:rsidR="000A7999" w:rsidRPr="00A65EAC" w:rsidRDefault="000A7999" w:rsidP="000A7999">
      <w:pPr>
        <w:spacing w:after="240"/>
        <w:ind w:left="567" w:hanging="567"/>
        <w:rPr>
          <w:szCs w:val="24"/>
        </w:rPr>
      </w:pPr>
      <w:r w:rsidRPr="00A65EAC">
        <w:t>37.</w:t>
      </w:r>
      <w:r w:rsidRPr="00A65EAC">
        <w:tab/>
        <w:t>pažymi, kad Institutas siekia tapti neutralaus poveikio klimatui agentūra, kuri imasi būtinų veiksmų aplinkos valdymo srityje; pažymi, kad Institutas yra didžiausia Sąjungos inovacijų ekosistema ir pagrindinė programos „Europos horizontas“ priemonė klimato kaitos ir susijusioms problemoms spręsti; palankiai vertina Instituto veiksmus 2022 m. siekiant savo aplinkosaugos tikslų: įsteigti tvarumo komitetą, tapti ES agentūrų tinklo žalinimo potinklio nariu ir surengti EITree – renginį, kurio metu įvairūs darbuotojai sodino medžius miesto teritorijoje;</w:t>
      </w:r>
    </w:p>
    <w:p w:rsidR="000A7999" w:rsidRPr="00A65EAC" w:rsidRDefault="000A7999" w:rsidP="000A7999">
      <w:pPr>
        <w:spacing w:after="240"/>
        <w:ind w:left="567" w:hanging="567"/>
        <w:rPr>
          <w:szCs w:val="24"/>
        </w:rPr>
      </w:pPr>
      <w:r w:rsidRPr="00A65EAC">
        <w:t>38.</w:t>
      </w:r>
      <w:r w:rsidRPr="00A65EAC">
        <w:tab/>
        <w:t xml:space="preserve">pažymi, kad EMAS sertifikavimas įtrauktas į Instituto vidutinės trukmės arba ilgalaikę </w:t>
      </w:r>
      <w:r w:rsidRPr="00A65EAC">
        <w:lastRenderedPageBreak/>
        <w:t>darbotvarkę;</w:t>
      </w:r>
    </w:p>
    <w:p w:rsidR="000A7999" w:rsidRPr="00A65EAC" w:rsidRDefault="000A7999" w:rsidP="000A7999">
      <w:pPr>
        <w:pStyle w:val="NormalCenter12a"/>
      </w:pPr>
      <w:r w:rsidRPr="00A65EAC">
        <w:t>°</w:t>
      </w:r>
    </w:p>
    <w:p w:rsidR="000A7999" w:rsidRPr="00A65EAC" w:rsidRDefault="000A7999" w:rsidP="000A7999">
      <w:pPr>
        <w:pStyle w:val="NormalCenter12a"/>
      </w:pPr>
      <w:r w:rsidRPr="00A65EAC">
        <w:t>°</w:t>
      </w:r>
      <w:r w:rsidRPr="00A65EAC">
        <w:tab/>
        <w:t>°</w:t>
      </w:r>
    </w:p>
    <w:p w:rsidR="000A7999" w:rsidRPr="00A65EAC" w:rsidRDefault="000A7999" w:rsidP="000A7999">
      <w:pPr>
        <w:pStyle w:val="NormalHanging12a"/>
      </w:pPr>
      <w:r w:rsidRPr="00A65EAC">
        <w:t>39.</w:t>
      </w:r>
      <w:r w:rsidRPr="00A65EAC">
        <w:tab/>
        <w:t xml:space="preserve">pažymi, kad kitos su sprendimu dėl biudžeto įvykdymo patvirtinimo susijusios pastabos, kurios yra horizontaliojo pobūdžio, pateikiamos jo 2024 m. </w:t>
      </w:r>
      <w:r w:rsidR="008951F3" w:rsidRPr="00A65EAC">
        <w:t>balandžio</w:t>
      </w:r>
      <w:r w:rsidR="00E625DD" w:rsidRPr="00A65EAC">
        <w:t xml:space="preserve"> 11 d</w:t>
      </w:r>
      <w:r w:rsidR="008951F3" w:rsidRPr="00A65EAC">
        <w:t xml:space="preserve">. </w:t>
      </w:r>
      <w:r w:rsidRPr="00A65EAC">
        <w:t>rezoliucijoje</w:t>
      </w:r>
      <w:r w:rsidRPr="00A65EAC">
        <w:rPr>
          <w:rStyle w:val="FootnoteReference"/>
        </w:rPr>
        <w:footnoteReference w:id="13"/>
      </w:r>
      <w:r w:rsidRPr="00A65EAC">
        <w:t>, dėl agentūrų veiklos, finansų valdymo ir kontrolės.</w:t>
      </w:r>
    </w:p>
    <w:p w:rsidR="00E365E1" w:rsidRPr="00A65EAC" w:rsidRDefault="00E365E1" w:rsidP="00E625DD">
      <w:bookmarkStart w:id="11" w:name="TextBodyEnd"/>
      <w:bookmarkEnd w:id="11"/>
    </w:p>
    <w:sectPr w:rsidR="00E365E1" w:rsidRPr="00A65EAC" w:rsidSect="007D7251">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5DD" w:rsidRPr="007D7251" w:rsidRDefault="00E625DD">
      <w:r w:rsidRPr="007D7251">
        <w:separator/>
      </w:r>
    </w:p>
  </w:endnote>
  <w:endnote w:type="continuationSeparator" w:id="0">
    <w:p w:rsidR="00E625DD" w:rsidRPr="007D7251" w:rsidRDefault="00E625DD">
      <w:r w:rsidRPr="007D72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999" w:rsidRPr="007D7251" w:rsidRDefault="000A7999" w:rsidP="00851C8B">
    <w:pPr>
      <w:pStyle w:val="EPFooter"/>
    </w:pPr>
    <w:r w:rsidRPr="007D7251">
      <w:t>PE</w:t>
    </w:r>
    <w:r w:rsidRPr="007D7251">
      <w:rPr>
        <w:rStyle w:val="HideTWBExt"/>
      </w:rPr>
      <w:t>&lt;NoPE&gt;</w:t>
    </w:r>
    <w:r w:rsidRPr="007D7251">
      <w:t>753.522</w:t>
    </w:r>
    <w:r w:rsidRPr="007D7251">
      <w:rPr>
        <w:rStyle w:val="HideTWBExt"/>
      </w:rPr>
      <w:t>&lt;/NoPE&gt;&lt;Version&gt;</w:t>
    </w:r>
    <w:r w:rsidRPr="007D7251">
      <w:t>v03-00</w:t>
    </w:r>
    <w:r w:rsidRPr="007D7251">
      <w:rPr>
        <w:rStyle w:val="HideTWBExt"/>
      </w:rPr>
      <w:t>&lt;/Version&gt;</w:t>
    </w:r>
    <w:r w:rsidRPr="007D7251">
      <w:tab/>
    </w:r>
    <w:r w:rsidRPr="007D7251">
      <w:fldChar w:fldCharType="begin"/>
    </w:r>
    <w:r w:rsidRPr="007D7251">
      <w:instrText xml:space="preserve"> PAGE  \* MERGEFORMAT </w:instrText>
    </w:r>
    <w:r w:rsidRPr="007D7251">
      <w:fldChar w:fldCharType="separate"/>
    </w:r>
    <w:r w:rsidR="007D7251" w:rsidRPr="007D7251">
      <w:rPr>
        <w:noProof/>
      </w:rPr>
      <w:t>4</w:t>
    </w:r>
    <w:r w:rsidRPr="007D7251">
      <w:fldChar w:fldCharType="end"/>
    </w:r>
    <w:r w:rsidRPr="007D7251">
      <w:t>/</w:t>
    </w:r>
    <w:r w:rsidR="004C54FF">
      <w:fldChar w:fldCharType="begin"/>
    </w:r>
    <w:r w:rsidR="004C54FF">
      <w:instrText xml:space="preserve"> NUMPAGES  \* MERGEFORMAT </w:instrText>
    </w:r>
    <w:r w:rsidR="004C54FF">
      <w:fldChar w:fldCharType="separate"/>
    </w:r>
    <w:r w:rsidR="007D7251" w:rsidRPr="007D7251">
      <w:rPr>
        <w:noProof/>
      </w:rPr>
      <w:t>6</w:t>
    </w:r>
    <w:r w:rsidR="004C54FF">
      <w:rPr>
        <w:noProof/>
      </w:rPr>
      <w:fldChar w:fldCharType="end"/>
    </w:r>
    <w:r w:rsidRPr="007D7251">
      <w:tab/>
    </w:r>
    <w:r w:rsidRPr="007D7251">
      <w:rPr>
        <w:rStyle w:val="HideTWBExt"/>
      </w:rPr>
      <w:t>&lt;PathFdR&gt;</w:t>
    </w:r>
    <w:r w:rsidRPr="007D7251">
      <w:t>RR\1299238LT.docx</w:t>
    </w:r>
    <w:r w:rsidRPr="007D7251">
      <w:rPr>
        <w:rStyle w:val="HideTWBExt"/>
      </w:rPr>
      <w:t>&lt;/PathFdR&gt;</w:t>
    </w:r>
  </w:p>
  <w:p w:rsidR="000A7999" w:rsidRPr="007D7251" w:rsidRDefault="000A7999" w:rsidP="00851C8B">
    <w:pPr>
      <w:pStyle w:val="EPFooter2"/>
    </w:pPr>
    <w:r w:rsidRPr="007D725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999" w:rsidRPr="001048D6" w:rsidRDefault="000A7999" w:rsidP="001048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999" w:rsidRPr="007D7251" w:rsidRDefault="000A7999" w:rsidP="00851C8B">
    <w:pPr>
      <w:pStyle w:val="EPFooter"/>
    </w:pPr>
    <w:r w:rsidRPr="007D7251">
      <w:rPr>
        <w:rStyle w:val="HideTWBExt"/>
      </w:rPr>
      <w:t>&lt;PathFdR&gt;</w:t>
    </w:r>
    <w:r w:rsidRPr="007D7251">
      <w:t>RR\1299238LT.docx</w:t>
    </w:r>
    <w:r w:rsidRPr="007D7251">
      <w:rPr>
        <w:rStyle w:val="HideTWBExt"/>
      </w:rPr>
      <w:t>&lt;/PathFdR&gt;</w:t>
    </w:r>
    <w:r w:rsidRPr="007D7251">
      <w:tab/>
    </w:r>
    <w:r w:rsidRPr="007D7251">
      <w:tab/>
      <w:t>PE</w:t>
    </w:r>
    <w:r w:rsidRPr="007D7251">
      <w:rPr>
        <w:rStyle w:val="HideTWBExt"/>
      </w:rPr>
      <w:t>&lt;NoPE&gt;</w:t>
    </w:r>
    <w:r w:rsidRPr="007D7251">
      <w:t>753.522</w:t>
    </w:r>
    <w:r w:rsidRPr="007D7251">
      <w:rPr>
        <w:rStyle w:val="HideTWBExt"/>
      </w:rPr>
      <w:t>&lt;/NoPE&gt;&lt;Version&gt;</w:t>
    </w:r>
    <w:r w:rsidRPr="007D7251">
      <w:t>v03-00</w:t>
    </w:r>
    <w:r w:rsidRPr="007D7251">
      <w:rPr>
        <w:rStyle w:val="HideTWBExt"/>
      </w:rPr>
      <w:t>&lt;/Version&gt;</w:t>
    </w:r>
  </w:p>
  <w:p w:rsidR="000A7999" w:rsidRPr="007D7251" w:rsidRDefault="000A7999" w:rsidP="00851C8B">
    <w:pPr>
      <w:pStyle w:val="EPFooter2"/>
    </w:pPr>
    <w:r w:rsidRPr="007D7251">
      <w:t>LT</w:t>
    </w:r>
    <w:r w:rsidRPr="007D7251">
      <w:tab/>
    </w:r>
    <w:r w:rsidRPr="007D7251">
      <w:rPr>
        <w:b w:val="0"/>
        <w:i/>
        <w:color w:val="C0C0C0"/>
        <w:sz w:val="22"/>
      </w:rPr>
      <w:t>Suvienijusi įvairovę</w:t>
    </w:r>
    <w:r w:rsidRPr="007D7251">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25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25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2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5DD" w:rsidRPr="007D7251" w:rsidRDefault="00E625DD">
      <w:r w:rsidRPr="007D7251">
        <w:separator/>
      </w:r>
    </w:p>
  </w:footnote>
  <w:footnote w:type="continuationSeparator" w:id="0">
    <w:p w:rsidR="00E625DD" w:rsidRPr="007D7251" w:rsidRDefault="00E625DD">
      <w:r w:rsidRPr="007D7251">
        <w:continuationSeparator/>
      </w:r>
    </w:p>
  </w:footnote>
  <w:footnote w:id="1">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C, C/2023/594, 2023 10 27.</w:t>
      </w:r>
    </w:p>
  </w:footnote>
  <w:footnote w:id="2">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C, C/2023/112, 2023 10 12.</w:t>
      </w:r>
    </w:p>
  </w:footnote>
  <w:footnote w:id="3">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L 193, 2018 7 30, p. 1.</w:t>
      </w:r>
    </w:p>
  </w:footnote>
  <w:footnote w:id="4">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L 189, 2021 5 28, p. 61.</w:t>
      </w:r>
    </w:p>
  </w:footnote>
  <w:footnote w:id="5">
    <w:p w:rsidR="000A7999" w:rsidRPr="007D7251" w:rsidRDefault="000A7999" w:rsidP="007D7251">
      <w:pPr>
        <w:pStyle w:val="FootnoteText"/>
        <w:ind w:left="567" w:hanging="567"/>
        <w:rPr>
          <w:sz w:val="24"/>
          <w:szCs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L 122, 2019 5 10, p. 1.</w:t>
      </w:r>
    </w:p>
  </w:footnote>
  <w:footnote w:id="6">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C, C/2023/594, 2023 10 27.</w:t>
      </w:r>
    </w:p>
  </w:footnote>
  <w:footnote w:id="7">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C, C/2023/112, 2023 10 12.</w:t>
      </w:r>
    </w:p>
  </w:footnote>
  <w:footnote w:id="8">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L 193, 2018 7 30, p. 1.</w:t>
      </w:r>
    </w:p>
  </w:footnote>
  <w:footnote w:id="9">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L 189, 2021 5 28, p. 61.</w:t>
      </w:r>
    </w:p>
  </w:footnote>
  <w:footnote w:id="10">
    <w:p w:rsidR="000A7999" w:rsidRPr="007D7251" w:rsidRDefault="000A7999" w:rsidP="007D7251">
      <w:pPr>
        <w:pStyle w:val="FootnoteText"/>
        <w:ind w:left="567" w:hanging="567"/>
        <w:rPr>
          <w:sz w:val="24"/>
          <w:szCs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L 122, 2019 5 10, p. 1.</w:t>
      </w:r>
    </w:p>
  </w:footnote>
  <w:footnote w:id="11">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OL C 489, 2022 12 22, p. 56.</w:t>
      </w:r>
    </w:p>
  </w:footnote>
  <w:footnote w:id="12">
    <w:p w:rsidR="000A7999" w:rsidRPr="007D7251" w:rsidRDefault="000A7999" w:rsidP="007D7251">
      <w:pPr>
        <w:pStyle w:val="FootnoteText"/>
        <w:ind w:left="567" w:hanging="567"/>
        <w:rPr>
          <w:sz w:val="24"/>
          <w:lang w:val="lt-LT"/>
        </w:rPr>
      </w:pPr>
      <w:r w:rsidRPr="007D7251">
        <w:rPr>
          <w:rStyle w:val="FootnoteReference"/>
          <w:sz w:val="24"/>
          <w:lang w:val="lt-LT"/>
        </w:rPr>
        <w:footnoteRef/>
      </w:r>
      <w:r w:rsidR="007D7251" w:rsidRPr="007D7251">
        <w:rPr>
          <w:sz w:val="24"/>
          <w:lang w:val="lt-LT"/>
        </w:rPr>
        <w:t xml:space="preserve"> </w:t>
      </w:r>
      <w:r w:rsidR="007D7251" w:rsidRPr="007D7251">
        <w:rPr>
          <w:sz w:val="24"/>
          <w:lang w:val="lt-LT"/>
        </w:rPr>
        <w:tab/>
      </w:r>
      <w:r w:rsidRPr="007D7251">
        <w:rPr>
          <w:sz w:val="24"/>
          <w:lang w:val="lt-LT"/>
        </w:rPr>
        <w:t>2018 m. gruodžio 18 d. Komisijos deleguotasis reglamentas (ES) 2019/715 dėl finansinio pagrindų reglamento, taikomo organams, įsteigtiems pagal SESV ir Euratomo sutartį ir nurodytiems Europos Parlamento ir Tarybos reglamento (ES, Euratomas) 2018/1046 70 straipsnyje (OL L 122, 2019 5 10, p. 1).</w:t>
      </w:r>
    </w:p>
  </w:footnote>
  <w:footnote w:id="13">
    <w:p w:rsidR="000A7999" w:rsidRPr="007D7251" w:rsidRDefault="000A7999" w:rsidP="007D7251">
      <w:pPr>
        <w:pStyle w:val="FootnoteText"/>
        <w:ind w:left="567" w:hanging="567"/>
        <w:rPr>
          <w:sz w:val="24"/>
          <w:lang w:val="lt-LT"/>
        </w:rPr>
      </w:pPr>
      <w:r w:rsidRPr="001048D6">
        <w:rPr>
          <w:rStyle w:val="FootnoteReference"/>
          <w:sz w:val="24"/>
          <w:lang w:val="lt-LT"/>
        </w:rPr>
        <w:footnoteRef/>
      </w:r>
      <w:r w:rsidR="007D7251" w:rsidRPr="001048D6">
        <w:rPr>
          <w:sz w:val="24"/>
          <w:lang w:val="lt-LT"/>
        </w:rPr>
        <w:t xml:space="preserve"> </w:t>
      </w:r>
      <w:r w:rsidR="007D7251" w:rsidRPr="001048D6">
        <w:rPr>
          <w:sz w:val="24"/>
          <w:lang w:val="lt-LT"/>
        </w:rPr>
        <w:tab/>
      </w:r>
      <w:r w:rsidRPr="001048D6">
        <w:rPr>
          <w:sz w:val="24"/>
          <w:lang w:val="lt-LT"/>
        </w:rPr>
        <w:t>Priimti tekstai, P9_TA(2024)0</w:t>
      </w:r>
      <w:r w:rsidR="0047326A" w:rsidRPr="001048D6">
        <w:rPr>
          <w:sz w:val="24"/>
          <w:lang w:val="lt-LT"/>
        </w:rPr>
        <w:t>28</w:t>
      </w:r>
      <w:r w:rsidRPr="001048D6">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2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2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2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LT"/>
    <w:docVar w:name="dvnumam" w:val="0"/>
    <w:docVar w:name="dvpe" w:val="753.522"/>
    <w:docVar w:name="dvrapporteur" w:val="Pranešėjas: "/>
    <w:docVar w:name="dvtitre" w:val="1. 2024 m. balandzio 11 d. Europos Parlamento sprendimas dėl Europos inovacijos ir technologijos instituto (EIT) 2022 finansinių metų biudžeto įvykdymo patvirtinimo(2023/2154(DEC))"/>
  </w:docVars>
  <w:rsids>
    <w:rsidRoot w:val="00E625DD"/>
    <w:rsid w:val="00002272"/>
    <w:rsid w:val="00022983"/>
    <w:rsid w:val="00064002"/>
    <w:rsid w:val="000677B9"/>
    <w:rsid w:val="000831BA"/>
    <w:rsid w:val="000A42CC"/>
    <w:rsid w:val="000A7999"/>
    <w:rsid w:val="000E7DD9"/>
    <w:rsid w:val="0010095E"/>
    <w:rsid w:val="001048D6"/>
    <w:rsid w:val="00125B37"/>
    <w:rsid w:val="00187494"/>
    <w:rsid w:val="001F32AE"/>
    <w:rsid w:val="002767FF"/>
    <w:rsid w:val="0029464A"/>
    <w:rsid w:val="002B18FE"/>
    <w:rsid w:val="002B5493"/>
    <w:rsid w:val="002E6FC4"/>
    <w:rsid w:val="00343214"/>
    <w:rsid w:val="00361C00"/>
    <w:rsid w:val="00395FA1"/>
    <w:rsid w:val="003E15D4"/>
    <w:rsid w:val="00411CCE"/>
    <w:rsid w:val="0041666E"/>
    <w:rsid w:val="00421060"/>
    <w:rsid w:val="00471C19"/>
    <w:rsid w:val="0047326A"/>
    <w:rsid w:val="004867E3"/>
    <w:rsid w:val="00494A28"/>
    <w:rsid w:val="004C0004"/>
    <w:rsid w:val="004C54FF"/>
    <w:rsid w:val="004C5D52"/>
    <w:rsid w:val="0050519A"/>
    <w:rsid w:val="005072A1"/>
    <w:rsid w:val="00514517"/>
    <w:rsid w:val="00545827"/>
    <w:rsid w:val="00560270"/>
    <w:rsid w:val="005C2568"/>
    <w:rsid w:val="00600288"/>
    <w:rsid w:val="006037C0"/>
    <w:rsid w:val="00621198"/>
    <w:rsid w:val="006631B6"/>
    <w:rsid w:val="00680577"/>
    <w:rsid w:val="006F74FA"/>
    <w:rsid w:val="00731ADD"/>
    <w:rsid w:val="00734777"/>
    <w:rsid w:val="00747932"/>
    <w:rsid w:val="00751A4A"/>
    <w:rsid w:val="00756632"/>
    <w:rsid w:val="00762C74"/>
    <w:rsid w:val="00786EC0"/>
    <w:rsid w:val="007D1690"/>
    <w:rsid w:val="007D7251"/>
    <w:rsid w:val="007E22AD"/>
    <w:rsid w:val="00817416"/>
    <w:rsid w:val="00842779"/>
    <w:rsid w:val="00865F67"/>
    <w:rsid w:val="00881A7B"/>
    <w:rsid w:val="008840E5"/>
    <w:rsid w:val="00887B3E"/>
    <w:rsid w:val="008951F3"/>
    <w:rsid w:val="008C2AC6"/>
    <w:rsid w:val="00930C23"/>
    <w:rsid w:val="0093193B"/>
    <w:rsid w:val="009509D8"/>
    <w:rsid w:val="00950B64"/>
    <w:rsid w:val="00981893"/>
    <w:rsid w:val="00A1687D"/>
    <w:rsid w:val="00A43E52"/>
    <w:rsid w:val="00A4678D"/>
    <w:rsid w:val="00A61DB7"/>
    <w:rsid w:val="00A65EAC"/>
    <w:rsid w:val="00A778C7"/>
    <w:rsid w:val="00AB441E"/>
    <w:rsid w:val="00AB6293"/>
    <w:rsid w:val="00AE0928"/>
    <w:rsid w:val="00AF3B82"/>
    <w:rsid w:val="00B12E95"/>
    <w:rsid w:val="00B22876"/>
    <w:rsid w:val="00B558F0"/>
    <w:rsid w:val="00B8251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5D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05EAA"/>
  <w15:chartTrackingRefBased/>
  <w15:docId w15:val="{37630B08-6B83-465A-811C-DF3C83096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A799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A7999"/>
    <w:pPr>
      <w:spacing w:before="480" w:after="240"/>
    </w:pPr>
  </w:style>
  <w:style w:type="paragraph" w:customStyle="1" w:styleId="PageHeading">
    <w:name w:val="PageHeading"/>
    <w:basedOn w:val="Normal"/>
    <w:rsid w:val="000A7999"/>
    <w:pPr>
      <w:keepNext/>
      <w:spacing w:after="480"/>
      <w:jc w:val="center"/>
    </w:pPr>
    <w:rPr>
      <w:rFonts w:ascii="Arial" w:hAnsi="Arial" w:cs="Arial"/>
      <w:b/>
    </w:rPr>
  </w:style>
  <w:style w:type="paragraph" w:customStyle="1" w:styleId="NormalBold">
    <w:name w:val="NormalBold"/>
    <w:basedOn w:val="Normal"/>
    <w:rsid w:val="000A7999"/>
    <w:rPr>
      <w:b/>
    </w:rPr>
  </w:style>
  <w:style w:type="paragraph" w:customStyle="1" w:styleId="NormalHanging12a">
    <w:name w:val="NormalHanging12a"/>
    <w:basedOn w:val="Normal"/>
    <w:link w:val="NormalHanging12aChar"/>
    <w:rsid w:val="000A7999"/>
    <w:pPr>
      <w:spacing w:after="240"/>
      <w:ind w:left="567" w:hanging="567"/>
    </w:pPr>
  </w:style>
  <w:style w:type="paragraph" w:customStyle="1" w:styleId="NormalCenter12a">
    <w:name w:val="NormalCenter12a"/>
    <w:basedOn w:val="Normal"/>
    <w:rsid w:val="000A7999"/>
    <w:pPr>
      <w:spacing w:after="240"/>
      <w:jc w:val="center"/>
    </w:pPr>
  </w:style>
  <w:style w:type="paragraph" w:styleId="Header">
    <w:name w:val="header"/>
    <w:basedOn w:val="Normal"/>
    <w:link w:val="HeaderChar"/>
    <w:rsid w:val="000A7999"/>
    <w:pPr>
      <w:tabs>
        <w:tab w:val="center" w:pos="4513"/>
        <w:tab w:val="right" w:pos="9026"/>
      </w:tabs>
    </w:pPr>
  </w:style>
  <w:style w:type="character" w:customStyle="1" w:styleId="HeaderChar">
    <w:name w:val="Header Char"/>
    <w:basedOn w:val="DefaultParagraphFont"/>
    <w:link w:val="Header"/>
    <w:rsid w:val="000A7999"/>
    <w:rPr>
      <w:sz w:val="24"/>
      <w:lang w:val="lt-LT"/>
    </w:rPr>
  </w:style>
  <w:style w:type="paragraph" w:customStyle="1" w:styleId="EPFooter">
    <w:name w:val="EPFooter"/>
    <w:basedOn w:val="Normal"/>
    <w:rsid w:val="000A799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A7999"/>
    <w:rPr>
      <w:sz w:val="24"/>
      <w:lang w:val="lt-LT"/>
    </w:rPr>
  </w:style>
  <w:style w:type="paragraph" w:customStyle="1" w:styleId="Default">
    <w:name w:val="Default"/>
    <w:rsid w:val="000A7999"/>
    <w:pPr>
      <w:autoSpaceDE w:val="0"/>
      <w:autoSpaceDN w:val="0"/>
      <w:adjustRightInd w:val="0"/>
    </w:pPr>
    <w:rPr>
      <w:rFonts w:eastAsia="Calibri"/>
      <w:color w:val="000000"/>
      <w:sz w:val="24"/>
      <w:szCs w:val="24"/>
      <w:lang w:val="lt-LT" w:eastAsia="en-US"/>
    </w:rPr>
  </w:style>
  <w:style w:type="paragraph" w:styleId="BalloonText">
    <w:name w:val="Balloon Text"/>
    <w:basedOn w:val="Normal"/>
    <w:link w:val="BalloonTextChar"/>
    <w:rsid w:val="0029464A"/>
    <w:rPr>
      <w:rFonts w:ascii="Segoe UI" w:hAnsi="Segoe UI" w:cs="Segoe UI"/>
      <w:sz w:val="18"/>
      <w:szCs w:val="18"/>
    </w:rPr>
  </w:style>
  <w:style w:type="character" w:customStyle="1" w:styleId="BalloonTextChar">
    <w:name w:val="Balloon Text Char"/>
    <w:basedOn w:val="DefaultParagraphFont"/>
    <w:link w:val="BalloonText"/>
    <w:rsid w:val="0029464A"/>
    <w:rPr>
      <w:rFonts w:ascii="Segoe UI" w:hAnsi="Segoe UI" w:cs="Segoe UI"/>
      <w:sz w:val="18"/>
      <w:szCs w:val="18"/>
      <w:lang w:val="lt-LT"/>
    </w:rPr>
  </w:style>
  <w:style w:type="paragraph" w:styleId="Footer">
    <w:name w:val="footer"/>
    <w:basedOn w:val="Normal"/>
    <w:link w:val="FooterChar"/>
    <w:rsid w:val="001048D6"/>
    <w:pPr>
      <w:tabs>
        <w:tab w:val="center" w:pos="4513"/>
        <w:tab w:val="right" w:pos="9026"/>
      </w:tabs>
    </w:pPr>
  </w:style>
  <w:style w:type="character" w:customStyle="1" w:styleId="FooterChar">
    <w:name w:val="Footer Char"/>
    <w:basedOn w:val="DefaultParagraphFont"/>
    <w:link w:val="Footer"/>
    <w:rsid w:val="001048D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140A8-CF8D-445E-A175-33E8D9959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3177</Words>
  <Characters>21453</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2024-05-14T20:59:00Z</dcterms:created>
  <dcterms:modified xsi:type="dcterms:W3CDTF">2024-05-14T20:59:00Z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P9_TA(2024)0267_</vt:lpwstr>
  </property>
  <property fmtid="{D5CDD505-2E9C-101B-9397-08002B2CF9AE}" pid="4" name="&lt;Type&gt;">
    <vt:lpwstr>RR</vt:lpwstr>
  </property>
</Properties>
</file>