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8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68FE" w:rsidRDefault="00264FB5" w:rsidP="0010095E">
            <w:pPr>
              <w:pStyle w:val="EPName"/>
            </w:pPr>
            <w:r w:rsidRPr="007A68FE">
              <w:t>Parlament Europejski</w:t>
            </w:r>
          </w:p>
          <w:p w:rsidR="00751A4A" w:rsidRPr="007A68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8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68FE" w:rsidRDefault="00187494" w:rsidP="0010095E">
            <w:pPr>
              <w:pStyle w:val="EPLogo"/>
            </w:pPr>
            <w:r w:rsidRPr="007A68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68FE" w:rsidRDefault="00D058B8" w:rsidP="004C5D52">
      <w:pPr>
        <w:pStyle w:val="LineTop"/>
      </w:pPr>
    </w:p>
    <w:p w:rsidR="00680577" w:rsidRPr="007A68FE" w:rsidRDefault="00264FB5" w:rsidP="00680577">
      <w:pPr>
        <w:pStyle w:val="EPBodyTA1"/>
      </w:pPr>
      <w:r w:rsidRPr="007A68FE">
        <w:t>TEKSTY PRZYJĘTE</w:t>
      </w:r>
    </w:p>
    <w:p w:rsidR="00D058B8" w:rsidRPr="007A68FE" w:rsidRDefault="00D058B8" w:rsidP="00D058B8">
      <w:pPr>
        <w:pStyle w:val="LineBottom"/>
      </w:pPr>
    </w:p>
    <w:p w:rsidR="00264FB5" w:rsidRPr="007A68FE" w:rsidRDefault="00264FB5" w:rsidP="00264FB5">
      <w:pPr>
        <w:pStyle w:val="ATHeading1"/>
      </w:pPr>
      <w:bookmarkStart w:id="0" w:name="TANumber"/>
      <w:r w:rsidRPr="007A68FE">
        <w:t>P9_TA(2024)0</w:t>
      </w:r>
      <w:bookmarkEnd w:id="0"/>
      <w:r w:rsidR="00DE0992">
        <w:t>267</w:t>
      </w:r>
    </w:p>
    <w:p w:rsidR="00264FB5" w:rsidRPr="007A68FE" w:rsidRDefault="00264FB5" w:rsidP="00264FB5">
      <w:pPr>
        <w:pStyle w:val="ATHeading2"/>
      </w:pPr>
      <w:bookmarkStart w:id="1" w:name="title"/>
      <w:r w:rsidRPr="007A68FE">
        <w:t>Absolutorium za rok 2022: Europejski Instytut Innowacji i Technologii (EIT)</w:t>
      </w:r>
      <w:bookmarkEnd w:id="1"/>
    </w:p>
    <w:p w:rsidR="00264FB5" w:rsidRPr="007A68FE" w:rsidRDefault="00264FB5" w:rsidP="00264FB5">
      <w:pPr>
        <w:rPr>
          <w:i/>
          <w:vanish/>
        </w:rPr>
      </w:pPr>
      <w:r w:rsidRPr="007A68FE">
        <w:rPr>
          <w:i/>
        </w:rPr>
        <w:fldChar w:fldCharType="begin"/>
      </w:r>
      <w:r w:rsidRPr="007A68FE">
        <w:rPr>
          <w:i/>
        </w:rPr>
        <w:instrText xml:space="preserve"> TC"(</w:instrText>
      </w:r>
      <w:bookmarkStart w:id="2" w:name="DocNumber"/>
      <w:r w:rsidRPr="007A68FE">
        <w:rPr>
          <w:i/>
        </w:rPr>
        <w:instrText>A9-0132/2024</w:instrText>
      </w:r>
      <w:bookmarkEnd w:id="2"/>
      <w:r w:rsidRPr="007A68FE">
        <w:rPr>
          <w:i/>
        </w:rPr>
        <w:instrText xml:space="preserve"> - Sprawozdawca: </w:instrText>
      </w:r>
      <w:proofErr w:type="spellStart"/>
      <w:r w:rsidRPr="007A68FE">
        <w:rPr>
          <w:i/>
        </w:rPr>
        <w:instrText>Petri</w:instrText>
      </w:r>
      <w:proofErr w:type="spellEnd"/>
      <w:r w:rsidRPr="007A68FE">
        <w:rPr>
          <w:i/>
        </w:rPr>
        <w:instrText xml:space="preserve"> </w:instrText>
      </w:r>
      <w:proofErr w:type="spellStart"/>
      <w:r w:rsidRPr="007A68FE">
        <w:rPr>
          <w:i/>
        </w:rPr>
        <w:instrText>Sarvamaa</w:instrText>
      </w:r>
      <w:proofErr w:type="spellEnd"/>
      <w:proofErr w:type="gramStart"/>
      <w:r w:rsidRPr="007A68FE">
        <w:rPr>
          <w:i/>
        </w:rPr>
        <w:instrText>)"\l</w:instrText>
      </w:r>
      <w:proofErr w:type="gramEnd"/>
      <w:r w:rsidRPr="007A68FE">
        <w:rPr>
          <w:i/>
        </w:rPr>
        <w:instrText xml:space="preserve">3 \n&gt; \* MERGEFORMAT </w:instrText>
      </w:r>
      <w:r w:rsidRPr="007A68FE">
        <w:rPr>
          <w:i/>
        </w:rPr>
        <w:fldChar w:fldCharType="end"/>
      </w:r>
    </w:p>
    <w:p w:rsidR="00264FB5" w:rsidRPr="007A68FE" w:rsidRDefault="00264FB5" w:rsidP="00264FB5">
      <w:pPr>
        <w:rPr>
          <w:vanish/>
        </w:rPr>
      </w:pPr>
      <w:bookmarkStart w:id="3" w:name="Commission"/>
      <w:r w:rsidRPr="007A68FE">
        <w:rPr>
          <w:vanish/>
        </w:rPr>
        <w:t>Komisja Kontroli Budżetowej</w:t>
      </w:r>
      <w:bookmarkEnd w:id="3"/>
    </w:p>
    <w:p w:rsidR="00264FB5" w:rsidRPr="007A68FE" w:rsidRDefault="00264FB5" w:rsidP="00264FB5">
      <w:pPr>
        <w:rPr>
          <w:vanish/>
        </w:rPr>
      </w:pPr>
      <w:bookmarkStart w:id="4" w:name="PE"/>
      <w:r w:rsidRPr="007A68FE">
        <w:rPr>
          <w:vanish/>
        </w:rPr>
        <w:t>PE753.522</w:t>
      </w:r>
      <w:bookmarkEnd w:id="4"/>
    </w:p>
    <w:p w:rsidR="00264FB5" w:rsidRPr="007A68FE" w:rsidRDefault="00CF6C1C" w:rsidP="00264FB5">
      <w:pPr>
        <w:pStyle w:val="ATHeading3"/>
      </w:pPr>
      <w:bookmarkStart w:id="5" w:name="Sujet"/>
      <w:r>
        <w:t xml:space="preserve">1. </w:t>
      </w:r>
      <w:r w:rsidR="00264FB5" w:rsidRPr="007A68FE">
        <w:t xml:space="preserve">Decyzja Parlamentu Europejskiego z dnia </w:t>
      </w:r>
      <w:r>
        <w:t>11 kwietnia</w:t>
      </w:r>
      <w:r w:rsidR="00264FB5" w:rsidRPr="007A68FE">
        <w:t xml:space="preserve"> 2024 r. w sprawie absolutorium z wykonania budżetu Europejskiego Instytutu Innowacji i Technologii (EIT) za rok budżetowy 2022</w:t>
      </w:r>
      <w:bookmarkEnd w:id="5"/>
      <w:r w:rsidR="00264FB5" w:rsidRPr="007A68FE">
        <w:t xml:space="preserve"> </w:t>
      </w:r>
      <w:bookmarkStart w:id="6" w:name="References"/>
      <w:r w:rsidR="00264FB5" w:rsidRPr="007A68FE">
        <w:t>(2023/2154(DEC))</w:t>
      </w:r>
      <w:bookmarkEnd w:id="6"/>
    </w:p>
    <w:p w:rsidR="002A2A16" w:rsidRPr="007A68FE" w:rsidRDefault="002A2A16" w:rsidP="002A2A16">
      <w:pPr>
        <w:pStyle w:val="EPComma"/>
      </w:pPr>
      <w:bookmarkStart w:id="7" w:name="TextBodyBegin"/>
      <w:bookmarkEnd w:id="7"/>
      <w:r w:rsidRPr="007A68FE">
        <w:rPr>
          <w:i/>
          <w:iCs/>
        </w:rPr>
        <w:t>Parlament Europejski,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końcowe roczne sprawozdanie finansowe Europejskiego Instytutu Innowacji i Technologii (EIT) za rok budżetowy 2022,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sprawozdanie roczne Trybunału Obrachunkowego dotyczące agencji UE za rok budżetowy 2022 wraz z odpowiedziami agencji</w:t>
      </w:r>
      <w:r w:rsidRPr="007A68FE">
        <w:rPr>
          <w:rStyle w:val="FootnoteReference"/>
        </w:rPr>
        <w:footnoteReference w:id="1"/>
      </w:r>
      <w:r w:rsidRPr="007A68FE">
        <w:t>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poświadczenie wiarygodności</w:t>
      </w:r>
      <w:r w:rsidRPr="007A68FE">
        <w:rPr>
          <w:rStyle w:val="FootnoteReference"/>
        </w:rPr>
        <w:footnoteReference w:id="2"/>
      </w:r>
      <w:r w:rsidRPr="007A68FE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2A2A16" w:rsidRPr="00226568" w:rsidRDefault="002A2A16" w:rsidP="002A2A16">
      <w:pPr>
        <w:pStyle w:val="NormalHanging12a"/>
      </w:pPr>
      <w:r w:rsidRPr="007A68FE">
        <w:t>–</w:t>
      </w:r>
      <w:r w:rsidRPr="007A68FE">
        <w:tab/>
        <w:t>uwzględniając zalecenie Rady z dnia 22 lutego 2024 r. w sprawie udzielenia Instytutowi absolutorium z wykonania budżetu za rok budżetowy 202</w:t>
      </w:r>
      <w:r w:rsidRPr="00226568">
        <w:t>2 (</w:t>
      </w:r>
      <w:r w:rsidR="00226568" w:rsidRPr="00226568">
        <w:t>06180/2024 – C9</w:t>
      </w:r>
      <w:r w:rsidR="00226568" w:rsidRPr="00226568">
        <w:noBreakHyphen/>
        <w:t>0092/2024</w:t>
      </w:r>
      <w:r w:rsidRPr="00226568">
        <w:t>),</w:t>
      </w:r>
    </w:p>
    <w:p w:rsidR="002A2A16" w:rsidRPr="007A68FE" w:rsidRDefault="002A2A16" w:rsidP="002A2A16">
      <w:pPr>
        <w:pStyle w:val="NormalHanging12a"/>
      </w:pPr>
      <w:r w:rsidRPr="00226568">
        <w:t>–</w:t>
      </w:r>
      <w:r w:rsidRPr="00226568">
        <w:tab/>
        <w:t>uwzględniając art. 319 Traktatu o funkcjonowaniu Unii Europejskiej,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rozporządzenie Parlamentu Europe</w:t>
      </w:r>
      <w:r w:rsidR="00DB3D5D">
        <w:t xml:space="preserve">jskiego i Rady (UE, </w:t>
      </w:r>
      <w:proofErr w:type="spellStart"/>
      <w:r w:rsidR="00DB3D5D">
        <w:t>Euratom</w:t>
      </w:r>
      <w:proofErr w:type="spellEnd"/>
      <w:r w:rsidR="00DB3D5D">
        <w:t xml:space="preserve">) </w:t>
      </w:r>
      <w:r w:rsidRPr="007A68FE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7A68FE">
        <w:lastRenderedPageBreak/>
        <w:t xml:space="preserve">uchylające rozporządzenie (UE, </w:t>
      </w:r>
      <w:proofErr w:type="spellStart"/>
      <w:r w:rsidRPr="007A68FE">
        <w:t>Euratom</w:t>
      </w:r>
      <w:proofErr w:type="spellEnd"/>
      <w:r w:rsidRPr="007A68FE">
        <w:t>) nr 966/2012</w:t>
      </w:r>
      <w:r w:rsidRPr="007A68FE">
        <w:rPr>
          <w:rStyle w:val="FootnoteReference"/>
        </w:rPr>
        <w:footnoteReference w:id="3"/>
      </w:r>
      <w:r w:rsidRPr="007A68FE">
        <w:t>, w szczególności jego art. 70,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rozporządzenie Parlamentu Europejskiego i Rady (UE) 2021/819 z dnia 20 maja 2021 r. w sprawie Europejskiego Instytutu Innowacji i Technologii</w:t>
      </w:r>
      <w:r w:rsidRPr="007A68FE">
        <w:rPr>
          <w:rStyle w:val="FootnoteReference"/>
        </w:rPr>
        <w:footnoteReference w:id="4"/>
      </w:r>
      <w:r w:rsidRPr="007A68FE">
        <w:t>, w szczególności jego art. 23,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7A68FE">
        <w:t>Euratom</w:t>
      </w:r>
      <w:proofErr w:type="spellEnd"/>
      <w:r w:rsidRPr="007A68FE">
        <w:t xml:space="preserve">, o których mowa w art. 70 rozporządzenia Parlamentu Europejskiego i Rady (UE, </w:t>
      </w:r>
      <w:proofErr w:type="spellStart"/>
      <w:r w:rsidRPr="007A68FE">
        <w:t>Euratom</w:t>
      </w:r>
      <w:proofErr w:type="spellEnd"/>
      <w:r w:rsidRPr="007A68FE">
        <w:t>) 2018/1046</w:t>
      </w:r>
      <w:r w:rsidRPr="007A68FE">
        <w:rPr>
          <w:rStyle w:val="FootnoteReference"/>
        </w:rPr>
        <w:footnoteReference w:id="5"/>
      </w:r>
      <w:r w:rsidRPr="007A68FE">
        <w:t>, w szczególności jego art. 105,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art. 100 Regulaminu i załącznik V do Regulaminu,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sprawozdanie Komisji Kontroli Budżetowej (A9-0132/2024),</w:t>
      </w:r>
    </w:p>
    <w:p w:rsidR="002A2A16" w:rsidRPr="007A68FE" w:rsidRDefault="002A2A16" w:rsidP="002A2A16">
      <w:pPr>
        <w:pStyle w:val="NormalHanging12a"/>
      </w:pPr>
      <w:r w:rsidRPr="007A68FE">
        <w:t>1.</w:t>
      </w:r>
      <w:r w:rsidRPr="007A68FE">
        <w:tab/>
      </w:r>
      <w:proofErr w:type="gramStart"/>
      <w:r w:rsidRPr="007A68FE">
        <w:t>udziela</w:t>
      </w:r>
      <w:proofErr w:type="gramEnd"/>
      <w:r w:rsidRPr="007A68FE">
        <w:t xml:space="preserve"> dyrektorowi Europejskiego Instytutu Innowacji i Technologii (EIT) absolutorium z wykonania budżetu Instytutu za rok budżetowy 2022;</w:t>
      </w:r>
    </w:p>
    <w:p w:rsidR="002A2A16" w:rsidRPr="007A68FE" w:rsidRDefault="002A2A16" w:rsidP="002A2A16">
      <w:pPr>
        <w:pStyle w:val="NormalHanging12a"/>
      </w:pPr>
      <w:r w:rsidRPr="007A68FE">
        <w:t>2.</w:t>
      </w:r>
      <w:r w:rsidRPr="007A68FE">
        <w:tab/>
      </w:r>
      <w:proofErr w:type="gramStart"/>
      <w:r w:rsidRPr="007A68FE">
        <w:t>przedstawia</w:t>
      </w:r>
      <w:proofErr w:type="gramEnd"/>
      <w:r w:rsidRPr="007A68FE">
        <w:t xml:space="preserve"> swoje uwagi w poniższej rezolucji;</w:t>
      </w:r>
    </w:p>
    <w:p w:rsidR="002A2A16" w:rsidRPr="007A68FE" w:rsidRDefault="002A2A16" w:rsidP="002A2A16">
      <w:pPr>
        <w:pStyle w:val="NormalHanging12a"/>
      </w:pPr>
      <w:r w:rsidRPr="007A68FE">
        <w:t>3.</w:t>
      </w:r>
      <w:r w:rsidRPr="007A68FE">
        <w:tab/>
      </w:r>
      <w:proofErr w:type="gramStart"/>
      <w:r w:rsidRPr="007A68FE">
        <w:t>zobowiązuje</w:t>
      </w:r>
      <w:proofErr w:type="gramEnd"/>
      <w:r w:rsidRPr="007A68FE">
        <w:t xml:space="preserve"> swoją przewodniczącą do przekazania niniejszej decyzji wraz z rezolucją, która stanowi jej integralną część, dyrektorowi Europejskiego Instytutu Innowacji i Technologii (EIT), Radzie, Komisji i Trybunałowi Obrachunkowemu oraz do zarządzenia jej publikacji w Dzienniku Urzędowym Unii Europejskiej (seria L).</w:t>
      </w:r>
    </w:p>
    <w:p w:rsidR="002A2A16" w:rsidRPr="007A68FE" w:rsidRDefault="002A2A16" w:rsidP="002A2A16"/>
    <w:p w:rsidR="002A2A16" w:rsidRPr="007A68FE" w:rsidRDefault="002A2A16" w:rsidP="002A2A16">
      <w:pPr>
        <w:widowControl/>
        <w:rPr>
          <w:rFonts w:ascii="Arial" w:hAnsi="Arial" w:cs="Arial"/>
          <w:b/>
        </w:rPr>
        <w:sectPr w:rsidR="002A2A16" w:rsidRPr="007A68FE" w:rsidSect="007A68F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2A2A16" w:rsidRPr="007A68FE" w:rsidRDefault="00CF6C1C" w:rsidP="00CF6C1C">
      <w:pPr>
        <w:pStyle w:val="ATHeading3"/>
      </w:pPr>
      <w:bookmarkStart w:id="8" w:name="_Toc146809150"/>
      <w:bookmarkStart w:id="9" w:name="_Toc161932952"/>
      <w:r>
        <w:lastRenderedPageBreak/>
        <w:t>2. Decyzja</w:t>
      </w:r>
      <w:r w:rsidR="002A2A16" w:rsidRPr="007A68FE">
        <w:t xml:space="preserve"> P</w:t>
      </w:r>
      <w:r>
        <w:t>arlamentu</w:t>
      </w:r>
      <w:r w:rsidR="002A2A16" w:rsidRPr="007A68FE">
        <w:t xml:space="preserve"> E</w:t>
      </w:r>
      <w:bookmarkEnd w:id="8"/>
      <w:bookmarkEnd w:id="9"/>
      <w:r>
        <w:t xml:space="preserve">uropejskiego z dnia 11 kwietnia 2024 r. </w:t>
      </w:r>
      <w:r w:rsidR="002A2A16" w:rsidRPr="007A68FE">
        <w:t>w sprawie zamknięcia ksiąg dochodów i wydatków Europejskiego Instytutu Innowacji i Technologii (EIT) za rok budżetowy 2022</w:t>
      </w:r>
      <w:r>
        <w:t xml:space="preserve"> </w:t>
      </w:r>
      <w:r w:rsidR="002A2A16" w:rsidRPr="007A68FE">
        <w:t>(2023/2154(DEC))</w:t>
      </w:r>
    </w:p>
    <w:p w:rsidR="002A2A16" w:rsidRPr="007A68FE" w:rsidRDefault="002A2A16" w:rsidP="002A2A16">
      <w:pPr>
        <w:pStyle w:val="EPComma"/>
      </w:pPr>
      <w:r w:rsidRPr="007A68FE">
        <w:rPr>
          <w:i/>
          <w:iCs/>
        </w:rPr>
        <w:t>Parlament Europejski,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końcowe roczne sprawozdanie finansowe Europejskiego Instytutu Innowacji i Technologii (EIT) za rok budżetowy 2022,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sprawozdanie roczne Trybunału Obrachunkowego dotyczące agencji UE za rok budżetowy 2022 wraz z odpowiedziami agencji</w:t>
      </w:r>
      <w:r w:rsidRPr="007A68FE">
        <w:rPr>
          <w:rStyle w:val="FootnoteReference"/>
        </w:rPr>
        <w:footnoteReference w:id="6"/>
      </w:r>
      <w:r w:rsidRPr="007A68FE">
        <w:t>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poświadczenie wiarygodności</w:t>
      </w:r>
      <w:r w:rsidRPr="007A68FE">
        <w:rPr>
          <w:rStyle w:val="FootnoteReference"/>
        </w:rPr>
        <w:footnoteReference w:id="7"/>
      </w:r>
      <w:r w:rsidRPr="007A68FE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zalecenie Rady z dnia 22 lutego 2024 r</w:t>
      </w:r>
      <w:r w:rsidRPr="00226568">
        <w:t>. w sprawie udzielenia Instytutowi absolutorium z wykonania budżetu za rok budżetowy 2022 (</w:t>
      </w:r>
      <w:r w:rsidR="00226568" w:rsidRPr="00226568">
        <w:t>06180/2024 – C9</w:t>
      </w:r>
      <w:r w:rsidR="00226568" w:rsidRPr="00226568">
        <w:noBreakHyphen/>
        <w:t>0092/2024</w:t>
      </w:r>
      <w:r w:rsidRPr="00226568">
        <w:t>),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art. 319 Traktatu o funkcjonowaniu Unii Europejskiej,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rozporządzenie Parlamentu Europe</w:t>
      </w:r>
      <w:r w:rsidR="00DB3D5D">
        <w:t xml:space="preserve">jskiego i Rady (UE, </w:t>
      </w:r>
      <w:proofErr w:type="spellStart"/>
      <w:r w:rsidR="00DB3D5D">
        <w:t>Euratom</w:t>
      </w:r>
      <w:proofErr w:type="spellEnd"/>
      <w:r w:rsidR="00DB3D5D">
        <w:t xml:space="preserve">) </w:t>
      </w:r>
      <w:r w:rsidRPr="007A68FE">
        <w:t xml:space="preserve">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7A68FE">
        <w:t>Euratom</w:t>
      </w:r>
      <w:proofErr w:type="spellEnd"/>
      <w:r w:rsidRPr="007A68FE">
        <w:t>) nr 966/2012</w:t>
      </w:r>
      <w:r w:rsidRPr="007A68FE">
        <w:rPr>
          <w:rStyle w:val="FootnoteReference"/>
        </w:rPr>
        <w:footnoteReference w:id="8"/>
      </w:r>
      <w:r w:rsidRPr="007A68FE">
        <w:t>, w szczególności jego art. 70,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rozporządzenie Parlamentu Europejskiego i Rady (UE) 2021/819 z dnia 20 maja 2021 r. w sprawie Europejskiego Instytutu Innowacji i Technologii</w:t>
      </w:r>
      <w:r w:rsidRPr="007A68FE">
        <w:rPr>
          <w:rStyle w:val="FootnoteReference"/>
        </w:rPr>
        <w:footnoteReference w:id="9"/>
      </w:r>
      <w:r w:rsidRPr="007A68FE">
        <w:t>, w szczególności jego art. 23,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7A68FE">
        <w:t>Euratom</w:t>
      </w:r>
      <w:proofErr w:type="spellEnd"/>
      <w:r w:rsidRPr="007A68FE">
        <w:t xml:space="preserve">, o których mowa w art. 70 rozporządzenia Parlamentu Europejskiego i Rady (UE, </w:t>
      </w:r>
      <w:proofErr w:type="spellStart"/>
      <w:r w:rsidRPr="007A68FE">
        <w:t>Euratom</w:t>
      </w:r>
      <w:proofErr w:type="spellEnd"/>
      <w:r w:rsidRPr="007A68FE">
        <w:t>) 2018/1046</w:t>
      </w:r>
      <w:r w:rsidRPr="007A68FE">
        <w:rPr>
          <w:rStyle w:val="FootnoteReference"/>
        </w:rPr>
        <w:footnoteReference w:id="10"/>
      </w:r>
      <w:r w:rsidRPr="007A68FE">
        <w:t>, w szczególności jego art. 105,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art. 100 Regulaminu i załącznik V do Regulaminu,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sprawozdanie Komisji Kontroli Budżetowej (A9-0132/2024),</w:t>
      </w:r>
    </w:p>
    <w:p w:rsidR="002A2A16" w:rsidRPr="007A68FE" w:rsidRDefault="002A2A16" w:rsidP="002A2A16">
      <w:pPr>
        <w:pStyle w:val="NormalHanging12a"/>
      </w:pPr>
      <w:r w:rsidRPr="007A68FE">
        <w:t>1.</w:t>
      </w:r>
      <w:r w:rsidRPr="007A68FE">
        <w:tab/>
      </w:r>
      <w:proofErr w:type="gramStart"/>
      <w:r w:rsidRPr="007A68FE">
        <w:t>zatwierdza</w:t>
      </w:r>
      <w:proofErr w:type="gramEnd"/>
      <w:r w:rsidRPr="007A68FE">
        <w:t xml:space="preserve"> zamknięcie ksiąg dochodów i wydatków Europejskiego Instytutu Innowacji </w:t>
      </w:r>
      <w:r w:rsidRPr="007A68FE">
        <w:lastRenderedPageBreak/>
        <w:t>i Technologii (EIT) za rok budżetowy 2022;</w:t>
      </w:r>
    </w:p>
    <w:p w:rsidR="002A2A16" w:rsidRPr="007A68FE" w:rsidRDefault="002A2A16" w:rsidP="002A2A16">
      <w:pPr>
        <w:pStyle w:val="NormalHanging12a"/>
      </w:pPr>
      <w:r w:rsidRPr="007A68FE">
        <w:t>2.</w:t>
      </w:r>
      <w:r w:rsidRPr="007A68FE">
        <w:tab/>
      </w:r>
      <w:proofErr w:type="gramStart"/>
      <w:r w:rsidRPr="007A68FE">
        <w:t>zobowiązuje</w:t>
      </w:r>
      <w:proofErr w:type="gramEnd"/>
      <w:r w:rsidRPr="007A68FE">
        <w:t xml:space="preserve"> swoją przewodniczącą do przekazania niniejszej decyzji dyrektorowi Europejskiego Instytutu Innowacji i Technologii (EIT), Radzie, Komisji i Trybunałowi Obrachunkowemu oraz do zarządzenia jej publikacji w Dzienniku Urzędowym Unii Europejskiej (seria L).</w:t>
      </w:r>
    </w:p>
    <w:p w:rsidR="002A2A16" w:rsidRPr="007A68FE" w:rsidRDefault="002A2A16" w:rsidP="002A2A16"/>
    <w:p w:rsidR="002A2A16" w:rsidRPr="007A68FE" w:rsidRDefault="002A2A16" w:rsidP="002A2A16">
      <w:pPr>
        <w:widowControl/>
        <w:rPr>
          <w:rFonts w:ascii="Arial" w:hAnsi="Arial" w:cs="Arial"/>
          <w:b/>
        </w:rPr>
        <w:sectPr w:rsidR="002A2A16" w:rsidRPr="007A68FE" w:rsidSect="007A68FE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2A2A16" w:rsidRPr="007A68FE" w:rsidRDefault="00CF6C1C" w:rsidP="00CF6C1C">
      <w:pPr>
        <w:pStyle w:val="ATHeading3"/>
      </w:pPr>
      <w:bookmarkStart w:id="10" w:name="_Toc146809151"/>
      <w:bookmarkStart w:id="11" w:name="_Toc161932953"/>
      <w:r>
        <w:lastRenderedPageBreak/>
        <w:t>3. Rezolucja Parlamentu</w:t>
      </w:r>
      <w:r w:rsidR="002A2A16" w:rsidRPr="007A68FE">
        <w:t xml:space="preserve"> E</w:t>
      </w:r>
      <w:bookmarkEnd w:id="10"/>
      <w:bookmarkEnd w:id="11"/>
      <w:r>
        <w:t>uropejskiego z dnia 11 kwietnia 2024 r. zawierająca</w:t>
      </w:r>
      <w:r w:rsidR="002A2A16" w:rsidRPr="007A68FE">
        <w:t xml:space="preserve"> uwagi stanowiące integralną część decyzji w sprawie absolutorium z wykonania budżetu Europejskiego Instytutu Innowacji i Technologii (EIT) za rok budżetowy 2022</w:t>
      </w:r>
      <w:r>
        <w:t xml:space="preserve"> </w:t>
      </w:r>
      <w:r w:rsidR="002A2A16" w:rsidRPr="007A68FE">
        <w:t>(2023/2154(DEC))</w:t>
      </w:r>
    </w:p>
    <w:p w:rsidR="002A2A16" w:rsidRPr="007A68FE" w:rsidRDefault="002A2A16" w:rsidP="002A2A16">
      <w:pPr>
        <w:pStyle w:val="EPComma"/>
      </w:pPr>
      <w:r w:rsidRPr="007A68FE">
        <w:t>Parlament Europejski,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swoją decyzję w sprawie absolutorium z wykonania budżetu Europejskiego Instytutu Innowacji i Technologii („Instytut”) za rok budżetowy 2022,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art. 100 Regulaminu i załącznik V do Regulaminu,</w:t>
      </w:r>
    </w:p>
    <w:p w:rsidR="002A2A16" w:rsidRPr="007A68FE" w:rsidRDefault="002A2A16" w:rsidP="002A2A16">
      <w:pPr>
        <w:pStyle w:val="NormalHanging12a"/>
      </w:pPr>
      <w:r w:rsidRPr="007A68FE">
        <w:t>–</w:t>
      </w:r>
      <w:r w:rsidRPr="007A68FE">
        <w:tab/>
        <w:t>uwzględniając sprawozdanie Komisji Kontroli Budżetowej (A9-0132/2024),</w:t>
      </w:r>
    </w:p>
    <w:p w:rsidR="002A2A16" w:rsidRPr="007A68FE" w:rsidRDefault="002A2A16" w:rsidP="002A2A16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7A68FE">
        <w:rPr>
          <w:color w:val="auto"/>
        </w:rPr>
        <w:t>A.</w:t>
      </w:r>
      <w:r w:rsidRPr="007A68FE">
        <w:rPr>
          <w:color w:val="auto"/>
        </w:rPr>
        <w:tab/>
      </w:r>
      <w:proofErr w:type="gramStart"/>
      <w:r w:rsidRPr="007A68FE">
        <w:rPr>
          <w:color w:val="auto"/>
        </w:rPr>
        <w:t>mając</w:t>
      </w:r>
      <w:proofErr w:type="gramEnd"/>
      <w:r w:rsidRPr="007A68FE">
        <w:rPr>
          <w:color w:val="auto"/>
        </w:rPr>
        <w:t xml:space="preserve"> na uwadze, że zgodnie z zestawieniem dochodów i wydatków</w:t>
      </w:r>
      <w:r w:rsidRPr="007A68FE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7A68FE">
        <w:rPr>
          <w:color w:val="auto"/>
        </w:rPr>
        <w:t xml:space="preserve"> ostateczny budżet Instytutu na rok budżetowy 2022 wyniósł 406 585 390,99 EUR, czyli o 12,65 % więcej niż w 2021 r.; mając na uwadze, że budżet Instytutu pochodzi głównie z budżetu Unii;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B.</w:t>
      </w:r>
      <w:r w:rsidRPr="007A68FE">
        <w:tab/>
        <w:t>mając na uwadze, że Trybunał Obrachunkowy („Trybunał”) w sprawozdaniu dotyczącym rocznego sprawozdania finansowego Instytutu za rok budżetowy 2022 („sprawozdanie Trybunału”) stwierdził, iż uzyskał wystarczającą pewność, że sprawozdanie finansowe Instytutu jest wiarygodne oraz że transakcje leżące u jego podstaw są zgodne z prawem i prawidłowe;</w:t>
      </w:r>
    </w:p>
    <w:p w:rsidR="002A2A16" w:rsidRPr="007A68FE" w:rsidRDefault="002A2A16" w:rsidP="002A2A16">
      <w:pPr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Zarządzanie budżetem i finansami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1.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starania o monitorowanie budżetu w roku budżetowym 2022 przyniosły wskaźnik wykonania środków na zobowiązania na ten rok w wysokości 94,03 %, czyli o 3,88 % więcej niż w 2021 r.; zwraca uwagę, że wskaźnik wykonania środków na płatności wyniósł 98,42 %, czyli o 1,06 % mniej niż w roku 2021;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kwota ostatecznego budżetu Instytutu wynika z poprawki o 656 930,67 EUR, przyjętej przez radę zarządzającą w związku ze zmianami wprowadzonymi do rocznego programu prac Instytutu na 2022 r.;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niepokojem zauważa, że niezależny audytor zewnętrzny zweryfikował </w:t>
      </w:r>
      <w:r w:rsidRPr="007A68FE">
        <w:rPr>
          <w:i/>
          <w:iCs/>
        </w:rPr>
        <w:t>ex post</w:t>
      </w:r>
      <w:r w:rsidRPr="007A68FE">
        <w:t xml:space="preserve"> uwagę Trybunału dotyczącą legalności i prawidłowości dotacji Instytutu, a poziom błędu w 2021 r. wyniósł 1,73 % (0,66 % w 2020 r.), i podkreśla, że chociaż poziom błędu jest nadal poniżej progu istotności wynoszącego 2 %, krytyczne ryzyko wynikające ze zwiększenia budżetu oraz rozszerzenia mandatu i działań w programie „Horyzont Europa” w połączeniu ze wzrostem liczby wspólnot wiedzy i innowacji (</w:t>
      </w:r>
      <w:proofErr w:type="spellStart"/>
      <w:r w:rsidRPr="007A68FE">
        <w:t>WWiI</w:t>
      </w:r>
      <w:proofErr w:type="spellEnd"/>
      <w:r w:rsidRPr="007A68FE">
        <w:t xml:space="preserve">) może negatywnie odbić się na zdolności Instytutu do skutecznego nadzorowania i monitorowania </w:t>
      </w:r>
      <w:proofErr w:type="spellStart"/>
      <w:r w:rsidRPr="007A68FE">
        <w:t>WWiI</w:t>
      </w:r>
      <w:proofErr w:type="spellEnd"/>
      <w:r w:rsidRPr="007A68FE">
        <w:t>, a to może w przyszłości przynieść wyższy poziom błędu i niewykrycie nieprawidłowości; apeluje do Instytutu o konkretne działania mające obniżyć poziom błędu;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4.</w:t>
      </w:r>
      <w:r w:rsidRPr="007A68FE">
        <w:tab/>
      </w:r>
      <w:proofErr w:type="gramStart"/>
      <w:r w:rsidRPr="007A68FE">
        <w:t>na</w:t>
      </w:r>
      <w:proofErr w:type="gramEnd"/>
      <w:r w:rsidRPr="007A68FE">
        <w:t xml:space="preserve"> podstawie sprawozdania Trybunału zauważa, że w 2022 r. Instytut w dwóch przypadkach zapłacił odsetki za zwłokę w wypłacie dotacji, na łączną kwotę </w:t>
      </w:r>
      <w:r w:rsidRPr="007A68FE">
        <w:lastRenderedPageBreak/>
        <w:t>32 070 EUR; zaznacza, że w obu przypadkach Instytut nie śledził należycie terminów określonych w przepisach, co dowodzi niedociągnięć w procesie realizowania płatności przez Instytut;</w:t>
      </w:r>
      <w:r w:rsidRPr="007A68FE">
        <w:rPr>
          <w:rFonts w:ascii="Calibri" w:hAnsi="Calibri"/>
          <w:color w:val="000000"/>
          <w:sz w:val="22"/>
        </w:rPr>
        <w:t xml:space="preserve"> </w:t>
      </w:r>
      <w:r w:rsidRPr="007A68FE">
        <w:t>zauważa, że według odpowiedzi Instytutu na uwagę Trybunału już w 2023 r. Instytut przeprowadził przegląd swoich procesów zarządzania dotacjami i przeszkolił odpowiednich pracowników oraz korzysta z systemu informatycznego Komisji do zarządzania dotacjami (</w:t>
      </w:r>
      <w:proofErr w:type="spellStart"/>
      <w:r w:rsidRPr="007A68FE">
        <w:t>eGrants</w:t>
      </w:r>
      <w:proofErr w:type="spellEnd"/>
      <w:r w:rsidRPr="007A68FE">
        <w:t>), co znacznie zmniejsza prawdopodobieństwo wystąpienia podobnego błędu w przyszłości;</w:t>
      </w:r>
    </w:p>
    <w:p w:rsidR="002A2A16" w:rsidRPr="007A68FE" w:rsidRDefault="002A2A16" w:rsidP="002A2A16">
      <w:pPr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Wyniki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5.</w:t>
      </w:r>
      <w:r w:rsidRPr="007A68FE">
        <w:tab/>
      </w:r>
      <w:proofErr w:type="gramStart"/>
      <w:r w:rsidRPr="007A68FE">
        <w:t>zauważa</w:t>
      </w:r>
      <w:proofErr w:type="gramEnd"/>
      <w:r w:rsidRPr="007A68FE">
        <w:t xml:space="preserve"> z zadowoleniem, że Instytut stosuje system kluczowych wskaźników skuteczności (KPI) działań operacyjnych, zarządzania i komunikacji korporacyjnej; zauważa też, że Instytut zrealizował z pewnymi opóźnieniami około 95 % swojego programu prac na 2022 r.; odnotowuje, że zgodnie z Nowym europejskim planem innowacji Instytutowi powierzono nowe zadania, które nie były ujęte w pierwotnym planie i na które nie przeznaczono żadnych dodatkowych zasobów;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6.</w:t>
      </w:r>
      <w:r w:rsidRPr="007A68FE">
        <w:tab/>
      </w:r>
      <w:proofErr w:type="gramStart"/>
      <w:r w:rsidRPr="007A68FE">
        <w:t>pozytywnie</w:t>
      </w:r>
      <w:proofErr w:type="gramEnd"/>
      <w:r w:rsidRPr="007A68FE">
        <w:t xml:space="preserve"> ocenia to, że w 2022 r. Instytut nadal zwiększał swój wpływ, umożliwiając realizację niemal 1670 innowacyjnych produktów i usług, szkoląc tysiące przedsiębiorców oraz wspierając 5600 przedsiębiorstw typu start-</w:t>
      </w:r>
      <w:proofErr w:type="spellStart"/>
      <w:r w:rsidRPr="007A68FE">
        <w:t>up</w:t>
      </w:r>
      <w:proofErr w:type="spellEnd"/>
      <w:r w:rsidRPr="007A68FE">
        <w:t xml:space="preserve"> i </w:t>
      </w:r>
      <w:proofErr w:type="spellStart"/>
      <w:r w:rsidRPr="007A68FE">
        <w:t>scale-up</w:t>
      </w:r>
      <w:proofErr w:type="spellEnd"/>
      <w:r w:rsidRPr="007A68FE">
        <w:t>, które przyciągnęły inwestycje w wysokości blisko 6 mld EUR; zauważa też, że Instytut zakończył integrację z programem „Horyzont Europa” i przeszedł na wieloletni model finansowania;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7.</w:t>
      </w:r>
      <w:r w:rsidRPr="007A68FE">
        <w:tab/>
      </w:r>
      <w:proofErr w:type="gramStart"/>
      <w:r w:rsidRPr="007A68FE">
        <w:t>odnotowuje</w:t>
      </w:r>
      <w:proofErr w:type="gramEnd"/>
      <w:r w:rsidRPr="007A68FE">
        <w:t xml:space="preserve"> postępy Instytutu we wdrażaniu rozpoczętej w 2021 r. inicjatywy pilotażowej „Budowanie zdolności innowacyjnych na rzecz szkolnictwa wyższego”, w postaci zwiększonego zainteresowania i udziału instytucji szkolnictwa wyższego; zauważa uznanie Instytutu za należący do najważniejszych uczestników i podmiotów europejskiego ekosystemu innowacji dzięki rozpoczęciu inicjatywy na rzecz talentów w dziedzinie zaawansowanych technologii, mającej w ciągu najbliższych trzech lat pozwolić co najmniej milionowi utalentowanych osób nabyć nowe umiejętności, przekwalifikować się lub podnieść kwalifikacje;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8.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zadowoleniem przyjmuje wsparcie Instytutu dla Ukraińców po bezprawnej i niesprowokowanej inwazji rosyjskiej w lutym 2022 r., w postaci pomocy dla studentów, przedsiębiorców, naukowców, instytucji szkolnictwa wyższego i przedsiębiorstw; zauważa ponadto, że Instytut uruchomił Akademię Europejskiego Sojuszu na rzecz Baterii w programie Wsparcia na rzecz odbudowy służącej spójności oraz terytoriom Europy, co jest pierwszym znacznym przydziałem środków dla Instytutu z innego programu;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Wydajność i poprawa wyników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9.</w:t>
      </w:r>
      <w:r w:rsidRPr="007A68FE">
        <w:tab/>
      </w:r>
      <w:proofErr w:type="gramStart"/>
      <w:r w:rsidRPr="007A68FE">
        <w:t>odnotowuje</w:t>
      </w:r>
      <w:proofErr w:type="gramEnd"/>
      <w:r w:rsidRPr="007A68FE">
        <w:t xml:space="preserve"> podpisanie przez Instytut protokołu ustaleń z Agencją Unii Europejskiej ds. Szkolenia w Dziedzinie Ścigania, obejmujący szereg wspólnych działań i ocen bezpieczeństwa; przypomina, że wspólne działania łączą różne perspektywy, ograniczają powielanie wysiłków, poprawiają uczenie się i zacieśniają relacje między uczestnikami; zauważa też, że chcąc poprawić efektywność, Instytut rozpoczął w 2021 r. przechodzenie z programu „Horyzont 2020” do programu „Horyzont Europa”, które zakończył w 2022 r. we współpracy z Komisją;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lastRenderedPageBreak/>
        <w:t>10.</w:t>
      </w:r>
      <w:r w:rsidRPr="007A68FE">
        <w:tab/>
      </w:r>
      <w:proofErr w:type="gramStart"/>
      <w:r w:rsidRPr="007A68FE">
        <w:t>odnotowuje</w:t>
      </w:r>
      <w:proofErr w:type="gramEnd"/>
      <w:r w:rsidRPr="007A68FE">
        <w:t>, że Instytut przyjął różne przeglądy efektywności procesów, dzięki czemu dostosowano m.in. opisy stanowisk pracy, cele kadrowe oraz podział zadań i zasobów; zauważa, że w 2022 r. Instytut przeprowadził restrukturyzację i przyjął dokument o metodach pracy, m.in. w celu zwiększenia efektywności, np. w korzystaniu z poczty elektronicznej, prowadzeniu spotkań i organizacji pracy zdalnej;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11.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zadowoleniem odnotowuje, że w 2022 r. wprowadzono nowe narzędzia informatyczne wspierające działania administracyjne Instytutu, co ma ostatecznie zwiększyć efektywność operacyjną i skuteczność organizacji, w tym narzędzie do zarządzania zamówieniami publicznymi PPMT, Q-</w:t>
      </w:r>
      <w:proofErr w:type="spellStart"/>
      <w:r w:rsidRPr="007A68FE">
        <w:t>Sign</w:t>
      </w:r>
      <w:proofErr w:type="spellEnd"/>
      <w:r w:rsidRPr="007A68FE">
        <w:t xml:space="preserve"> (podpis elektroniczny) oraz różne moduły systemu Komisji Europejskiej do zarządzania informacjami o zasobach ludzkich (SYSPER); zwraca się do Instytutu o poszukiwanie kolejnych procedur wewnętrznych, które można usprawnić za pomocą nowych narzędzi informatycznych;</w:t>
      </w:r>
    </w:p>
    <w:p w:rsidR="002A2A16" w:rsidRPr="007A68FE" w:rsidRDefault="002A2A16" w:rsidP="002A2A16">
      <w:pPr>
        <w:pStyle w:val="NormalHanging12a"/>
      </w:pPr>
      <w:r w:rsidRPr="007A68FE">
        <w:t>12.</w:t>
      </w:r>
      <w:r w:rsidRPr="007A68FE">
        <w:tab/>
      </w:r>
      <w:proofErr w:type="gramStart"/>
      <w:r w:rsidRPr="007A68FE">
        <w:t>przypomina</w:t>
      </w:r>
      <w:proofErr w:type="gramEnd"/>
      <w:r w:rsidRPr="007A68FE">
        <w:t xml:space="preserve"> o znaczeniu większej cyfryzacji Instytutu dla jego wewnętrznego funkcjonowania i zarządzania, ale także dla przyspieszenia cyfryzacji procedur; podkreśla, że Instytut powinien zachować proaktywną postawę w tym względzie, aby uniknąć powstania przepaści cyfrowej między agencjami Unii; zwraca jednak uwagę, że trzeba przyjąć wszelkie niezbędne środki, by uniknąć wszelkiego ryzyka dla bezpieczeństwa przetwarzanych informacji w </w:t>
      </w:r>
      <w:proofErr w:type="spellStart"/>
      <w:r w:rsidRPr="007A68FE">
        <w:t>internecie</w:t>
      </w:r>
      <w:proofErr w:type="spellEnd"/>
      <w:r w:rsidRPr="007A68FE">
        <w:t>, i kładzie nacisk na konieczność zwiększenia zabezpieczeń przed atakami cybernetycznymi lub próbami infiltracji, zwłaszcza ze strony Rosji lub Chin;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rPr>
          <w:b/>
          <w:i/>
        </w:rPr>
        <w:t>Polityka kadrowa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13.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na 31 grudnia 2022 r. plan zatrudnienia zrealizowano w 93 % – na czas określony obsadzonych było 40 stanowisk z 45, na które w tej kategorii pracowników pozwalał budżet Unii (bez zmian w stosunku do 2021 r.); zauważa, że w 2022 r. dla Instytutu pracowało również 25 pracowników kontraktowych, 10 pracowników tymczasowych i jeden oddelegowany ekspert krajowy;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7A68FE">
        <w:t>14.</w:t>
      </w:r>
      <w:r w:rsidRPr="007A68FE">
        <w:tab/>
      </w:r>
      <w:proofErr w:type="gramStart"/>
      <w:r w:rsidRPr="007A68FE">
        <w:t>jest</w:t>
      </w:r>
      <w:proofErr w:type="gramEnd"/>
      <w:r w:rsidRPr="007A68FE">
        <w:t xml:space="preserve"> zaniepokojony, że ciągłych niedoborów personelu w Instytucie, na które Trybunał zwrócił uwagę w sprawozdaniach rocznych, nie kompensowano tworzeniem dodatkowych stanowisk; podkreśla, że Instytut na początku 2023 r. ponowił wniosek o dodatkowych 10 stanowisk, które umożliwiłyby mu realizację programu prac na 2024 r.; zwraca uwagę, że trzeba dostosować zasoby Instytutu do oczekiwań wynikających z jego mandatu;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15.</w:t>
      </w:r>
      <w:r w:rsidRPr="007A68FE">
        <w:tab/>
      </w:r>
      <w:proofErr w:type="gramStart"/>
      <w:r w:rsidRPr="007A68FE">
        <w:t>przyjmuje</w:t>
      </w:r>
      <w:proofErr w:type="gramEnd"/>
      <w:r w:rsidRPr="007A68FE">
        <w:t xml:space="preserve"> do wiadomości rozkład płci wśród kadry kierowniczej wyższego i średniego szczebla Instytutu, gdzie 5 z 8 stanowisk zajmują mężczyźni; jest zaniepokojony stanem równowagi płci w radzie zarządzającej, gdzie 9 z 14 stanowisk zajmują mężczyźni; odnotowuje rozkład płci wśród personelu Instytutu, gdzie 28 z 65 osób to mężczyźni; zauważa, że w 2022 r. zatwierdzono politykę i plan działania Instytutu na rzecz równouprawnienia płci; przypomina, że trzeba zapewnić równowagę płci, i wzywa Instytut, by pamiętał o tym w przyszłych naborach pracowników i nominacjach na stanowiska kadry kierowniczej wyższego i średniego szczebla; apeluje do Komisji, aby podczas mianowania kandydatów na członków rady zarządzającej Instytutu uwzględniała znaczenie, jakie ma zapewnienie </w:t>
      </w:r>
      <w:proofErr w:type="gramStart"/>
      <w:r w:rsidRPr="007A68FE">
        <w:t>równowagi</w:t>
      </w:r>
      <w:proofErr w:type="gramEnd"/>
      <w:r w:rsidRPr="007A68FE">
        <w:t xml:space="preserve"> płci;</w:t>
      </w:r>
    </w:p>
    <w:p w:rsidR="002A2A16" w:rsidRPr="007A68FE" w:rsidRDefault="002A2A16" w:rsidP="002A2A16">
      <w:pPr>
        <w:pStyle w:val="NormalHanging12a"/>
      </w:pPr>
      <w:r w:rsidRPr="007A68FE">
        <w:t>16.</w:t>
      </w:r>
      <w:r w:rsidRPr="007A68FE">
        <w:tab/>
      </w:r>
      <w:proofErr w:type="gramStart"/>
      <w:r w:rsidRPr="007A68FE">
        <w:t>wyraża</w:t>
      </w:r>
      <w:proofErr w:type="gramEnd"/>
      <w:r w:rsidRPr="007A68FE">
        <w:t xml:space="preserve"> zaniepokojenie brakiem równowagi geograficznej wśród kadry kierowniczej wyższego i średniego szczebla Instytutu, gdzie tylko jedna osoba reprezentuje Europę </w:t>
      </w:r>
      <w:r w:rsidRPr="007A68FE">
        <w:lastRenderedPageBreak/>
        <w:t>Środkowo-Wschodnią; nalega na wprowadzenie usprawnień; zwraca się do Instytutu o przedstawienie organowi udzielającemu absolutorium sprawozdania na ten temat;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17.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zadowoleniem przyjmuje inicjatywy Instytutu mające zwiększać znaczenie równowagi płci, takie jak program dla szkół „Girls Go </w:t>
      </w:r>
      <w:proofErr w:type="spellStart"/>
      <w:r w:rsidRPr="007A68FE">
        <w:t>Circular</w:t>
      </w:r>
      <w:proofErr w:type="spellEnd"/>
      <w:r w:rsidRPr="007A68FE">
        <w:t xml:space="preserve">” i program </w:t>
      </w:r>
      <w:proofErr w:type="spellStart"/>
      <w:r w:rsidRPr="007A68FE">
        <w:t>Supernovas</w:t>
      </w:r>
      <w:proofErr w:type="spellEnd"/>
      <w:r w:rsidRPr="007A68FE">
        <w:t xml:space="preserve"> wspierający kobiece przedsiębiorczość i przywództwo; zauważa ponadto, że w 2023 r. Instytut przyjął Kartę EUAN na rzecz różnorodności i włączenia społecznego, czym potwierdził, że zobowiązuje się zapewniać równe szanse na wszystkich szczeblach kariery i tworzyć środowisko pracy, w którym różnorodność postrzega się jako źródło innowacji, wzbogacania i kreatywności, a kadra kierownicza i wszyscy pracownicy wspierają integrację;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18</w:t>
      </w:r>
      <w:r w:rsidR="00DB3D5D">
        <w:t>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Instytut wdrożył większość modułów systemu SYSPER w 2022 r. i będzie kontynuować ten proces w 2023 r.; odnotowuje, że Instytut przyjął Kartę sieci agencji Unii Europejskiej na rzecz różnorodności i włączenia społecznego, wykazując się zaangażowaniem w zapewnianie równych szans i poprawę środowiska pracy; zauważa też, że Instytut wprowadził szereg środków służących dobrostanowi pracowników w miejscu pracy i równowadze między życiem zawodowym a prywatnym, w tym pokrycie kosztów transportu publicznego, dostęp do międzynarodowych przedszkoli dla dzieci pracowników, elastyczne i hybrydowe warunki pracy;</w:t>
      </w:r>
    </w:p>
    <w:p w:rsidR="002A2A16" w:rsidRPr="007A68FE" w:rsidRDefault="002A2A16" w:rsidP="002A2A16">
      <w:pPr>
        <w:pStyle w:val="NormalHanging12a"/>
      </w:pPr>
      <w:r w:rsidRPr="007A68FE">
        <w:t>19.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w programie mapy szkoleń, opracowanym z myślą o poprawie ogólnych wyników Instytutu i jego pracowników, Instytut nadal oferował pracownikom szkolenia online, w tym z dziedziny etyki i uczciwości, zapobiegania molestowaniu, ochrony danych, skuteczności spotkań hybrydowych, świadomości bezpieczeństwa informatycznego i szkolenia w zakresie bezpieczeństwa;</w:t>
      </w:r>
    </w:p>
    <w:p w:rsidR="002A2A16" w:rsidRPr="007A68FE" w:rsidRDefault="002A2A16" w:rsidP="002A2A16">
      <w:pPr>
        <w:pStyle w:val="NormalHanging12a"/>
      </w:pPr>
      <w:r w:rsidRPr="007A68FE">
        <w:t>20.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zadowoleniem przyjmuje to, że w 2022 r. z powodzeniem ogłoszono dwa zaproszenia do składania wniosków o staż; zauważa, że w rezultacie 23 młodych specjalistów wzięło udział w stażach w Instytucie, licząc staże rozpoczynające lub kończące się w 2022 r.;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A68FE">
        <w:t>21.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jeden były komisarz i jeden były poseł do Parlamentu Europejskiego jako członkowie rady zarządzającej otrzymują z budżetu Instytutu honoraria w wysokości 2 000 EUR za każde posiedzenie rady;</w:t>
      </w:r>
    </w:p>
    <w:p w:rsidR="002A2A16" w:rsidRPr="007A68FE" w:rsidRDefault="002A2A16" w:rsidP="002A2A16">
      <w:pPr>
        <w:pStyle w:val="NormalHanging12a"/>
      </w:pPr>
      <w:r w:rsidRPr="007A68FE">
        <w:t>22.</w:t>
      </w:r>
      <w:r w:rsidRPr="007A68FE">
        <w:tab/>
      </w:r>
      <w:proofErr w:type="gramStart"/>
      <w:r w:rsidRPr="007A68FE">
        <w:t>jest</w:t>
      </w:r>
      <w:proofErr w:type="gramEnd"/>
      <w:r w:rsidRPr="007A68FE">
        <w:t xml:space="preserve"> zaniepokojony, że w 2022 r. zgłoszono jeden przypadek molestowania i wszczęto w tej sprawie dochodzenie administracyjne, które jest jeszcze w toku; wzywa Instytut do jak najszybszego poinformowania organu udzielającego absolutorium o postępach w tej dziedzinie; zauważa, że Instytut prowadzi politykę ochrony godności osoby i zapobiegania nękaniu psychicznemu i molestowaniu seksualnemu oraz należy do zespołu zadaniowego zaufanych doradców; oczekuje na ich sprawozdanie i zalecenia;</w:t>
      </w:r>
    </w:p>
    <w:p w:rsidR="002A2A16" w:rsidRPr="007A68FE" w:rsidRDefault="002A2A16" w:rsidP="002A2A16">
      <w:pPr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Zapobieganie konfliktom interesów i zarządzanie nimi oraz przejrzystość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23.</w:t>
      </w:r>
      <w:r w:rsidRPr="007A68FE">
        <w:tab/>
      </w:r>
      <w:proofErr w:type="gramStart"/>
      <w:r w:rsidRPr="007A68FE">
        <w:t>odnotowuje</w:t>
      </w:r>
      <w:proofErr w:type="gramEnd"/>
      <w:r w:rsidRPr="007A68FE">
        <w:t xml:space="preserve"> już zrealizowane i aktualnie wdrażane działania Instytutu służące zapewnieniu przejrzystości, zapobieganiu konfliktom interesów i zarządzaniu nimi oraz zagwarantowaniu ochrony sygnalistów; zauważa, że Instytut opublikował na swojej stronie internetowej deklaracje interesów i życiorysy członków rady zarządzającej i zespołu zarządzającego;</w:t>
      </w:r>
      <w:r w:rsidRPr="007A68FE">
        <w:rPr>
          <w:rFonts w:ascii="Calibri" w:hAnsi="Calibri"/>
          <w:color w:val="1F497D"/>
          <w:sz w:val="22"/>
        </w:rPr>
        <w:t xml:space="preserve"> </w:t>
      </w:r>
      <w:r w:rsidRPr="007A68FE">
        <w:t xml:space="preserve">zauważa też, że Instytut publikuje na swojej stronie internetowej informacje o wszystkich posiedzeniach rady zarządzającej i zespołu </w:t>
      </w:r>
      <w:r w:rsidRPr="007A68FE">
        <w:lastRenderedPageBreak/>
        <w:t>zarządzającego odbywających się w danym miesiącu w czasie wydarzeń publicznych;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24.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Instytut przyjął politykę zapobiegania konfliktom interesów wśród pracowników i zarządzania takimi konfliktami, w tym procedury składania i oceny rocznych deklaracji o braku konfliktu interesów oraz procedurę regulującą naruszanie przepisów Instytutu dotyczących deklaracji o braku konfliktu interesów; odnotowuje ponadto, że Instytut powołał komitet doradczy ds. konfliktów interesów, zorganizował dla pracowników sesje informacyjne poświęcone etyce i uczciwości, a obecnie przygotowuje decyzję w sprawie wzorów i procedur administracyjnych dotyczących konfliktów interesów;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25.</w:t>
      </w:r>
      <w:r w:rsidRPr="007A68FE">
        <w:tab/>
      </w:r>
      <w:proofErr w:type="gramStart"/>
      <w:r w:rsidRPr="007A68FE">
        <w:t>z</w:t>
      </w:r>
      <w:proofErr w:type="gramEnd"/>
      <w:r w:rsidRPr="007A68FE">
        <w:t xml:space="preserve"> zadowoleniem przyjmuje starania Instytutu dotyczące trzech różnych deklaracji o braku konfliktu interesów członków rady zarządzającej: rocznej deklaracji o braku konfliktu interesów, deklaracji o braku konfliktu interesów w ocenie propozycji </w:t>
      </w:r>
      <w:proofErr w:type="spellStart"/>
      <w:r w:rsidRPr="007A68FE">
        <w:t>WWiI</w:t>
      </w:r>
      <w:proofErr w:type="spellEnd"/>
      <w:r w:rsidRPr="007A68FE">
        <w:t xml:space="preserve"> oraz deklaracji o braku konfliktu interesów w kwestii biznesplanu </w:t>
      </w:r>
      <w:proofErr w:type="spellStart"/>
      <w:r w:rsidRPr="007A68FE">
        <w:t>WWiI</w:t>
      </w:r>
      <w:proofErr w:type="spellEnd"/>
      <w:r w:rsidRPr="007A68FE">
        <w:t>; zauważa, że na podstawie rocznych deklaracji o braku konfliktu interesów stwierdzono, iż niektórzy członkowie rady zarządzającej znajdują się w sytuacji konfliktu interesów, poinformowano ich o tym i wprowadzono środki łagodzące;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26.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Instytut opracowuje nową politykę oceny ograniczeń i zakazów obejmowania niektórych stanowisk przez pracowników wyższego szczebla po zakończeniu kadencji; odnotowuje, że w polityce tej wskazane zostanie, jakich stanowisk można obejmować po zakończeniu kadencji, i ustalone zostaną kryteria zastosowania zakazu przechodzenia na takie stanowiska w przyszłości, w ograniczonym okresie dwóch lat; pozytywnie ocenia to, że na początku 2024 r. Instytut przyjmie również politykę i decyzję antykorupcyjną, która będzie podstawą do opracowania wewnętrznych mechanizmów antykorupcyjnych;</w:t>
      </w:r>
    </w:p>
    <w:p w:rsidR="002A2A16" w:rsidRPr="007A68FE" w:rsidRDefault="002A2A16" w:rsidP="002A2A16">
      <w:pPr>
        <w:pStyle w:val="NormalHanging12a"/>
        <w:rPr>
          <w:b/>
          <w:i/>
        </w:rPr>
      </w:pPr>
      <w:r w:rsidRPr="007A68FE">
        <w:t>27.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OLAF w wyniku dwóch różnych dochodzeń wydał dwa zalecenia, z których jedno wykonano w 2022 r., a drugie jest realizowane obecnie; zwraca się do Instytutu, by informował organ udzielający absolutorium o działaniach podjętych w związku z tymi zaleceniami;</w:t>
      </w:r>
    </w:p>
    <w:p w:rsidR="002A2A16" w:rsidRPr="007A68FE" w:rsidRDefault="002A2A16" w:rsidP="002A2A16">
      <w:pPr>
        <w:pStyle w:val="NormalHanging12a"/>
      </w:pPr>
      <w:r w:rsidRPr="007A68FE">
        <w:t>28.</w:t>
      </w:r>
      <w:r w:rsidRPr="007A68FE">
        <w:tab/>
      </w:r>
      <w:proofErr w:type="gramStart"/>
      <w:r w:rsidRPr="007A68FE">
        <w:t>przypomina</w:t>
      </w:r>
      <w:proofErr w:type="gramEnd"/>
      <w:r w:rsidRPr="007A68FE">
        <w:t xml:space="preserve">, że Instytut powinien lepiej prezentować swoje działania w mediach, </w:t>
      </w:r>
      <w:proofErr w:type="spellStart"/>
      <w:r w:rsidRPr="007A68FE">
        <w:t>internecie</w:t>
      </w:r>
      <w:proofErr w:type="spellEnd"/>
      <w:r w:rsidRPr="007A68FE">
        <w:t xml:space="preserve"> i mediach społecznościowych, by zapoznawać z nimi obywateli;</w:t>
      </w:r>
    </w:p>
    <w:p w:rsidR="002A2A16" w:rsidRPr="007A68FE" w:rsidRDefault="002A2A16" w:rsidP="002A2A16">
      <w:pPr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Zamówienia publiczne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29.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w przypadku trzech skontrolowanych płatności administracyjnych na kwotę 337 116 EUR Instytut zatwierdził zobowiązania budżetowe dopiero po podpisaniu danych zobowiązań prawnych; podkreśla, że nie jest to odosobniony incydent – Trybunał odnotował już podobny problem w sprawozdaniu z 2021 r.; przypomina, że jest to niezgodne z art. 73 ust. 2 rozporządzenia delegowanego Komisji (UE) 2019/715</w:t>
      </w:r>
      <w:r w:rsidRPr="007A68FE">
        <w:rPr>
          <w:rStyle w:val="FootnoteReference"/>
          <w:szCs w:val="24"/>
        </w:rPr>
        <w:footnoteReference w:id="12"/>
      </w:r>
      <w:r w:rsidRPr="007A68FE">
        <w:t xml:space="preserve"> (ramowe rozporządzenie finansowe); zauważa na podstawie odpowiedzi Instytutu, że zastosuje on dodatkowe środki, by zapewnić pełną zgodność z </w:t>
      </w:r>
      <w:r w:rsidRPr="007A68FE">
        <w:lastRenderedPageBreak/>
        <w:t>tym przepisem: zorganizuje specjalne sesje informacyjne dla pracowników, uaktualni obowiązujące procedury i udoskonali powiązane kontrole wewnętrzne; wzywa Instytut do natychmiastowych działań i wdrożenia środków zapewniających zgodność wszystkich transakcji finansowych z ramowym rozporządzeniem finansowym;</w:t>
      </w:r>
    </w:p>
    <w:p w:rsidR="002A2A16" w:rsidRPr="007A68FE" w:rsidRDefault="002A2A16" w:rsidP="002A2A16">
      <w:pPr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Kontrola wewnętrzna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30.</w:t>
      </w:r>
      <w:r w:rsidRPr="007A68FE">
        <w:tab/>
      </w:r>
      <w:proofErr w:type="gramStart"/>
      <w:r w:rsidRPr="007A68FE">
        <w:t>zauważa</w:t>
      </w:r>
      <w:proofErr w:type="gramEnd"/>
      <w:r w:rsidRPr="007A68FE">
        <w:t xml:space="preserve">, że Instytut zakończył przechodzenie funkcji audytu wewnętrznego na system monitorowania i nadzoru </w:t>
      </w:r>
      <w:proofErr w:type="spellStart"/>
      <w:r w:rsidRPr="007A68FE">
        <w:t>WWiI</w:t>
      </w:r>
      <w:proofErr w:type="spellEnd"/>
      <w:r w:rsidRPr="007A68FE">
        <w:t xml:space="preserve"> przyjęty decyzją rady zarządzającej nr 12/2022 ze skutkiem od 1 kwietnia 2022 r.; przyjmuje do wiadomości, że funkcję audytu wewnętrznego wykonuje obecnie służba audytu wewnętrznego Komisji (IAS); zauważa ponadto, że rozszerzono rolę koordynatora kontroli wewnętrznej, którego zadania obejmują koordynację działań kontroli wewnętrznej i sprawozdawczość w Instytucie, wdrażanie zaleceń z audytu, koordynowanie audytów, utrzymywanie kontaktów z zewnętrznymi organami kontroli oraz wkład w zarządzanie finansowe i operacyjne w takich obszarach jak zamówienia, realizacja umów, płatności i sprawozdawczość;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31</w:t>
      </w:r>
      <w:r w:rsidR="00565083">
        <w:t>.</w:t>
      </w:r>
      <w:bookmarkStart w:id="12" w:name="_GoBack"/>
      <w:bookmarkEnd w:id="12"/>
      <w:r w:rsidRPr="007A68FE">
        <w:tab/>
        <w:t>zauważa, że IAS rozpoczął w 2022 r. przygotowanie strategicznego planu audytu wewnętrznego Instytutu na lata 2023–2025; odnotowuje też, że IAS rozpoczął (zakończony w 2023 r.) audyt zarządzania ekspertami w Instytucie mający ocenić skuteczność systemu kontroli wewnętrznej procesów zarządzania ekspertami w Instytucie, w tym ich wyboru, zawierania umów z nimi i płatności;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32.</w:t>
      </w:r>
      <w:r w:rsidRPr="007A68FE">
        <w:tab/>
      </w:r>
      <w:proofErr w:type="gramStart"/>
      <w:r w:rsidRPr="007A68FE">
        <w:t>zwraca</w:t>
      </w:r>
      <w:proofErr w:type="gramEnd"/>
      <w:r w:rsidRPr="007A68FE">
        <w:t xml:space="preserve"> uwagę, że realizacja istotnego zalecenia IAS z kontroli zarządzania zasobami ludzkimi z 2021 r., dotyczącego oceny i zmiany klasyfikacji, opóźniła się znacznie, bo aż o 15 miesięcy; zauważa, że wskazane zagrożenia obejmowały potencjalne opóźnienia i nieskuteczność działań, potencjalnie nieprawidłowe uzasadnienia decyzji zarządczych prowadzące do problemów w postaci procedur odwoławczych lub postępowań przed Trybunałem, niezadowolenia i demotywacji pracowników, ryzyka niewypełnienia zadań wspólnego komitetu ds. zmiany klasyfikacji, a także ogólnej utraty wiarygodności procesu zmiany zaszeregowania i mechanizmu przeglądu, prowadzącej do demotywacji pracowników; wzywa Instytut do aktywnych działań mających zaradzić wszelkim potencjalnym opóźnieniom i nieskuteczności w ocenie i zmianie klasyfikacji oraz do złożenia organowi </w:t>
      </w:r>
      <w:proofErr w:type="gramStart"/>
      <w:r w:rsidRPr="007A68FE">
        <w:t>udzielającemu</w:t>
      </w:r>
      <w:proofErr w:type="gramEnd"/>
      <w:r w:rsidRPr="007A68FE">
        <w:t xml:space="preserve"> absolutorium sprawozdania z postępów w tej kwestii;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33.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Instytut zwiększył swoje interakcje z OLAF, odbył spotkania dwustronne i uczestniczył w sesjach informacyjnych poświęconych zwalczaniu nadużyć finansowych; odnotowuje też, że Instytut wdrożył strategię zwalczania nadużyć finansowych na lata 2021–2023, przyjętą w maju 2021 r.;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34.</w:t>
      </w:r>
      <w:r w:rsidRPr="007A68FE">
        <w:tab/>
      </w:r>
      <w:proofErr w:type="gramStart"/>
      <w:r w:rsidRPr="007A68FE">
        <w:t>zauważa</w:t>
      </w:r>
      <w:proofErr w:type="gramEnd"/>
      <w:r w:rsidRPr="007A68FE">
        <w:t xml:space="preserve">, że Instytut przeprowadził ocenę ryzyka i w swoim rejestrze ryzyka na 2022 r. odnotował m.in. następujące wykryte rodzaje ryzyka: niewykonanie elementów rocznego programu prac z powodu niewystarczających zasobów ludzkich, niewłaściwej realizacji umów z </w:t>
      </w:r>
      <w:proofErr w:type="spellStart"/>
      <w:r w:rsidRPr="007A68FE">
        <w:t>WWiI</w:t>
      </w:r>
      <w:proofErr w:type="spellEnd"/>
      <w:r w:rsidRPr="007A68FE">
        <w:t>, opóźnień w procedurach udzielania zamówień przez Instytut oraz we wdrażaniu systemów informatycznych Komisji; wzywa Instytut do informowania organu udzielającego absolutorium o postępach w tej dziedzinie;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35.</w:t>
      </w:r>
      <w:r w:rsidRPr="007A68FE">
        <w:tab/>
      </w:r>
      <w:proofErr w:type="gramStart"/>
      <w:r w:rsidRPr="007A68FE">
        <w:t>na</w:t>
      </w:r>
      <w:proofErr w:type="gramEnd"/>
      <w:r w:rsidRPr="007A68FE">
        <w:t xml:space="preserve"> podstawie sprawozdania Trybunału zauważa, że w przypadku zamówienia na wymianę oprogramowania Instytut nie zweryfikował </w:t>
      </w:r>
      <w:r w:rsidRPr="007A68FE">
        <w:rPr>
          <w:i/>
          <w:iCs/>
        </w:rPr>
        <w:t xml:space="preserve">ex </w:t>
      </w:r>
      <w:proofErr w:type="spellStart"/>
      <w:r w:rsidRPr="007A68FE">
        <w:rPr>
          <w:i/>
          <w:iCs/>
        </w:rPr>
        <w:t>ante</w:t>
      </w:r>
      <w:proofErr w:type="spellEnd"/>
      <w:r w:rsidRPr="007A68FE">
        <w:t xml:space="preserve">, czy wykonawca naliczył prawidłową cenę i opłatę dodatkową, zgodnie z obowiązującą umową ramową, oraz </w:t>
      </w:r>
      <w:r w:rsidRPr="007A68FE">
        <w:lastRenderedPageBreak/>
        <w:t xml:space="preserve">zauważa, że jest to sprzeczne z przepisami art. 30 ramowego rozporządzenia finansowego w sprawie kontroli </w:t>
      </w:r>
      <w:r w:rsidRPr="007A68FE">
        <w:rPr>
          <w:i/>
          <w:iCs/>
        </w:rPr>
        <w:t xml:space="preserve">ex </w:t>
      </w:r>
      <w:proofErr w:type="spellStart"/>
      <w:r w:rsidRPr="007A68FE">
        <w:rPr>
          <w:i/>
          <w:iCs/>
        </w:rPr>
        <w:t>ante</w:t>
      </w:r>
      <w:proofErr w:type="spellEnd"/>
      <w:r w:rsidRPr="007A68FE">
        <w:t xml:space="preserve"> i stwarza ryzyko, że Instytut zapłaci nieprawidłowe kwoty za uzyskane usługi; zauważa, że zgodnie z odpowiedzią Instytutu, wnosząc o ofertę, będzie on wymagał od wykonawcy zestawienia jednoznacznie wskazującego cenę i marżę, by móc ocenić ryzyko związane z ceną;</w:t>
      </w:r>
    </w:p>
    <w:p w:rsidR="002A2A16" w:rsidRPr="007A68FE" w:rsidRDefault="002A2A16" w:rsidP="002A2A16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7A68FE">
        <w:rPr>
          <w:b/>
          <w:i/>
        </w:rPr>
        <w:t>Inne uwagi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36.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w 2022 r. Instytut zorganizował wydarzenia mające zwiększyć jego widoczność w państwach członkowskich i w Unii, a także dni otwarte, podczas których informował o możliwościach, jakie Instytut oferuje potencjalnym kandydatom; odnotowuje ponadto, że Instytut rozpoczął też realizację „inicjatywę na rzecz talentów w dziedzinie zaawansowanych technologii”, która jest elementem Nowego europejskiego planu na rzecz innowacji i pomoże obywatelom nabywać umiejętności w dziedzinie technologii przyszłości;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37.</w:t>
      </w:r>
      <w:r w:rsidRPr="007A68FE">
        <w:tab/>
      </w:r>
      <w:proofErr w:type="gramStart"/>
      <w:r w:rsidRPr="007A68FE">
        <w:t>zauważa</w:t>
      </w:r>
      <w:proofErr w:type="gramEnd"/>
      <w:r w:rsidRPr="007A68FE">
        <w:t xml:space="preserve">, że Instytut dąży do neutralności klimatycznej, podejmując działania niezbędne do wprowadzenia systemu zarządzania środowiskowego; odnotowuje, że Instytut jest największym ekosystemem innowacji w Unii i pierwszoplanowym instrumentem programu „Horyzont Europa” w przeciwdziałaniu zmianie klimatu i związanym z nią problemom; z zadowoleniem przyjmuje działania Instytutu z 2022 r. służące osiągnięciu jego celów środowiskowych: utworzenia komitetu ds. zrównoważonego rozwoju, przystąpienie do podsieci EUNA ds. ekologizacji, zorganizowanie </w:t>
      </w:r>
      <w:proofErr w:type="spellStart"/>
      <w:r w:rsidRPr="007A68FE">
        <w:t>EITree</w:t>
      </w:r>
      <w:proofErr w:type="spellEnd"/>
      <w:r w:rsidRPr="007A68FE">
        <w:t>, czyli sadzenia drzew w mieście przez pracowników;</w:t>
      </w:r>
    </w:p>
    <w:p w:rsidR="002A2A16" w:rsidRPr="007A68FE" w:rsidRDefault="002A2A16" w:rsidP="002A2A16">
      <w:pPr>
        <w:spacing w:after="240"/>
        <w:ind w:left="567" w:hanging="567"/>
        <w:rPr>
          <w:szCs w:val="24"/>
        </w:rPr>
      </w:pPr>
      <w:r w:rsidRPr="007A68FE">
        <w:t>38.</w:t>
      </w:r>
      <w:r w:rsidRPr="007A68FE">
        <w:tab/>
      </w:r>
      <w:proofErr w:type="gramStart"/>
      <w:r w:rsidRPr="007A68FE">
        <w:t>zauważa</w:t>
      </w:r>
      <w:proofErr w:type="gramEnd"/>
      <w:r w:rsidRPr="007A68FE">
        <w:t>, że w średnio- lub długoterminowym programie prac Instytutu ujęto certyfikację EMAS;</w:t>
      </w:r>
    </w:p>
    <w:p w:rsidR="002A2A16" w:rsidRPr="007A68FE" w:rsidRDefault="002A2A16" w:rsidP="002A2A16">
      <w:pPr>
        <w:pStyle w:val="NormalCenter12a"/>
      </w:pPr>
      <w:r w:rsidRPr="007A68FE">
        <w:t>°</w:t>
      </w:r>
    </w:p>
    <w:p w:rsidR="002A2A16" w:rsidRPr="007A68FE" w:rsidRDefault="002A2A16" w:rsidP="002A2A16">
      <w:pPr>
        <w:pStyle w:val="NormalCenter12a"/>
      </w:pPr>
      <w:r w:rsidRPr="007A68FE">
        <w:t>°</w:t>
      </w:r>
      <w:r w:rsidRPr="007A68FE">
        <w:tab/>
        <w:t>°</w:t>
      </w:r>
    </w:p>
    <w:p w:rsidR="002A2A16" w:rsidRPr="007A68FE" w:rsidRDefault="002A2A16" w:rsidP="002A2A16">
      <w:pPr>
        <w:pStyle w:val="NormalHanging12a"/>
      </w:pPr>
      <w:r w:rsidRPr="007A68FE">
        <w:t>39.</w:t>
      </w:r>
      <w:r w:rsidRPr="007A68FE">
        <w:tab/>
      </w:r>
      <w:proofErr w:type="gramStart"/>
      <w:r w:rsidRPr="007A68FE">
        <w:t>w</w:t>
      </w:r>
      <w:proofErr w:type="gramEnd"/>
      <w:r w:rsidRPr="007A68FE">
        <w:t xml:space="preserve"> odniesieniu do innych uwag towarzyszących decyzji w sprawie absolutorium, które mają charakter przekrojowy, odsyła do swojej rezolucji z </w:t>
      </w:r>
      <w:r w:rsidR="00226568">
        <w:t>1</w:t>
      </w:r>
      <w:r w:rsidR="00DE0992">
        <w:t>1</w:t>
      </w:r>
      <w:r w:rsidR="00226568">
        <w:t xml:space="preserve"> kwietnia</w:t>
      </w:r>
      <w:r w:rsidRPr="007A68FE">
        <w:t xml:space="preserve"> 2024 r.</w:t>
      </w:r>
      <w:r w:rsidRPr="007A68FE">
        <w:rPr>
          <w:rStyle w:val="FootnoteReference"/>
        </w:rPr>
        <w:footnoteReference w:id="13"/>
      </w:r>
      <w:r w:rsidRPr="007A68FE">
        <w:t xml:space="preserve"> w sprawie wyników, zarządzania finansami i kontroli agencji.</w:t>
      </w:r>
    </w:p>
    <w:p w:rsidR="00E365E1" w:rsidRPr="007A68FE" w:rsidRDefault="00E365E1" w:rsidP="00264FB5">
      <w:bookmarkStart w:id="13" w:name="TextBodyEnd"/>
      <w:bookmarkEnd w:id="13"/>
    </w:p>
    <w:sectPr w:rsidR="00E365E1" w:rsidRPr="007A68FE" w:rsidSect="007A68F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FB5" w:rsidRPr="007A68FE" w:rsidRDefault="00264FB5">
      <w:r w:rsidRPr="007A68FE">
        <w:separator/>
      </w:r>
    </w:p>
  </w:endnote>
  <w:endnote w:type="continuationSeparator" w:id="0">
    <w:p w:rsidR="00264FB5" w:rsidRPr="007A68FE" w:rsidRDefault="00264FB5">
      <w:r w:rsidRPr="007A68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 w:rsidP="00CD5974">
    <w:pPr>
      <w:pStyle w:val="EPFooter"/>
    </w:pPr>
    <w:r w:rsidRPr="007A68FE">
      <w:t>PE</w:t>
    </w:r>
    <w:r w:rsidRPr="007A68FE">
      <w:rPr>
        <w:rStyle w:val="HideTWBExt"/>
      </w:rPr>
      <w:t>&lt;</w:t>
    </w:r>
    <w:proofErr w:type="spellStart"/>
    <w:r w:rsidRPr="007A68FE">
      <w:rPr>
        <w:rStyle w:val="HideTWBExt"/>
      </w:rPr>
      <w:t>NoPE</w:t>
    </w:r>
    <w:proofErr w:type="spellEnd"/>
    <w:r w:rsidRPr="007A68FE">
      <w:rPr>
        <w:rStyle w:val="HideTWBExt"/>
      </w:rPr>
      <w:t>&gt;</w:t>
    </w:r>
    <w:r w:rsidRPr="007A68FE">
      <w:t>753.522</w:t>
    </w:r>
    <w:r w:rsidRPr="007A68FE">
      <w:rPr>
        <w:rStyle w:val="HideTWBExt"/>
      </w:rPr>
      <w:t>&lt;/</w:t>
    </w:r>
    <w:proofErr w:type="spellStart"/>
    <w:r w:rsidRPr="007A68FE">
      <w:rPr>
        <w:rStyle w:val="HideTWBExt"/>
      </w:rPr>
      <w:t>NoPE</w:t>
    </w:r>
    <w:proofErr w:type="spellEnd"/>
    <w:r w:rsidRPr="007A68FE">
      <w:rPr>
        <w:rStyle w:val="HideTWBExt"/>
      </w:rPr>
      <w:t>&gt;&lt;Version&gt;</w:t>
    </w:r>
    <w:r w:rsidRPr="007A68FE">
      <w:t>v03-00</w:t>
    </w:r>
    <w:r w:rsidRPr="007A68FE">
      <w:rPr>
        <w:rStyle w:val="HideTWBExt"/>
      </w:rPr>
      <w:t>&lt;/Version&gt;</w:t>
    </w:r>
    <w:r w:rsidRPr="007A68FE">
      <w:tab/>
    </w:r>
    <w:r w:rsidRPr="007A68FE">
      <w:fldChar w:fldCharType="begin"/>
    </w:r>
    <w:r w:rsidRPr="007A68FE">
      <w:instrText xml:space="preserve"> PAGE  \* MERGEFORMAT </w:instrText>
    </w:r>
    <w:r w:rsidRPr="007A68FE">
      <w:fldChar w:fldCharType="separate"/>
    </w:r>
    <w:r w:rsidRPr="007A68FE">
      <w:rPr>
        <w:noProof/>
      </w:rPr>
      <w:t>12</w:t>
    </w:r>
    <w:r w:rsidRPr="007A68FE">
      <w:fldChar w:fldCharType="end"/>
    </w:r>
    <w:r w:rsidRPr="007A68FE">
      <w:t>/</w:t>
    </w:r>
    <w:fldSimple w:instr=" NUMPAGES  \* MERGEFORMAT ">
      <w:r w:rsidRPr="007A68FE">
        <w:rPr>
          <w:noProof/>
        </w:rPr>
        <w:t>12</w:t>
      </w:r>
    </w:fldSimple>
    <w:r w:rsidRPr="007A68FE">
      <w:tab/>
    </w:r>
    <w:r w:rsidRPr="007A68FE">
      <w:rPr>
        <w:rStyle w:val="HideTWBExt"/>
      </w:rPr>
      <w:t>&lt;PathFdR&gt;</w:t>
    </w:r>
    <w:r w:rsidRPr="007A68FE">
      <w:t>RR\1299238PL.docx</w:t>
    </w:r>
    <w:r w:rsidRPr="007A68FE">
      <w:rPr>
        <w:rStyle w:val="HideTWBExt"/>
      </w:rPr>
      <w:t>&lt;/</w:t>
    </w:r>
    <w:proofErr w:type="spellStart"/>
    <w:r w:rsidRPr="007A68FE">
      <w:rPr>
        <w:rStyle w:val="HideTWBExt"/>
      </w:rPr>
      <w:t>PathFdR</w:t>
    </w:r>
    <w:proofErr w:type="spellEnd"/>
    <w:r w:rsidRPr="007A68FE">
      <w:rPr>
        <w:rStyle w:val="HideTWBExt"/>
      </w:rPr>
      <w:t>&gt;</w:t>
    </w:r>
  </w:p>
  <w:p w:rsidR="002A2A16" w:rsidRPr="007A68FE" w:rsidRDefault="002A2A16" w:rsidP="00CD5974">
    <w:pPr>
      <w:pStyle w:val="EPFooter2"/>
    </w:pPr>
    <w:r w:rsidRPr="007A68F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 w:rsidP="00CD597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 w:rsidP="00CD5974">
    <w:pPr>
      <w:pStyle w:val="EPFooter"/>
    </w:pPr>
    <w:r w:rsidRPr="007A68FE">
      <w:rPr>
        <w:rStyle w:val="HideTWBExt"/>
      </w:rPr>
      <w:t>&lt;PathFdR&gt;</w:t>
    </w:r>
    <w:r w:rsidRPr="007A68FE">
      <w:t>RR\1299238PL.docx</w:t>
    </w:r>
    <w:r w:rsidRPr="007A68FE">
      <w:rPr>
        <w:rStyle w:val="HideTWBExt"/>
      </w:rPr>
      <w:t>&lt;/</w:t>
    </w:r>
    <w:proofErr w:type="spellStart"/>
    <w:r w:rsidRPr="007A68FE">
      <w:rPr>
        <w:rStyle w:val="HideTWBExt"/>
      </w:rPr>
      <w:t>PathFdR</w:t>
    </w:r>
    <w:proofErr w:type="spellEnd"/>
    <w:r w:rsidRPr="007A68FE">
      <w:rPr>
        <w:rStyle w:val="HideTWBExt"/>
      </w:rPr>
      <w:t>&gt;</w:t>
    </w:r>
    <w:r w:rsidRPr="007A68FE">
      <w:tab/>
    </w:r>
    <w:r w:rsidRPr="007A68FE">
      <w:tab/>
      <w:t>PE</w:t>
    </w:r>
    <w:r w:rsidRPr="007A68FE">
      <w:rPr>
        <w:rStyle w:val="HideTWBExt"/>
      </w:rPr>
      <w:t>&lt;</w:t>
    </w:r>
    <w:proofErr w:type="spellStart"/>
    <w:r w:rsidRPr="007A68FE">
      <w:rPr>
        <w:rStyle w:val="HideTWBExt"/>
      </w:rPr>
      <w:t>NoPE</w:t>
    </w:r>
    <w:proofErr w:type="spellEnd"/>
    <w:r w:rsidRPr="007A68FE">
      <w:rPr>
        <w:rStyle w:val="HideTWBExt"/>
      </w:rPr>
      <w:t>&gt;</w:t>
    </w:r>
    <w:r w:rsidRPr="007A68FE">
      <w:t>753.522</w:t>
    </w:r>
    <w:r w:rsidRPr="007A68FE">
      <w:rPr>
        <w:rStyle w:val="HideTWBExt"/>
      </w:rPr>
      <w:t>&lt;/</w:t>
    </w:r>
    <w:proofErr w:type="spellStart"/>
    <w:r w:rsidRPr="007A68FE">
      <w:rPr>
        <w:rStyle w:val="HideTWBExt"/>
      </w:rPr>
      <w:t>NoPE</w:t>
    </w:r>
    <w:proofErr w:type="spellEnd"/>
    <w:r w:rsidRPr="007A68FE">
      <w:rPr>
        <w:rStyle w:val="HideTWBExt"/>
      </w:rPr>
      <w:t>&gt;&lt;Version&gt;</w:t>
    </w:r>
    <w:r w:rsidRPr="007A68FE">
      <w:t>v03-00</w:t>
    </w:r>
    <w:r w:rsidRPr="007A68FE">
      <w:rPr>
        <w:rStyle w:val="HideTWBExt"/>
      </w:rPr>
      <w:t>&lt;/Version&gt;</w:t>
    </w:r>
  </w:p>
  <w:p w:rsidR="002A2A16" w:rsidRPr="007A68FE" w:rsidRDefault="002A2A16" w:rsidP="00CD5974">
    <w:pPr>
      <w:pStyle w:val="EPFooter2"/>
    </w:pPr>
    <w:r w:rsidRPr="007A68FE">
      <w:t>PL</w:t>
    </w:r>
    <w:r w:rsidRPr="007A68FE">
      <w:tab/>
    </w:r>
    <w:r w:rsidRPr="007A68FE">
      <w:rPr>
        <w:b w:val="0"/>
        <w:i/>
        <w:color w:val="C0C0C0"/>
        <w:sz w:val="22"/>
      </w:rPr>
      <w:t>Zjednoczona w różnorodności</w:t>
    </w:r>
    <w:r w:rsidRPr="007A68FE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FB5" w:rsidRPr="007A68FE" w:rsidRDefault="00264FB5">
      <w:r w:rsidRPr="007A68FE">
        <w:separator/>
      </w:r>
    </w:p>
  </w:footnote>
  <w:footnote w:type="continuationSeparator" w:id="0">
    <w:p w:rsidR="00264FB5" w:rsidRPr="007A68FE" w:rsidRDefault="00264FB5">
      <w:r w:rsidRPr="007A68FE">
        <w:continuationSeparator/>
      </w:r>
    </w:p>
  </w:footnote>
  <w:footnote w:id="1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Dz.U. C, C/2023/594 z 27.10.2023.</w:t>
      </w:r>
    </w:p>
  </w:footnote>
  <w:footnote w:id="2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Dz.U. C, C/2023/112 z 12.10.2023.</w:t>
      </w:r>
    </w:p>
  </w:footnote>
  <w:footnote w:id="3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193 z 30.7.2018,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1.</w:t>
      </w:r>
    </w:p>
  </w:footnote>
  <w:footnote w:id="4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189 z 28.5.2021,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61.</w:t>
      </w:r>
    </w:p>
  </w:footnote>
  <w:footnote w:id="5">
    <w:p w:rsidR="002A2A16" w:rsidRPr="007A68FE" w:rsidRDefault="002A2A16" w:rsidP="007A68FE">
      <w:pPr>
        <w:pStyle w:val="FootnoteText"/>
        <w:ind w:left="567" w:hanging="567"/>
        <w:rPr>
          <w:sz w:val="24"/>
          <w:szCs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122 z 10.5.2019,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1.</w:t>
      </w:r>
    </w:p>
  </w:footnote>
  <w:footnote w:id="6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Dz.U. C, C/2023/594 z 27.10.2023.</w:t>
      </w:r>
    </w:p>
  </w:footnote>
  <w:footnote w:id="7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Dz.U. C, C/2023/112 z 12.10.2023.</w:t>
      </w:r>
    </w:p>
  </w:footnote>
  <w:footnote w:id="8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193 z 30.7.2018,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1.</w:t>
      </w:r>
    </w:p>
  </w:footnote>
  <w:footnote w:id="9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189 z 28.5.2021,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61.</w:t>
      </w:r>
    </w:p>
  </w:footnote>
  <w:footnote w:id="10">
    <w:p w:rsidR="002A2A16" w:rsidRPr="007A68FE" w:rsidRDefault="002A2A16" w:rsidP="007A68FE">
      <w:pPr>
        <w:pStyle w:val="FootnoteText"/>
        <w:ind w:left="567" w:hanging="567"/>
        <w:rPr>
          <w:sz w:val="24"/>
          <w:szCs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L 122 z 10.5.2019,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1.</w:t>
      </w:r>
    </w:p>
  </w:footnote>
  <w:footnote w:id="11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 xml:space="preserve">Dz.U. C 489 z 22.12.2022,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 56.</w:t>
      </w:r>
    </w:p>
  </w:footnote>
  <w:footnote w:id="12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Rozporządzenie delegowane Komisji (UE</w:t>
      </w:r>
      <w:proofErr w:type="gramStart"/>
      <w:r w:rsidRPr="007A68FE">
        <w:rPr>
          <w:sz w:val="24"/>
          <w:lang w:val="pl-PL"/>
        </w:rPr>
        <w:t>) 2019/715 z</w:t>
      </w:r>
      <w:proofErr w:type="gramEnd"/>
      <w:r w:rsidRPr="007A68FE">
        <w:rPr>
          <w:sz w:val="24"/>
          <w:lang w:val="pl-PL"/>
        </w:rPr>
        <w:t xml:space="preserve"> dnia 18 grudnia 2018 r. w sprawie ramowego rozporządzenia finansowego dotyczącego organów utworzonych na podstawie TFUE oraz Traktatu </w:t>
      </w:r>
      <w:proofErr w:type="spellStart"/>
      <w:r w:rsidRPr="007A68FE">
        <w:rPr>
          <w:sz w:val="24"/>
          <w:lang w:val="pl-PL"/>
        </w:rPr>
        <w:t>Euratom</w:t>
      </w:r>
      <w:proofErr w:type="spellEnd"/>
      <w:r w:rsidRPr="007A68FE">
        <w:rPr>
          <w:sz w:val="24"/>
          <w:lang w:val="pl-PL"/>
        </w:rPr>
        <w:t xml:space="preserve">, o których mowa w art. 70 rozporządzenia Parlamentu Europejskiego i Rady (UE, </w:t>
      </w:r>
      <w:proofErr w:type="spellStart"/>
      <w:r w:rsidRPr="007A68FE">
        <w:rPr>
          <w:sz w:val="24"/>
          <w:lang w:val="pl-PL"/>
        </w:rPr>
        <w:t>Euratom</w:t>
      </w:r>
      <w:proofErr w:type="spellEnd"/>
      <w:r w:rsidRPr="007A68FE">
        <w:rPr>
          <w:sz w:val="24"/>
          <w:lang w:val="pl-PL"/>
        </w:rPr>
        <w:t xml:space="preserve">) 2018/1046 (Dz.U. L 122 z 10.5.2019, </w:t>
      </w:r>
      <w:proofErr w:type="gramStart"/>
      <w:r w:rsidRPr="007A68FE">
        <w:rPr>
          <w:sz w:val="24"/>
          <w:lang w:val="pl-PL"/>
        </w:rPr>
        <w:t>s</w:t>
      </w:r>
      <w:proofErr w:type="gramEnd"/>
      <w:r w:rsidRPr="007A68FE">
        <w:rPr>
          <w:sz w:val="24"/>
          <w:lang w:val="pl-PL"/>
        </w:rPr>
        <w:t>. 1).</w:t>
      </w:r>
    </w:p>
  </w:footnote>
  <w:footnote w:id="13">
    <w:p w:rsidR="002A2A16" w:rsidRPr="007A68FE" w:rsidRDefault="002A2A16" w:rsidP="007A68FE">
      <w:pPr>
        <w:pStyle w:val="FootnoteText"/>
        <w:ind w:left="567" w:hanging="567"/>
        <w:rPr>
          <w:sz w:val="24"/>
          <w:lang w:val="pl-PL"/>
        </w:rPr>
      </w:pPr>
      <w:r w:rsidRPr="007A68FE">
        <w:rPr>
          <w:rStyle w:val="FootnoteReference"/>
          <w:sz w:val="24"/>
          <w:lang w:val="pl-PL"/>
        </w:rPr>
        <w:footnoteRef/>
      </w:r>
      <w:r w:rsidR="007A68FE" w:rsidRPr="007A68FE">
        <w:rPr>
          <w:sz w:val="24"/>
          <w:lang w:val="pl-PL"/>
        </w:rPr>
        <w:t xml:space="preserve"> </w:t>
      </w:r>
      <w:r w:rsidR="007A68FE" w:rsidRPr="007A68FE">
        <w:rPr>
          <w:sz w:val="24"/>
          <w:lang w:val="pl-PL"/>
        </w:rPr>
        <w:tab/>
      </w:r>
      <w:r w:rsidRPr="007A68FE">
        <w:rPr>
          <w:sz w:val="24"/>
          <w:lang w:val="pl-PL"/>
        </w:rPr>
        <w:t>Teksty przyjęte, P9_TA(2024)0</w:t>
      </w:r>
      <w:r w:rsidR="00DE0992">
        <w:rPr>
          <w:sz w:val="24"/>
          <w:lang w:val="pl-PL"/>
        </w:rPr>
        <w:t>280</w:t>
      </w:r>
      <w:r w:rsidRPr="007A68F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A16" w:rsidRPr="007A68FE" w:rsidRDefault="002A2A1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8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PL"/>
    <w:docVar w:name="dvnumam" w:val="0"/>
    <w:docVar w:name="dvpe" w:val="753.522"/>
    <w:docVar w:name="dvrapporteur" w:val="Sprawozdawca: "/>
    <w:docVar w:name="dvtitre" w:val="Decyzja Parlamentu Europejskiego z dnia  2024 r. w sprawie absolutorium z wykonania budżetu Europejskiego Instytutu Innowacji i Technologii (EIT) za rok budżetowy 2022(2023/2154(DEC))"/>
  </w:docVars>
  <w:rsids>
    <w:rsidRoot w:val="00264F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568"/>
    <w:rsid w:val="00264FB5"/>
    <w:rsid w:val="002767FF"/>
    <w:rsid w:val="002A2A1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08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8F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C1C"/>
    <w:rsid w:val="00D058B8"/>
    <w:rsid w:val="00D56C11"/>
    <w:rsid w:val="00D834A0"/>
    <w:rsid w:val="00D872DF"/>
    <w:rsid w:val="00D91E21"/>
    <w:rsid w:val="00DA7FCD"/>
    <w:rsid w:val="00DB3D5D"/>
    <w:rsid w:val="00DE099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3C3E2"/>
  <w15:chartTrackingRefBased/>
  <w15:docId w15:val="{B617AC5C-8D85-421A-802C-280C9D88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A2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A2A16"/>
    <w:pPr>
      <w:spacing w:before="480" w:after="240"/>
    </w:pPr>
  </w:style>
  <w:style w:type="paragraph" w:customStyle="1" w:styleId="PageHeading">
    <w:name w:val="PageHeading"/>
    <w:basedOn w:val="Normal"/>
    <w:rsid w:val="002A2A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A2A16"/>
    <w:rPr>
      <w:b/>
    </w:rPr>
  </w:style>
  <w:style w:type="paragraph" w:customStyle="1" w:styleId="NormalHanging12a">
    <w:name w:val="NormalHanging12a"/>
    <w:basedOn w:val="Normal"/>
    <w:link w:val="NormalHanging12aChar"/>
    <w:rsid w:val="002A2A1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A2A16"/>
    <w:pPr>
      <w:spacing w:after="240"/>
      <w:jc w:val="center"/>
    </w:pPr>
  </w:style>
  <w:style w:type="paragraph" w:styleId="Header">
    <w:name w:val="header"/>
    <w:basedOn w:val="Normal"/>
    <w:link w:val="HeaderChar"/>
    <w:rsid w:val="002A2A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2A16"/>
    <w:rPr>
      <w:sz w:val="24"/>
      <w:lang w:val="pl-PL"/>
    </w:rPr>
  </w:style>
  <w:style w:type="paragraph" w:customStyle="1" w:styleId="EPFooter">
    <w:name w:val="EPFooter"/>
    <w:basedOn w:val="Normal"/>
    <w:rsid w:val="002A2A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2A2A1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2A2A1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B1443-49FC-40DC-8C40-E7CABADD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3839</Words>
  <Characters>21887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2024-05-28T09:26:00Z</dcterms:created>
  <dcterms:modified xsi:type="dcterms:W3CDTF">2024-05-28T09:26:00Z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P9_TA(2024)0267_</vt:lpwstr>
  </property>
  <property fmtid="{D5CDD505-2E9C-101B-9397-08002B2CF9AE}" pid="4" name="&lt;Type&gt;">
    <vt:lpwstr>RR</vt:lpwstr>
  </property>
</Properties>
</file>