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0E8C" w14:paraId="14A34F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005839" w14:textId="77777777" w:rsidR="00751A4A" w:rsidRPr="00A20E8C" w:rsidRDefault="005F5A6D" w:rsidP="0010095E">
            <w:pPr>
              <w:pStyle w:val="EPName"/>
            </w:pPr>
            <w:r w:rsidRPr="00A20E8C">
              <w:t>Parlamento Europeu</w:t>
            </w:r>
          </w:p>
          <w:p w14:paraId="434577AC" w14:textId="77777777" w:rsidR="00751A4A" w:rsidRPr="00A20E8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0E8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B0CC9B7" w14:textId="77777777" w:rsidR="00751A4A" w:rsidRPr="00A20E8C" w:rsidRDefault="00187494" w:rsidP="0010095E">
            <w:pPr>
              <w:pStyle w:val="EPLogo"/>
            </w:pPr>
            <w:r w:rsidRPr="00A20E8C">
              <w:rPr>
                <w:noProof/>
                <w:lang w:val="en-GB"/>
              </w:rPr>
              <w:drawing>
                <wp:inline distT="0" distB="0" distL="0" distR="0" wp14:anchorId="0DB52D65" wp14:editId="7A9B43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22D3BC" w14:textId="77777777" w:rsidR="00D058B8" w:rsidRPr="00A20E8C" w:rsidRDefault="00D058B8" w:rsidP="004C5D52">
      <w:pPr>
        <w:pStyle w:val="LineTop"/>
      </w:pPr>
    </w:p>
    <w:p w14:paraId="4B21BC92" w14:textId="77777777" w:rsidR="00680577" w:rsidRPr="00A20E8C" w:rsidRDefault="005F5A6D" w:rsidP="00680577">
      <w:pPr>
        <w:pStyle w:val="EPBodyTA1"/>
      </w:pPr>
      <w:r w:rsidRPr="00A20E8C">
        <w:t>TEXTOS APROVADOS</w:t>
      </w:r>
    </w:p>
    <w:p w14:paraId="684C0EBE" w14:textId="77777777" w:rsidR="00D058B8" w:rsidRPr="00A20E8C" w:rsidRDefault="00D058B8" w:rsidP="00D058B8">
      <w:pPr>
        <w:pStyle w:val="LineBottom"/>
      </w:pPr>
    </w:p>
    <w:p w14:paraId="48DE89D5" w14:textId="3C8C8D37" w:rsidR="005F5A6D" w:rsidRPr="00A20E8C" w:rsidRDefault="005F5A6D" w:rsidP="005F5A6D">
      <w:pPr>
        <w:pStyle w:val="ATHeading1"/>
      </w:pPr>
      <w:bookmarkStart w:id="0" w:name="TANumber"/>
      <w:r w:rsidRPr="00A20E8C">
        <w:t>P9_TA(2024)</w:t>
      </w:r>
      <w:bookmarkEnd w:id="0"/>
      <w:r w:rsidR="00A20E8C" w:rsidRPr="00A20E8C">
        <w:t>0267</w:t>
      </w:r>
    </w:p>
    <w:p w14:paraId="1C5A7F0E" w14:textId="77777777" w:rsidR="005F5A6D" w:rsidRPr="00A20E8C" w:rsidRDefault="005F5A6D" w:rsidP="005F5A6D">
      <w:pPr>
        <w:pStyle w:val="ATHeading2"/>
      </w:pPr>
      <w:bookmarkStart w:id="1" w:name="title"/>
      <w:r w:rsidRPr="00A20E8C">
        <w:t>Quitação 2022: Instituto Europeu de Inovação e Tecnologia (EIT)</w:t>
      </w:r>
      <w:bookmarkEnd w:id="1"/>
    </w:p>
    <w:p w14:paraId="56C90B49" w14:textId="77777777" w:rsidR="005F5A6D" w:rsidRPr="00A20E8C" w:rsidRDefault="005F5A6D" w:rsidP="005F5A6D">
      <w:pPr>
        <w:rPr>
          <w:i/>
          <w:vanish/>
        </w:rPr>
      </w:pPr>
      <w:r w:rsidRPr="00A20E8C">
        <w:rPr>
          <w:i/>
        </w:rPr>
        <w:fldChar w:fldCharType="begin"/>
      </w:r>
      <w:r w:rsidRPr="00A20E8C">
        <w:rPr>
          <w:i/>
        </w:rPr>
        <w:instrText xml:space="preserve"> TC"(</w:instrText>
      </w:r>
      <w:bookmarkStart w:id="2" w:name="DocNumber"/>
      <w:r w:rsidRPr="00A20E8C">
        <w:rPr>
          <w:i/>
        </w:rPr>
        <w:instrText>A9-0132/2024</w:instrText>
      </w:r>
      <w:bookmarkEnd w:id="2"/>
      <w:r w:rsidRPr="00A20E8C">
        <w:rPr>
          <w:i/>
        </w:rPr>
        <w:instrText xml:space="preserve"> - Relator: Petri Sarvamaa)"\l3 \n&gt; \* MERGEFORMAT </w:instrText>
      </w:r>
      <w:r w:rsidRPr="00A20E8C">
        <w:rPr>
          <w:i/>
        </w:rPr>
        <w:fldChar w:fldCharType="end"/>
      </w:r>
    </w:p>
    <w:p w14:paraId="79C2C921" w14:textId="77777777" w:rsidR="005F5A6D" w:rsidRPr="00A20E8C" w:rsidRDefault="005F5A6D" w:rsidP="005F5A6D">
      <w:pPr>
        <w:rPr>
          <w:vanish/>
        </w:rPr>
      </w:pPr>
      <w:bookmarkStart w:id="3" w:name="Commission"/>
      <w:r w:rsidRPr="00A20E8C">
        <w:rPr>
          <w:vanish/>
        </w:rPr>
        <w:t>Comissão do Controlo Orçamental</w:t>
      </w:r>
      <w:bookmarkEnd w:id="3"/>
    </w:p>
    <w:p w14:paraId="40AB007B" w14:textId="77777777" w:rsidR="005F5A6D" w:rsidRPr="00A20E8C" w:rsidRDefault="005F5A6D" w:rsidP="005F5A6D">
      <w:pPr>
        <w:rPr>
          <w:vanish/>
        </w:rPr>
      </w:pPr>
      <w:bookmarkStart w:id="4" w:name="PE"/>
      <w:r w:rsidRPr="00A20E8C">
        <w:rPr>
          <w:vanish/>
        </w:rPr>
        <w:t>PE753.522</w:t>
      </w:r>
      <w:bookmarkEnd w:id="4"/>
    </w:p>
    <w:p w14:paraId="7B3E5482" w14:textId="441B5A89" w:rsidR="005F5A6D" w:rsidRPr="00A20E8C" w:rsidRDefault="00BC74FB" w:rsidP="005F5A6D">
      <w:pPr>
        <w:pStyle w:val="ATHeading3"/>
      </w:pPr>
      <w:bookmarkStart w:id="5" w:name="Sujet"/>
      <w:r w:rsidRPr="00A20E8C">
        <w:t xml:space="preserve">1. </w:t>
      </w:r>
      <w:r w:rsidR="005F5A6D" w:rsidRPr="00A20E8C">
        <w:t xml:space="preserve">Decisão do Parlamento Europeu, de </w:t>
      </w:r>
      <w:r w:rsidRPr="00A20E8C">
        <w:t xml:space="preserve">11 </w:t>
      </w:r>
      <w:r w:rsidR="005F5A6D" w:rsidRPr="00A20E8C">
        <w:t xml:space="preserve">de </w:t>
      </w:r>
      <w:r w:rsidRPr="00A20E8C">
        <w:t xml:space="preserve">abril </w:t>
      </w:r>
      <w:r w:rsidR="005F5A6D" w:rsidRPr="00A20E8C">
        <w:t>de 2024, sobre a quitação pela execução do orçamento do Instituto Europeu de Inovação e Tecnologia (EIT) para o exercício de 2022</w:t>
      </w:r>
      <w:bookmarkEnd w:id="5"/>
      <w:r w:rsidR="005F5A6D" w:rsidRPr="00A20E8C">
        <w:t xml:space="preserve"> </w:t>
      </w:r>
      <w:bookmarkStart w:id="6" w:name="References"/>
      <w:r w:rsidR="005F5A6D" w:rsidRPr="00A20E8C">
        <w:t>(2023/2154(DEC))</w:t>
      </w:r>
      <w:bookmarkEnd w:id="6"/>
    </w:p>
    <w:p w14:paraId="213CF9A9" w14:textId="77777777" w:rsidR="00DC6E5F" w:rsidRPr="00A20E8C" w:rsidRDefault="00DC6E5F" w:rsidP="00DC6E5F">
      <w:pPr>
        <w:pStyle w:val="EPComma"/>
      </w:pPr>
      <w:bookmarkStart w:id="7" w:name="TextBodyBegin"/>
      <w:bookmarkEnd w:id="7"/>
      <w:r w:rsidRPr="00A20E8C">
        <w:rPr>
          <w:i/>
        </w:rPr>
        <w:t>O Parlamento Europeu</w:t>
      </w:r>
      <w:r w:rsidRPr="00A20E8C">
        <w:t>,</w:t>
      </w:r>
    </w:p>
    <w:p w14:paraId="3B429ABE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Atendendo às contas anuais definitivas do Instituto Europeu de Inovação e Tecnologia (EIT) relativas ao exercício de 2022,</w:t>
      </w:r>
    </w:p>
    <w:p w14:paraId="05373668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Atendendo ao relatório anual do Tribunal de Contas sobre as agências da UE relativo ao exercício de 2022, acompanhado das respostas das agências</w:t>
      </w:r>
      <w:r w:rsidRPr="00A20E8C">
        <w:rPr>
          <w:rStyle w:val="FootnoteReference"/>
        </w:rPr>
        <w:footnoteReference w:id="1"/>
      </w:r>
      <w:r w:rsidRPr="00A20E8C">
        <w:t>,</w:t>
      </w:r>
    </w:p>
    <w:p w14:paraId="322EDCEB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Atendendo à declaração relativa à fiabilidade das contas e à legalidade e regularidade das operações subjacentes</w:t>
      </w:r>
      <w:r w:rsidRPr="00A20E8C">
        <w:rPr>
          <w:rStyle w:val="FootnoteReference"/>
        </w:rPr>
        <w:footnoteReference w:id="2"/>
      </w:r>
      <w:r w:rsidRPr="00A20E8C">
        <w:t>, emitida pelo Tribunal de Contas para o exercício de 2022, nos termos do artigo 287.º do Tratado sobre o Funcionamento da União Europeia,</w:t>
      </w:r>
    </w:p>
    <w:p w14:paraId="4ADDF27F" w14:textId="3447A874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a Recomendação do Conselho, de 22 de fevereiro de 2024, sobre a quitação a dar ao Instituto quanto à execução do orçamento para o exercício de 2022 (</w:t>
      </w:r>
      <w:r w:rsidR="00BC74FB" w:rsidRPr="00A20E8C">
        <w:t>06180</w:t>
      </w:r>
      <w:r w:rsidRPr="00A20E8C">
        <w:t>/2024 – C9</w:t>
      </w:r>
      <w:r w:rsidRPr="00A20E8C">
        <w:noBreakHyphen/>
      </w:r>
      <w:r w:rsidR="00BC74FB" w:rsidRPr="00A20E8C">
        <w:t>0092</w:t>
      </w:r>
      <w:r w:rsidRPr="00A20E8C">
        <w:t>/2024),</w:t>
      </w:r>
    </w:p>
    <w:p w14:paraId="3FACC4C8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artigo 319.º do Tratado sobre o Funcionamento da União Europeia,</w:t>
      </w:r>
    </w:p>
    <w:p w14:paraId="620613E8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Regulamento (UE, Euratom) 2018/1046 do Parlamento Europeu e do Conselho, de 18 de julho de 2018, relativo às disposições financeiras aplicáveis ao orçamento geral da União, que altera os Regulamentos (UE) n.º 1296/2013, (UE) n.º 1301/2013, (UE) n.º 1303/2013, (UE) n.º 1304/2013, (UE) n.º 1309/2013, (UE) n.º 1316/2013, (UE) n.º 223/2014 e (UE) n.º 283/2014, e a Decisão n.º 541/2014/UE, e revoga o Regulamento (UE, Euratom) n.º 966/2012</w:t>
      </w:r>
      <w:r w:rsidRPr="00A20E8C">
        <w:rPr>
          <w:rStyle w:val="FootnoteReference"/>
        </w:rPr>
        <w:footnoteReference w:id="3"/>
      </w:r>
      <w:r w:rsidRPr="00A20E8C">
        <w:t>, nomeadamente o artigo 70.º,</w:t>
      </w:r>
    </w:p>
    <w:p w14:paraId="1E3690A9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Regulamento (UE) 2021/819 do Parlamento Europeu e do Conselho, de 20 de maio de 2021, relativo ao Instituto Europeu de Inovação e Tecnologia</w:t>
      </w:r>
      <w:r w:rsidRPr="00A20E8C">
        <w:rPr>
          <w:rStyle w:val="FootnoteReference"/>
        </w:rPr>
        <w:footnoteReference w:id="4"/>
      </w:r>
      <w:r w:rsidRPr="00A20E8C">
        <w:t xml:space="preserve">, </w:t>
      </w:r>
      <w:r w:rsidRPr="00A20E8C">
        <w:lastRenderedPageBreak/>
        <w:t>nomeadamente o artigo 23.º,</w:t>
      </w:r>
    </w:p>
    <w:p w14:paraId="2E587405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Regulamento Delegado (UE) 2019/715 da Comissão, de 18 de dezembro de 2018, que institui o regulamento financeiro</w:t>
      </w:r>
      <w:r w:rsidRPr="00A20E8C">
        <w:noBreakHyphen/>
        <w:t>quadro dos organismos criados ao abrigo do TFUE e do Tratado Euratom e referidos no artigo 70.º do Regulamento (UE, Euratom) 2018/1046 do Parlamento Europeu e do Conselho</w:t>
      </w:r>
      <w:r w:rsidRPr="00A20E8C">
        <w:rPr>
          <w:rStyle w:val="FootnoteReference"/>
        </w:rPr>
        <w:footnoteReference w:id="5"/>
      </w:r>
      <w:r w:rsidRPr="00A20E8C">
        <w:t>, nomeadamente o artigo 105.º,</w:t>
      </w:r>
    </w:p>
    <w:p w14:paraId="1267A861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artigo 100.º e o anexo V do seu Regimento,</w:t>
      </w:r>
    </w:p>
    <w:p w14:paraId="2DB34C6F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relatório da Comissão do Controlo Orçamental (A9</w:t>
      </w:r>
      <w:r w:rsidRPr="00A20E8C">
        <w:noBreakHyphen/>
        <w:t>0132/2024),</w:t>
      </w:r>
    </w:p>
    <w:p w14:paraId="528804D5" w14:textId="77777777" w:rsidR="00DC6E5F" w:rsidRPr="00A20E8C" w:rsidRDefault="00DC6E5F" w:rsidP="00DC6E5F">
      <w:pPr>
        <w:pStyle w:val="NormalHanging12a"/>
      </w:pPr>
      <w:r w:rsidRPr="00A20E8C">
        <w:t>1.</w:t>
      </w:r>
      <w:r w:rsidRPr="00A20E8C">
        <w:tab/>
        <w:t>Dá quitação ao Diretor do Instituto Europeu de Inovação e Tecnologia (EIT) pela execução do orçamento do Instituto para o exercício de 2022;</w:t>
      </w:r>
    </w:p>
    <w:p w14:paraId="472E364C" w14:textId="77777777" w:rsidR="00DC6E5F" w:rsidRPr="00A20E8C" w:rsidRDefault="00DC6E5F" w:rsidP="00DC6E5F">
      <w:pPr>
        <w:pStyle w:val="NormalHanging12a"/>
      </w:pPr>
      <w:r w:rsidRPr="00A20E8C">
        <w:t>2.</w:t>
      </w:r>
      <w:r w:rsidRPr="00A20E8C">
        <w:tab/>
        <w:t>Regista as suas observações na resolução que se segue;</w:t>
      </w:r>
    </w:p>
    <w:p w14:paraId="52E5D00F" w14:textId="77777777" w:rsidR="00DC6E5F" w:rsidRPr="00A20E8C" w:rsidRDefault="00DC6E5F" w:rsidP="00DC6E5F">
      <w:pPr>
        <w:pStyle w:val="NormalHanging12a"/>
      </w:pPr>
      <w:r w:rsidRPr="00A20E8C">
        <w:t>3.</w:t>
      </w:r>
      <w:r w:rsidRPr="00A20E8C">
        <w:tab/>
        <w:t xml:space="preserve">Encarrega a sua Presidente de transmitir a presente decisão e a resolução que desta constitui parte integrante ao Diretor do Instituto Europeu de Inovação e Tecnologia (EIT), ao Conselho, à Comissão e ao Tribunal de Contas e de prover à respetiva publicação no </w:t>
      </w:r>
      <w:r w:rsidRPr="00A20E8C">
        <w:rPr>
          <w:i/>
        </w:rPr>
        <w:t>Jornal Oficial da União Europeia</w:t>
      </w:r>
      <w:r w:rsidRPr="00A20E8C">
        <w:t xml:space="preserve"> (série L).</w:t>
      </w:r>
    </w:p>
    <w:p w14:paraId="556BB01B" w14:textId="77777777" w:rsidR="00DC6E5F" w:rsidRPr="00A20E8C" w:rsidRDefault="00DC6E5F" w:rsidP="00DC6E5F"/>
    <w:p w14:paraId="1F4FE1CA" w14:textId="77777777" w:rsidR="00DC6E5F" w:rsidRPr="00A20E8C" w:rsidRDefault="00DC6E5F" w:rsidP="00DC6E5F">
      <w:pPr>
        <w:pStyle w:val="PageHeading"/>
        <w:sectPr w:rsidR="00DC6E5F" w:rsidRPr="00A20E8C" w:rsidSect="00FA28A0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695BE06" w14:textId="7CA21C01" w:rsidR="00DC6E5F" w:rsidRPr="00A20E8C" w:rsidRDefault="00BC74FB" w:rsidP="00DC6E5F">
      <w:pPr>
        <w:pStyle w:val="NormalBold"/>
      </w:pPr>
      <w:r w:rsidRPr="00A20E8C">
        <w:lastRenderedPageBreak/>
        <w:t xml:space="preserve">2. Decisão do Parlamento Europeu, de 11 de abril de 2024, </w:t>
      </w:r>
      <w:r w:rsidR="00DC6E5F" w:rsidRPr="00A20E8C">
        <w:t>sobre o encerramento das contas do Instituto Europeu de Inovação e Tecnologia (EIT) relativas ao exercício de 2022</w:t>
      </w:r>
      <w:r w:rsidR="002356B0" w:rsidRPr="00A20E8C">
        <w:t xml:space="preserve"> </w:t>
      </w:r>
      <w:r w:rsidR="00DC6E5F" w:rsidRPr="00A20E8C">
        <w:t>(2023/2154(DEC))</w:t>
      </w:r>
    </w:p>
    <w:p w14:paraId="49A7DC7F" w14:textId="77777777" w:rsidR="00DC6E5F" w:rsidRPr="00A20E8C" w:rsidRDefault="00DC6E5F" w:rsidP="00DC6E5F">
      <w:pPr>
        <w:pStyle w:val="EPComma"/>
      </w:pPr>
      <w:r w:rsidRPr="00A20E8C">
        <w:rPr>
          <w:i/>
        </w:rPr>
        <w:t>O Parlamento Europeu</w:t>
      </w:r>
      <w:r w:rsidRPr="00A20E8C">
        <w:t>,</w:t>
      </w:r>
    </w:p>
    <w:p w14:paraId="47C2D8B1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Atendendo às contas anuais definitivas do Instituto Europeu de Inovação e Tecnologia (EIT) relativas ao exercício de 2022,</w:t>
      </w:r>
    </w:p>
    <w:p w14:paraId="18FFCF00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Atendendo ao relatório anual do Tribunal de Contas sobre as agências da UE relativo ao exercício de 2022, acompanhado das respostas das agências</w:t>
      </w:r>
      <w:r w:rsidRPr="00A20E8C">
        <w:rPr>
          <w:rStyle w:val="FootnoteReference"/>
        </w:rPr>
        <w:footnoteReference w:id="6"/>
      </w:r>
      <w:r w:rsidRPr="00A20E8C">
        <w:t>,</w:t>
      </w:r>
    </w:p>
    <w:p w14:paraId="28B4FE88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Atendendo à declaração relativa à fiabilidade das contas e à legalidade e regularidade das operações subjacentes</w:t>
      </w:r>
      <w:r w:rsidRPr="00A20E8C">
        <w:rPr>
          <w:rStyle w:val="FootnoteReference"/>
        </w:rPr>
        <w:footnoteReference w:id="7"/>
      </w:r>
      <w:r w:rsidRPr="00A20E8C">
        <w:t>, emitida pelo Tribunal de Contas para o exercício de 2022, nos termos do artigo 287.º do Tratado sobre o Funcionamento da União Europeia,</w:t>
      </w:r>
    </w:p>
    <w:p w14:paraId="42955E7B" w14:textId="3B9CD87B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a Recomendação do Conselho, de 22 de fevereiro de 2024, sobre a quitação a dar ao Instituto quanto à execução do orçamento para o exercício de 2022 (</w:t>
      </w:r>
      <w:r w:rsidR="00BC74FB" w:rsidRPr="00A20E8C">
        <w:t>06180</w:t>
      </w:r>
      <w:r w:rsidRPr="00A20E8C">
        <w:t>/2024 – C9</w:t>
      </w:r>
      <w:r w:rsidRPr="00A20E8C">
        <w:noBreakHyphen/>
      </w:r>
      <w:r w:rsidR="00BC74FB" w:rsidRPr="00A20E8C">
        <w:t>0092</w:t>
      </w:r>
      <w:r w:rsidRPr="00A20E8C">
        <w:t>/2024),</w:t>
      </w:r>
    </w:p>
    <w:p w14:paraId="77565B90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artigo 319.º do Tratado sobre o Funcionamento da União Europeia,</w:t>
      </w:r>
    </w:p>
    <w:p w14:paraId="47039D12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Regulamento (UE, Euratom) 2018/1046 do Parlamento Europeu e do Conselho, de 18 de julho de 2018, relativo às disposições financeiras aplicáveis ao orçamento geral da União, que altera os Regulamentos (UE) n.º 1296/2013, (UE) n.º 1301/2013, (UE) n.º 1303/2013, (UE) n.º 1304/2013, (UE) n.º 1309/2013, (UE) n.º 1316/2013, (UE) n.º 223/2014 e (UE) n.º 283/2014, e a Decisão n.º 541/2014/UE, e revoga o Regulamento (UE, Euratom) n.º 966/2012</w:t>
      </w:r>
      <w:r w:rsidRPr="00A20E8C">
        <w:rPr>
          <w:rStyle w:val="FootnoteReference"/>
        </w:rPr>
        <w:footnoteReference w:id="8"/>
      </w:r>
      <w:r w:rsidRPr="00A20E8C">
        <w:t>, nomeadamente o artigo 70.º,</w:t>
      </w:r>
    </w:p>
    <w:p w14:paraId="70AD9BD2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Regulamento (UE) 2021/819 do Parlamento Europeu e do Conselho, de 20 de maio de 2021, relativo ao Instituto Europeu de Inovação e Tecnologia</w:t>
      </w:r>
      <w:r w:rsidRPr="00A20E8C">
        <w:rPr>
          <w:rStyle w:val="FootnoteReference"/>
        </w:rPr>
        <w:footnoteReference w:id="9"/>
      </w:r>
      <w:r w:rsidRPr="00A20E8C">
        <w:t>, nomeadamente o artigo 23.º,</w:t>
      </w:r>
    </w:p>
    <w:p w14:paraId="4F3FB0CA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Regulamento Delegado (UE) 2019/715 da Comissão, de 18 de dezembro de 2018, que institui o regulamento financeiro</w:t>
      </w:r>
      <w:r w:rsidRPr="00A20E8C">
        <w:noBreakHyphen/>
        <w:t>quadro dos organismos criados ao abrigo do TFUE e do Tratado Euratom e referidos no artigo 70.º do Regulamento (UE, Euratom) 2018/1046 do Parlamento Europeu e do Conselho</w:t>
      </w:r>
      <w:r w:rsidRPr="00A20E8C">
        <w:rPr>
          <w:rStyle w:val="FootnoteReference"/>
        </w:rPr>
        <w:footnoteReference w:id="10"/>
      </w:r>
      <w:r w:rsidRPr="00A20E8C">
        <w:t>, nomeadamente o artigo 105.º,</w:t>
      </w:r>
    </w:p>
    <w:p w14:paraId="596E05A1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artigo 100.º e o anexo V do seu Regimento,</w:t>
      </w:r>
    </w:p>
    <w:p w14:paraId="6CDADFEE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relatório da Comissão do Controlo Orçamental (A9</w:t>
      </w:r>
      <w:r w:rsidRPr="00A20E8C">
        <w:noBreakHyphen/>
        <w:t>0132/2024),</w:t>
      </w:r>
    </w:p>
    <w:p w14:paraId="23CDA3A0" w14:textId="77777777" w:rsidR="00DC6E5F" w:rsidRPr="00A20E8C" w:rsidRDefault="00DC6E5F" w:rsidP="00DC6E5F">
      <w:pPr>
        <w:pStyle w:val="NormalHanging12a"/>
      </w:pPr>
      <w:r w:rsidRPr="00A20E8C">
        <w:t>1.</w:t>
      </w:r>
      <w:r w:rsidRPr="00A20E8C">
        <w:tab/>
        <w:t>Aprova o encerramento das contas do Instituto Europeu de Inovação e Tecnologia (EIT) para o exercício de 2022;</w:t>
      </w:r>
    </w:p>
    <w:p w14:paraId="230AF5D6" w14:textId="21BA0252" w:rsidR="00DC6E5F" w:rsidRPr="00A20E8C" w:rsidRDefault="00DC6E5F" w:rsidP="00DC6E5F">
      <w:pPr>
        <w:pStyle w:val="NormalHanging12a"/>
      </w:pPr>
      <w:r w:rsidRPr="00A20E8C">
        <w:lastRenderedPageBreak/>
        <w:t>2.</w:t>
      </w:r>
      <w:r w:rsidRPr="00A20E8C">
        <w:tab/>
        <w:t xml:space="preserve">Encarrega a sua Presidente de transmitir a presente decisão ao Diretor do Instituto Europeu de Inovação e Tecnologia (EIT), ao Conselho, à Comissão e ao Tribunal de Contas e de prover à respetiva publicação no </w:t>
      </w:r>
      <w:r w:rsidRPr="00A20E8C">
        <w:rPr>
          <w:i/>
        </w:rPr>
        <w:t>Jornal Oficial da União Europeia</w:t>
      </w:r>
      <w:r w:rsidR="0001365F" w:rsidRPr="00A20E8C">
        <w:t xml:space="preserve"> (série </w:t>
      </w:r>
      <w:r w:rsidRPr="00A20E8C">
        <w:t>L).</w:t>
      </w:r>
    </w:p>
    <w:p w14:paraId="7685DBDF" w14:textId="77777777" w:rsidR="00DC6E5F" w:rsidRPr="00A20E8C" w:rsidRDefault="00DC6E5F" w:rsidP="00DC6E5F"/>
    <w:p w14:paraId="0850DEA5" w14:textId="77777777" w:rsidR="00DC6E5F" w:rsidRPr="00A20E8C" w:rsidRDefault="00DC6E5F" w:rsidP="00DC6E5F">
      <w:pPr>
        <w:pStyle w:val="PageHeading"/>
        <w:sectPr w:rsidR="00DC6E5F" w:rsidRPr="00A20E8C" w:rsidSect="00FA28A0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217A1152" w14:textId="0E85F785" w:rsidR="00DC6E5F" w:rsidRPr="00A20E8C" w:rsidRDefault="00BC74FB" w:rsidP="00DC6E5F">
      <w:pPr>
        <w:pStyle w:val="NormalBold"/>
      </w:pPr>
      <w:bookmarkStart w:id="8" w:name="_Toc133417007"/>
      <w:r w:rsidRPr="00A20E8C">
        <w:lastRenderedPageBreak/>
        <w:t>3. Resolução do Parlamento Europeu, de 11 de abril de 2024,</w:t>
      </w:r>
      <w:bookmarkEnd w:id="8"/>
      <w:r w:rsidRPr="00A20E8C">
        <w:t xml:space="preserve"> </w:t>
      </w:r>
      <w:r w:rsidR="00DC6E5F" w:rsidRPr="00A20E8C">
        <w:t>que contém as observações que constituem parte integrante da decisão sobre a quitação pela execução do orçamento do Instituto Europeu de Inovação e Tecnologia (EIT) para o exercício de 2022</w:t>
      </w:r>
      <w:r w:rsidR="002356B0" w:rsidRPr="00A20E8C">
        <w:t xml:space="preserve"> </w:t>
      </w:r>
      <w:r w:rsidR="00DC6E5F" w:rsidRPr="00A20E8C">
        <w:t>(2023/2154(DEC))</w:t>
      </w:r>
    </w:p>
    <w:p w14:paraId="62F7452A" w14:textId="77777777" w:rsidR="00DC6E5F" w:rsidRPr="00A20E8C" w:rsidRDefault="00DC6E5F" w:rsidP="00DC6E5F">
      <w:pPr>
        <w:pStyle w:val="EPComma"/>
      </w:pPr>
      <w:r w:rsidRPr="00A20E8C">
        <w:rPr>
          <w:i/>
        </w:rPr>
        <w:t>O Parlamento Europeu</w:t>
      </w:r>
      <w:r w:rsidRPr="00A20E8C">
        <w:t>,</w:t>
      </w:r>
    </w:p>
    <w:p w14:paraId="432535F2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a sua decisão sobre a quitação pela execução do orçamento do Instituto Europeu de Inovação e Tecnologia (o «Instituto») para o exercício de 2022,</w:t>
      </w:r>
    </w:p>
    <w:p w14:paraId="05936F04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artigo 100.º e o anexo V do seu Regimento,</w:t>
      </w:r>
    </w:p>
    <w:p w14:paraId="0416A7BA" w14:textId="77777777" w:rsidR="00DC6E5F" w:rsidRPr="00A20E8C" w:rsidRDefault="00DC6E5F" w:rsidP="00DC6E5F">
      <w:pPr>
        <w:pStyle w:val="NormalHanging12a"/>
      </w:pPr>
      <w:r w:rsidRPr="00A20E8C">
        <w:t>–</w:t>
      </w:r>
      <w:r w:rsidRPr="00A20E8C">
        <w:tab/>
        <w:t>Tendo em conta o relatório da Comissão do Controlo Orçamental (A9</w:t>
      </w:r>
      <w:r w:rsidRPr="00A20E8C">
        <w:noBreakHyphen/>
        <w:t>0132/2024),</w:t>
      </w:r>
    </w:p>
    <w:p w14:paraId="742D31AE" w14:textId="77777777" w:rsidR="00DC6E5F" w:rsidRPr="00A20E8C" w:rsidRDefault="00DC6E5F" w:rsidP="00DC6E5F">
      <w:pPr>
        <w:pStyle w:val="Default"/>
        <w:spacing w:after="240"/>
        <w:ind w:left="567" w:hanging="567"/>
        <w:rPr>
          <w:rFonts w:eastAsia="Times New Roman"/>
          <w:color w:val="auto"/>
        </w:rPr>
      </w:pPr>
      <w:r w:rsidRPr="00A20E8C">
        <w:rPr>
          <w:color w:val="auto"/>
        </w:rPr>
        <w:t>A.</w:t>
      </w:r>
      <w:r w:rsidRPr="00A20E8C">
        <w:rPr>
          <w:color w:val="auto"/>
        </w:rPr>
        <w:tab/>
        <w:t>Considerando que, de acordo com o seu mapa de receitas e despesas</w:t>
      </w:r>
      <w:r w:rsidRPr="00A20E8C">
        <w:rPr>
          <w:rStyle w:val="FootnoteReference"/>
          <w:rFonts w:eastAsia="Times New Roman"/>
          <w:color w:val="auto"/>
          <w:lang w:eastAsia="en-GB"/>
        </w:rPr>
        <w:footnoteReference w:id="11"/>
      </w:r>
      <w:r w:rsidRPr="00A20E8C">
        <w:rPr>
          <w:color w:val="auto"/>
        </w:rPr>
        <w:t xml:space="preserve">, o orçamento definitivo do Instituto para o exercício de 2022 ascendeu a 406 585 390,99 EUR, o que representa um aumento de 12,65 % em relação a 2021; </w:t>
      </w:r>
      <w:r w:rsidR="002356B0" w:rsidRPr="00A20E8C">
        <w:rPr>
          <w:color w:val="auto"/>
        </w:rPr>
        <w:t xml:space="preserve">considerando </w:t>
      </w:r>
      <w:r w:rsidRPr="00A20E8C">
        <w:rPr>
          <w:color w:val="auto"/>
        </w:rPr>
        <w:t>que o orçamento do Instituto provém essencialmente do orçamento da União;</w:t>
      </w:r>
    </w:p>
    <w:p w14:paraId="04D7D960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B.</w:t>
      </w:r>
      <w:r w:rsidRPr="00A20E8C">
        <w:tab/>
        <w:t>Considerando que o Tribunal de Contas (o «Tribunal»), no seu relatório sobre as contas anuais do Instituto para o exercício de 2022 (o «relatório do Tribunal»), afirma ter obtido garantias razoáveis de que as contas anuais do Instituto são fiáveis e as operações subjacentes são legais e regulares;</w:t>
      </w:r>
    </w:p>
    <w:p w14:paraId="67BAE069" w14:textId="77777777" w:rsidR="00DC6E5F" w:rsidRPr="00A20E8C" w:rsidRDefault="00DC6E5F" w:rsidP="00DC6E5F">
      <w:pPr>
        <w:spacing w:after="240"/>
        <w:ind w:left="567" w:hanging="567"/>
        <w:rPr>
          <w:b/>
          <w:i/>
          <w:szCs w:val="24"/>
        </w:rPr>
      </w:pPr>
      <w:r w:rsidRPr="00A20E8C">
        <w:rPr>
          <w:b/>
          <w:i/>
        </w:rPr>
        <w:t>Gestão orçamental e financeira</w:t>
      </w:r>
    </w:p>
    <w:p w14:paraId="07400041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1.</w:t>
      </w:r>
      <w:r w:rsidRPr="00A20E8C">
        <w:tab/>
        <w:t>Regista que os esforços de supervisão orçamental durante o exercício de 2022 resultaram numa taxa de execução de 94,03 % das dotações de autorização desse exercício, o que representa um decréscimo de 3,88 % relativamente a 2021; regista que a taxa de execução das dotações de pagamento desse exercício foi de 98,42 %, o que representa um decréscimo de 1,06 % em relação a 2021;</w:t>
      </w:r>
    </w:p>
    <w:p w14:paraId="3D566480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2.</w:t>
      </w:r>
      <w:r w:rsidRPr="00A20E8C">
        <w:tab/>
        <w:t>Observa que o montante do orçamento definitivo do Instituto resulta de uma retificação no valor de 656 930,67 EUR adotada pelo seu Conselho Diretivo («Conselho Diretivo») devido a alterações introduzidas no programa de trabalho anual do Instituto para 2022;</w:t>
      </w:r>
    </w:p>
    <w:p w14:paraId="365A66C1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3.</w:t>
      </w:r>
      <w:r w:rsidRPr="00A20E8C">
        <w:tab/>
        <w:t xml:space="preserve">Regista com preocupação que a observação do Tribunal relativa à legalidade e regularidade das subvenções do Instituto foi verificada </w:t>
      </w:r>
      <w:r w:rsidRPr="00A20E8C">
        <w:rPr>
          <w:i/>
          <w:iCs/>
        </w:rPr>
        <w:t>ex post</w:t>
      </w:r>
      <w:r w:rsidRPr="00A20E8C">
        <w:t xml:space="preserve"> por um auditor externo independente, tendo a taxa de erro correspondido a 1,73 % em 2021 (contra 0,66 % em 2020); salienta que, embora a taxa de erro ainda esteja abaixo do nível de materialidade de 2 %, os riscos críticos decorrentes do aumento do orçamento, do mandato e das atividades no âmbito do Horizonte Europa, a par do aumento do número de Comunidades de Conhecimento e Inovação (CCI), podem comprometer a capacidade do Instituto em matéria de supervisão e controlo eficazes das CCI, o que poderá resultar em taxas de erro mais elevadas e em irregularidades não detetadas no futuro; solicita ao Instituto que tome medidas concretas para reduzir a taxa de erro;</w:t>
      </w:r>
    </w:p>
    <w:p w14:paraId="4524D54D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4.</w:t>
      </w:r>
      <w:r w:rsidRPr="00A20E8C">
        <w:tab/>
        <w:t xml:space="preserve">Observa, com base no relatório do Tribunal, que, em 2022, o Instituto pagou juros de mora relativos a subvenções em dois casos, num montante total de 32 070 EUR; </w:t>
      </w:r>
      <w:r w:rsidRPr="00A20E8C">
        <w:lastRenderedPageBreak/>
        <w:t>observa com preocupação que, em ambos os casos, o Instituto não acompanhou devidamente o cumprimento dos prazos regulamentares, o que revela uma insuficiência no seu fluxo de pagamentos;</w:t>
      </w:r>
      <w:r w:rsidRPr="00A20E8C">
        <w:rPr>
          <w:rFonts w:ascii="Calibri" w:hAnsi="Calibri"/>
          <w:color w:val="000000"/>
          <w:sz w:val="22"/>
        </w:rPr>
        <w:t xml:space="preserve"> </w:t>
      </w:r>
      <w:r w:rsidRPr="00A20E8C">
        <w:t>toma nota de que, de acordo com a resposta do Instituto à observação do Tribunal, a partir de 2023, o Instituto reviu os seus processos de gestão de subvenções, formou os membros do pessoal relevantes e utiliza o sistema informático de gestão de subvenções da Comissão (eGrants), o que reduz consideravelmente a probabilidade de ocorrência de um erro semelhante no futuro;</w:t>
      </w:r>
    </w:p>
    <w:p w14:paraId="3117C6FC" w14:textId="77777777" w:rsidR="00DC6E5F" w:rsidRPr="00A20E8C" w:rsidRDefault="00DC6E5F" w:rsidP="00DC6E5F">
      <w:pPr>
        <w:spacing w:after="240"/>
        <w:ind w:left="567" w:hanging="567"/>
        <w:rPr>
          <w:b/>
          <w:i/>
          <w:szCs w:val="24"/>
        </w:rPr>
      </w:pPr>
      <w:r w:rsidRPr="00A20E8C">
        <w:rPr>
          <w:b/>
          <w:i/>
        </w:rPr>
        <w:t>Desempenho</w:t>
      </w:r>
    </w:p>
    <w:p w14:paraId="78398D7B" w14:textId="77777777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A20E8C">
        <w:t>5.</w:t>
      </w:r>
      <w:r w:rsidRPr="00A20E8C">
        <w:tab/>
        <w:t>Regista com satisfação que o Instituto utiliza um sistema de indicadores</w:t>
      </w:r>
      <w:r w:rsidRPr="00A20E8C">
        <w:noBreakHyphen/>
        <w:t>chave de desempenho (ICD) ligados às atividades operacionais, à governação e à comunicação institucional; regista ainda que o Instituto cumpriu, com alguns atrasos, cerca de 95 % do seu programa de trabalho para 2022; toma nota de que, no âmbito da Nova Agenda Europeia para a Inovação, o Instituto foi incumbido de desenvolver novas atividades, que não estavam incluídas no plano inicial, não tendo sido afetados recursos adicionais para a realização destas atividades;</w:t>
      </w:r>
    </w:p>
    <w:p w14:paraId="52F5A304" w14:textId="77777777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A20E8C">
        <w:t>6.</w:t>
      </w:r>
      <w:r w:rsidRPr="00A20E8C">
        <w:tab/>
        <w:t>Congratula</w:t>
      </w:r>
      <w:r w:rsidRPr="00A20E8C">
        <w:noBreakHyphen/>
        <w:t>se com o facto de o Instituto ter continuado a aumentar o seu impacto em 2022, permitindo a colocação no mercado de cerca de 1 670 produtos e serviços inovadores, formando milhares de empresários e apoiando 5 600 empresas em fase de arranque e em expansão, que atraíram cerca de 6 mil milhões de EUR em investimentos; observa ainda que o Instituto concluiu a sua integração no Horizonte Europa, tendo transitado para um modelo de financiamento plurianual;</w:t>
      </w:r>
    </w:p>
    <w:p w14:paraId="347BA9B2" w14:textId="77777777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A20E8C">
        <w:t>7.</w:t>
      </w:r>
      <w:r w:rsidRPr="00A20E8C">
        <w:tab/>
        <w:t>Observa que o Instituto registou progressos na execução da iniciativa</w:t>
      </w:r>
      <w:r w:rsidRPr="00A20E8C">
        <w:noBreakHyphen/>
        <w:t>piloto «Innovation Capacity Building for Higher Education» [Desenvolvimento das capacidades de inovação no ensino superior], lançada em 2021, aumentando o interesse e a participação das instituições de ensino superior; faz notar que o Instituto foi reconhecido como um dos principais contribuidores e intervenientes do ecossistema europeu de inovação, com o lançamento da sua Iniciativa de Talentos de Tecnologia Profunda, que promove a aquisição de competências, a requalificação e a melhoria de competências por parte de, pelo menos, um milhão de talentos nos próximos três anos;</w:t>
      </w:r>
    </w:p>
    <w:p w14:paraId="0729D1F5" w14:textId="77777777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A20E8C">
        <w:t>8.</w:t>
      </w:r>
      <w:r w:rsidRPr="00A20E8C">
        <w:tab/>
        <w:t>Regozija</w:t>
      </w:r>
      <w:r w:rsidRPr="00A20E8C">
        <w:noBreakHyphen/>
        <w:t>se com o facto de o Instituto ter apoiado o povo da Ucrânia após a invasão ilegal e não provocada do país por parte da Rússia em fevereiro de 2022, prestando assistência a estudantes, empresários, investigadores, instituições de ensino superior e empresas; assinala que, além disso, o Instituto lançou a Academia da Aliança Europeia para as Baterias no âmbito do programa da Assistência à Recuperação para a Coesão e os Territórios da Europa, sendo esta a primeira grande atribuição de fundos de outro programa ao Instituto;</w:t>
      </w:r>
    </w:p>
    <w:p w14:paraId="6A6851A2" w14:textId="77777777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A20E8C">
        <w:rPr>
          <w:b/>
          <w:i/>
        </w:rPr>
        <w:t>Eficiência e ganhos</w:t>
      </w:r>
    </w:p>
    <w:p w14:paraId="3F10A571" w14:textId="77777777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A20E8C">
        <w:t>9.</w:t>
      </w:r>
      <w:r w:rsidRPr="00A20E8C">
        <w:tab/>
        <w:t xml:space="preserve">Observa que o Instituto assinou um memorando de entendimento com a Agência da União Europeia para a Formação Policial, que abrange várias atividades conjuntas e avaliações de segurança; recorda que as atividades conjuntas congregam diferentes perspetivas, reduzem a duplicação de esforços, melhoram a aprendizagem e reforçam as relações entre os participantes; observa, além disso, que, a fim de melhorar a sua eficácia, o Instituto deu início à sua transição do Horizonte 2020 para o Horizonte Europa em 2021, tendo concluído essa transição em 2022, em colaboração com a </w:t>
      </w:r>
      <w:r w:rsidRPr="00A20E8C">
        <w:lastRenderedPageBreak/>
        <w:t>Comissão;</w:t>
      </w:r>
    </w:p>
    <w:p w14:paraId="7CA7C7F9" w14:textId="77777777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A20E8C">
        <w:t>10.</w:t>
      </w:r>
      <w:r w:rsidRPr="00A20E8C">
        <w:tab/>
        <w:t>Assinala que o Instituto efetuou diferentes análises da eficácia dos processos, o que resultou na adaptação das descrições de funções, dos objetivos do pessoal e da afetação de tarefas e recursos, entre outros; constata que, em 2022, o Instituto realizou um exercício de reestruturação e adotou um documento sobre os métodos de trabalho, nomeadamente para aumentar a eficácia, por exemplo, no que respeita à utilização do correio eletrónico, às reuniões e ao trabalho à distância;</w:t>
      </w:r>
    </w:p>
    <w:p w14:paraId="4BAF9930" w14:textId="77777777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A20E8C">
        <w:t>11.</w:t>
      </w:r>
      <w:r w:rsidRPr="00A20E8C">
        <w:tab/>
        <w:t>Congratula</w:t>
      </w:r>
      <w:r w:rsidRPr="00A20E8C">
        <w:noBreakHyphen/>
        <w:t>se com o facto de, em 2022, terem sido lançadas novas ferramentas informáticas de apoio às operações administrativas do Instituto, com o objetivo último de aumentar a eficácia e eficácia operacionais da organização, incluindo a ferramenta de gestão dos contratos públicos (PPMT), a ferramenta Q</w:t>
      </w:r>
      <w:r w:rsidRPr="00A20E8C">
        <w:noBreakHyphen/>
        <w:t>Sign (assinatura eletrónica) e a introdução de vários módulos do sistema de informação da gestão dos recursos humanos (SYSPER); solicita ao Instituto que identifique mais procedimentos internos que possam ser simplificados por meio de novas ferramentas informáticas;</w:t>
      </w:r>
    </w:p>
    <w:p w14:paraId="2A94987C" w14:textId="77777777" w:rsidR="00DC6E5F" w:rsidRPr="00A20E8C" w:rsidRDefault="00DC6E5F" w:rsidP="00DC6E5F">
      <w:pPr>
        <w:pStyle w:val="NormalHanging12a"/>
      </w:pPr>
      <w:r w:rsidRPr="00A20E8C">
        <w:t>12.</w:t>
      </w:r>
      <w:r w:rsidRPr="00A20E8C">
        <w:tab/>
        <w:t>Recorda a importância de aumentar a digitalização do Instituto, não só em termos de gestão e funcionamento internos, mas também para acelerar a digitalização dos procedimentos; destaca a necessidade de o Instituto continuar a ser proativo nesta matéria para evitar um fosso digital entre as agências da União; chama, no entanto, a atenção para a necessidade de tomar todas as medidas de segurança que forem necessárias para evitar qualquer risco para a segurança em linha das informações tratadas e insiste na necessidade de intensificar as medidas de combate aos ciberataques e às tentativas de infiltração, em particular as que são provenientes da Rússia ou da China;</w:t>
      </w:r>
    </w:p>
    <w:p w14:paraId="21AAA2EB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rPr>
          <w:b/>
          <w:i/>
        </w:rPr>
        <w:t>Política de pessoal</w:t>
      </w:r>
    </w:p>
    <w:p w14:paraId="2A38CAFE" w14:textId="7A693658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A20E8C">
        <w:t>13.</w:t>
      </w:r>
      <w:r w:rsidRPr="00A20E8C">
        <w:tab/>
        <w:t xml:space="preserve">Regista que, em 31 de dezembro de 2022, o quadro de pessoal estava preenchido a 93 %, com 40 agentes temporários nomeados dos 45 lugares de agentes temporários autorizados pelo orçamento da União (o mesmo número de lugares autorizados que </w:t>
      </w:r>
      <w:r w:rsidR="0001365F" w:rsidRPr="00A20E8C">
        <w:t>em </w:t>
      </w:r>
      <w:r w:rsidRPr="00A20E8C">
        <w:t>2021); observa além disso, que, em 2022, trabalharam para o Instituto 25 agentes contratuais, 10 agentes temporários e 1 perito nacional destacado;</w:t>
      </w:r>
    </w:p>
    <w:p w14:paraId="5FD03FE6" w14:textId="77777777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A20E8C">
        <w:t>14.</w:t>
      </w:r>
      <w:r w:rsidRPr="00A20E8C">
        <w:tab/>
        <w:t>Manifesta a sua preocupação com o facto de a contínua falta de pessoal do Instituto, conforme salientado pelo Tribunal nos seus relatórios anuais, não ter sido suprida com lugares adicionais; salienta que o Instituto reiterou o seu pedido no início de 2023 no sentido de receber 10 lugares suplementares, o que lhe permitiria cumprir o seu programa de trabalho para 2024; destaca a necessidade de fazer corresponder os recursos do Instituto às expectativas associadas ao seu mandato;</w:t>
      </w:r>
    </w:p>
    <w:p w14:paraId="53303B49" w14:textId="77777777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A20E8C">
        <w:t>15.</w:t>
      </w:r>
      <w:r w:rsidRPr="00A20E8C">
        <w:tab/>
        <w:t xml:space="preserve">Regista a distribuição de género dos quadros superiores e médios do Instituto, sendo 5 dos 8 lugares ocupados por homens; manifesta a sua preocupação com o equilíbrio de género no Conselho Diretivo, sendo 9 dos 14 membros do pessoal do sexo masculino; refere a distribuição de género no pessoal do Instituto, sendo 28 dos 65 membros do pessoal do sexo masculino; observa que a política e o plano de ação do Instituto em matéria de igualdade de género foram aprovados em 2022; recorda a importância de assegurar o equilíbrio de género e exorta o Instituto a ter este aspeto em conta no que diz respeito aos futuros recrutamentos de pessoal e nomeações para os seus quadros médios e superiores; solicita à Comissão que tenha em conta a importância de assegurar </w:t>
      </w:r>
      <w:r w:rsidRPr="00A20E8C">
        <w:lastRenderedPageBreak/>
        <w:t>o equilíbrio de género nas nomeações dos membros do Conselho Diretivo do Instituto;</w:t>
      </w:r>
    </w:p>
    <w:p w14:paraId="7C5F4C76" w14:textId="77777777" w:rsidR="00DC6E5F" w:rsidRPr="00A20E8C" w:rsidRDefault="00DC6E5F" w:rsidP="00DC6E5F">
      <w:pPr>
        <w:pStyle w:val="NormalHanging12a"/>
      </w:pPr>
      <w:r w:rsidRPr="00A20E8C">
        <w:t>16.</w:t>
      </w:r>
      <w:r w:rsidRPr="00A20E8C">
        <w:tab/>
        <w:t>Expressa preocupação com o equilíbrio geográfico nos quadros médios e superiores do Instituto, nos quais apenas um titular é proveniente da Europa Central e Oriental; insiste na necessidade de introduzir melhorias a este respeito; solicita ao Instituto que informe a autoridade de quitação sobre esta matéria;</w:t>
      </w:r>
    </w:p>
    <w:p w14:paraId="6F054F1D" w14:textId="77777777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A20E8C">
        <w:t>17.</w:t>
      </w:r>
      <w:r w:rsidRPr="00A20E8C">
        <w:tab/>
        <w:t>Acolhe com agrado as iniciativas do Instituto para reforçar a importância do equilíbrio de género, como os programas «Girls Go Circular», a nível escolar, e «Supernovas», que promove o empreendedorismo e a liderança das mulheres; observa que, além disso, o Instituto adotou a Carta da Rede de Agências da UE sobre a Diversidade e a Inclusão em 2023, confirmando o seu compromisso de garantir a igualdade de oportunidades em todas as fases da carreira e um ambiente de trabalho que promove a confiança pessoal, em que a diversidade é considerada uma fonte de inovação, enriquecimento e criatividade e em que a inclusão é promovida pelos titulares de cargos de direção e por todos os membros do pessoal;</w:t>
      </w:r>
    </w:p>
    <w:p w14:paraId="39B8FC4E" w14:textId="3BC34D14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A20E8C">
        <w:t>18</w:t>
      </w:r>
      <w:r w:rsidR="00D52593">
        <w:t>.</w:t>
      </w:r>
      <w:r w:rsidRPr="00A20E8C">
        <w:tab/>
        <w:t>Observa que o Instituto implantou a maior parte dos módulos SYSPER em 2022, trabalho a que dará continuidade em 2023; observa que o Instituto adotou a Carta da Rede de Agências da UE sobre a Diversidade e a Inclusão, o que demonstra o seu empenho em garantir a igualdade de oportunidades e um ambiente de trabalho que promove a confiança pessoal; observa ainda que o Instituto estabeleceu várias medidas para melhorar o bem</w:t>
      </w:r>
      <w:r w:rsidRPr="00A20E8C">
        <w:noBreakHyphen/>
        <w:t>estar no trabalho e o equilíbrio entre vida profissional e vida privada do seu pessoal, designadamente cobrindo os custos dos transportes públicos e assegurando a inscrição dos filhos em jardins de infância internacionais e condições de trabalho flexíveis e híbridas;</w:t>
      </w:r>
    </w:p>
    <w:p w14:paraId="08B3FE0D" w14:textId="77777777" w:rsidR="00DC6E5F" w:rsidRPr="00A20E8C" w:rsidRDefault="00DC6E5F" w:rsidP="00DC6E5F">
      <w:pPr>
        <w:pStyle w:val="NormalHanging12a"/>
      </w:pPr>
      <w:r w:rsidRPr="00A20E8C">
        <w:t>19.</w:t>
      </w:r>
      <w:r w:rsidRPr="00A20E8C">
        <w:tab/>
        <w:t>Observa que, no âmbito do plano de formação, que foi elaborado tendo em conta a necessidade de o Instituto e o seu pessoal melhorarem o desempenho geral, o Instituto continuou a oferecer aos membros do pessoal formações em linha, designadamente sobre ética e integridade, prevenção do assédio, proteção de dados, eficácia em reuniões híbridas, sensibilização para a segurança informática e segurança em geral;</w:t>
      </w:r>
    </w:p>
    <w:p w14:paraId="7C25F7A9" w14:textId="77777777" w:rsidR="00DC6E5F" w:rsidRPr="00A20E8C" w:rsidRDefault="00DC6E5F" w:rsidP="00DC6E5F">
      <w:pPr>
        <w:pStyle w:val="NormalHanging12a"/>
      </w:pPr>
      <w:r w:rsidRPr="00A20E8C">
        <w:t>20.</w:t>
      </w:r>
      <w:r w:rsidRPr="00A20E8C">
        <w:tab/>
        <w:t>Congratula</w:t>
      </w:r>
      <w:r w:rsidRPr="00A20E8C">
        <w:noBreakHyphen/>
        <w:t>se com o lançamento bem</w:t>
      </w:r>
      <w:r w:rsidRPr="00A20E8C">
        <w:noBreakHyphen/>
        <w:t>sucedido de dois convites à apresentação de candidaturas a estágio em 2022; observa que, consequentemente, um total de 23 jovens profissionais participou em oportunidades de estágio no Instituto, tendo iniciado ou concluído um estágio em 2022;</w:t>
      </w:r>
    </w:p>
    <w:p w14:paraId="579AFE69" w14:textId="77777777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A20E8C">
        <w:t>21.</w:t>
      </w:r>
      <w:r w:rsidRPr="00A20E8C">
        <w:tab/>
        <w:t>Observa que um antigo comissário e um antigo deputado ao Parlamento Europeu, na qualidade de membros do Conselho Diretivo, recebem honorários de 2 000 EUR por cada reunião do Conselho Diretivo em que participam do orçamento do Instituto;</w:t>
      </w:r>
    </w:p>
    <w:p w14:paraId="701EF143" w14:textId="77777777" w:rsidR="00DC6E5F" w:rsidRPr="00A20E8C" w:rsidRDefault="00DC6E5F" w:rsidP="00DC6E5F">
      <w:pPr>
        <w:pStyle w:val="NormalHanging12a"/>
      </w:pPr>
      <w:r w:rsidRPr="00A20E8C">
        <w:t>22.</w:t>
      </w:r>
      <w:r w:rsidRPr="00A20E8C">
        <w:tab/>
        <w:t>Manifesta preocupação pelo facto de ter sido comunicado um caso de assédio em 2022 e ter sido aberto um inquérito administrativo, que ainda está em curso; solicita ao Instituto que informe a autoridade de quitação sobre quaisquer desenvolvimentos nesta matéria o mais rapidamente possível; regista que o Instituto aplica uma política de proteção da dignidade da pessoa e de prevenção do assédio moral e sexual, e que faz parte do grupo de trabalho interagências de conselheiros</w:t>
      </w:r>
      <w:r w:rsidRPr="00A20E8C">
        <w:noBreakHyphen/>
        <w:t>confidentes; aguarda com expectativa o relatório e as recomendações deste grupo de trabalho;</w:t>
      </w:r>
    </w:p>
    <w:p w14:paraId="6E1A7F7D" w14:textId="77777777" w:rsidR="00DC6E5F" w:rsidRPr="00A20E8C" w:rsidRDefault="00DC6E5F" w:rsidP="00DC6E5F">
      <w:pPr>
        <w:spacing w:after="240"/>
        <w:ind w:left="567" w:hanging="567"/>
        <w:rPr>
          <w:b/>
          <w:i/>
          <w:szCs w:val="24"/>
        </w:rPr>
      </w:pPr>
      <w:r w:rsidRPr="00A20E8C">
        <w:rPr>
          <w:b/>
          <w:i/>
        </w:rPr>
        <w:t>Prevenção e gestão de conflitos de interesses e transparência</w:t>
      </w:r>
    </w:p>
    <w:p w14:paraId="0999CAD6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lastRenderedPageBreak/>
        <w:t>23.</w:t>
      </w:r>
      <w:r w:rsidRPr="00A20E8C">
        <w:tab/>
        <w:t>Assinala as medidas adotadas e os esforços envidados pelo Instituto para garantir a transparência, a prevenção e a gestão de conflitos de interesses e assegurar a proteção dos denunciantes; observa que o Instituto publicou no seu sítio Web as declarações de interesses e os CV dos membros do seu Conselho Diretivo e da sua equipa de direção;</w:t>
      </w:r>
      <w:r w:rsidRPr="00A20E8C">
        <w:rPr>
          <w:rFonts w:ascii="Calibri" w:hAnsi="Calibri"/>
          <w:color w:val="1F497D"/>
          <w:sz w:val="22"/>
        </w:rPr>
        <w:t xml:space="preserve"> </w:t>
      </w:r>
      <w:r w:rsidRPr="00A20E8C">
        <w:t>observa que, além disso, o Instituto publica no seu sítio Web informações sobre todas as reuniões realizadas por mês pelo seu Conselho Diretivo e pela sua equipa de direção no âmbito de eventos e reuniões públicos;</w:t>
      </w:r>
    </w:p>
    <w:p w14:paraId="6C0720EC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24.</w:t>
      </w:r>
      <w:r w:rsidRPr="00A20E8C">
        <w:tab/>
        <w:t>Regista que o Instituto adotou uma política de prevenção e gestão de conflitos de interesses do pessoal, que inclui procedimentos de elaboração e avaliação das declarações anuais de interesses e um procedimento que rege as violações das regras do Instituto em matéria de declarações de interesses; regista ainda que o Instituto criou o comité consultivo sobre os conflitos de interesses, organizou sessões de sensibilização para a ética e a integridade, destinadas ao seu pessoal, e elabora atualmente uma decisão sobre os modelos e os procedimentos administrativos no que respeita aos conflitos de interesses;</w:t>
      </w:r>
    </w:p>
    <w:p w14:paraId="6886EBE0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25.</w:t>
      </w:r>
      <w:r w:rsidRPr="00A20E8C">
        <w:tab/>
        <w:t>Saúda os esforços envidados pelo Instituto no que respeita às declarações de interesses dos membros do seu Conselho Diretivo, tendo sido realizadas três declarações diferentes: a declaração anual de interesses, a declaração de interesses sobre a avaliação das propostas das CCI e a declaração de interesses sobre o plano de atividades das CCI; observa que a declaração anual de interesses permitiu identificar situações de conflito de interesses em relação a alguns membros do Conselho Diretivo, pelo que estes foram informados e foram adotadas medidas de atenuação;</w:t>
      </w:r>
    </w:p>
    <w:p w14:paraId="1B13F12E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26.</w:t>
      </w:r>
      <w:r w:rsidRPr="00A20E8C">
        <w:tab/>
        <w:t>Faz notar que o Instituto elabora atualmente uma nova política de avaliação das restrições e proibições pós</w:t>
      </w:r>
      <w:r w:rsidRPr="00A20E8C">
        <w:noBreakHyphen/>
        <w:t>emprego aplicáveis aos seus quadros superiores que tencionem aceitar determinados cargos após o termo do seu mandato; observa que a política especificará os cargos que as pessoas em causa não poderão exercer após o termo do seu mandato, bem como os critérios de aplicação desta proibição no futuro, com um limite de dois anos; acolhe com agrado o facto de que o Instituto também adotará uma política ou decisão anticorrupção no início de 2024, que servirá de base ao estabelecimento de mecanismos internos anticorrupção;</w:t>
      </w:r>
    </w:p>
    <w:p w14:paraId="67182E67" w14:textId="77777777" w:rsidR="00DC6E5F" w:rsidRPr="00A20E8C" w:rsidRDefault="00DC6E5F" w:rsidP="00DC6E5F">
      <w:pPr>
        <w:pStyle w:val="NormalHanging12a"/>
        <w:rPr>
          <w:b/>
          <w:i/>
        </w:rPr>
      </w:pPr>
      <w:r w:rsidRPr="00A20E8C">
        <w:t>27.</w:t>
      </w:r>
      <w:r w:rsidRPr="00A20E8C">
        <w:tab/>
        <w:t>Toma nota de que o OLAF emitiu duas recomendações na sequência de dois inquéritos diferentes, uma das quais foi aplicada em 2022, estando a outra recomendação atualmente a ser aplicada; exorta o Instituto a informar a autoridade de quitação do seguimento dado a estas recomendações;</w:t>
      </w:r>
    </w:p>
    <w:p w14:paraId="25B90434" w14:textId="77777777" w:rsidR="00DC6E5F" w:rsidRPr="00A20E8C" w:rsidRDefault="00DC6E5F" w:rsidP="00DC6E5F">
      <w:pPr>
        <w:pStyle w:val="NormalHanging12a"/>
      </w:pPr>
      <w:r w:rsidRPr="00A20E8C">
        <w:t>28.</w:t>
      </w:r>
      <w:r w:rsidRPr="00A20E8C">
        <w:tab/>
        <w:t>Reitera a importância de o Instituto adquirir uma maior visibilidade nos meios de comunicação social, na Internet e nas redes sociais, para dar a conhecer o seu trabalho aos cidadãos;</w:t>
      </w:r>
    </w:p>
    <w:p w14:paraId="45E3101D" w14:textId="77777777" w:rsidR="00DC6E5F" w:rsidRPr="00A20E8C" w:rsidRDefault="00DC6E5F" w:rsidP="00DC6E5F">
      <w:pPr>
        <w:spacing w:after="240"/>
        <w:ind w:left="567" w:hanging="567"/>
        <w:rPr>
          <w:b/>
          <w:i/>
          <w:szCs w:val="24"/>
        </w:rPr>
      </w:pPr>
      <w:r w:rsidRPr="00A20E8C">
        <w:rPr>
          <w:b/>
          <w:i/>
        </w:rPr>
        <w:t>Contratação pública</w:t>
      </w:r>
    </w:p>
    <w:p w14:paraId="32EDFE7B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29.</w:t>
      </w:r>
      <w:r w:rsidRPr="00A20E8C">
        <w:tab/>
        <w:t xml:space="preserve">Regista que, relativamente a três pagamentos administrativos auditados (no montante de 337 116 EUR), o Instituto apenas aprovou as autorizações orçamentais após a assinatura dos compromissos jurídicos correspondentes; salienta que não se trata de um incidente isolado, uma vez que o Tribunal já assinalou uma questão semelhante no seu relatório de 2021; recorda que tal contraria o disposto no artigo 73.º, n.º 2, do Regulamento </w:t>
      </w:r>
      <w:r w:rsidRPr="00A20E8C">
        <w:lastRenderedPageBreak/>
        <w:t>Delegado (UE) 2019/715</w:t>
      </w:r>
      <w:r w:rsidRPr="00A20E8C">
        <w:rPr>
          <w:rStyle w:val="FootnoteReference"/>
          <w:szCs w:val="24"/>
        </w:rPr>
        <w:footnoteReference w:id="12"/>
      </w:r>
      <w:r w:rsidRPr="00A20E8C">
        <w:t xml:space="preserve"> da Comissão (regulamento financeiro</w:t>
      </w:r>
      <w:r w:rsidRPr="00A20E8C">
        <w:noBreakHyphen/>
        <w:t>quadro); observa, com base na resposta do Instituto, que este tomará medidas adicionais para garantir a plena conformidade com essa disposição, nomeadamente organizando sessões de informação específicas para o pessoal e procedendo à atualização dos procedimentos em vigor e ao reforço dos controlos internos correspondentes; solicita ao Instituto que tome medidas imediatas para garantir que todas as transações financeiras estejam em consonância com o regulamento financeiro</w:t>
      </w:r>
      <w:r w:rsidRPr="00A20E8C">
        <w:noBreakHyphen/>
        <w:t>quadro;</w:t>
      </w:r>
    </w:p>
    <w:p w14:paraId="6F487545" w14:textId="77777777" w:rsidR="00DC6E5F" w:rsidRPr="00A20E8C" w:rsidRDefault="00DC6E5F" w:rsidP="00DC6E5F">
      <w:pPr>
        <w:spacing w:after="240"/>
        <w:ind w:left="567" w:hanging="567"/>
        <w:rPr>
          <w:b/>
          <w:i/>
          <w:szCs w:val="24"/>
        </w:rPr>
      </w:pPr>
      <w:r w:rsidRPr="00A20E8C">
        <w:rPr>
          <w:b/>
          <w:i/>
        </w:rPr>
        <w:t>Controlo interno</w:t>
      </w:r>
    </w:p>
    <w:p w14:paraId="49C7C7EF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30.</w:t>
      </w:r>
      <w:r w:rsidRPr="00A20E8C">
        <w:tab/>
        <w:t>Observa que o Instituto concluiu a transição da função de estrutura de auditoria interna para uma função de acompanhamento e de supervisão das CCI, adotada pela Decisão n.º 12/2022 do Conselho Diretivo, com efeitos a partir de 1 de abril de 2022; assinala que a função de auditoria interna é atualmente desempenhada pelo Serviço de Auditoria Interna (SAI) da Comissão; observa que, além disso, o papel do coordenador do controlo interno foi reforçado, com tarefas que incluem a coordenação das atividades de controlo interno e a elaboração de relatórios no Instituto, a aplicação de recomendações de auditoria, a coordenação das auditorias, a cooperação com organismos de auditoria externos e a contribuição para a gestão financeira e operacional em domínios como a contratação pública, a execução de contratos, os pagamentos e a apresentação de relatórios;</w:t>
      </w:r>
    </w:p>
    <w:p w14:paraId="104DFD02" w14:textId="4E70C2F8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31</w:t>
      </w:r>
      <w:r w:rsidR="00D52593">
        <w:t>.</w:t>
      </w:r>
      <w:bookmarkStart w:id="9" w:name="_GoBack"/>
      <w:bookmarkEnd w:id="9"/>
      <w:r w:rsidRPr="00A20E8C">
        <w:tab/>
        <w:t>Constata que o SAI iniciou, em 2022, os preparativos para o plano estratégico de auditoria interna 2023</w:t>
      </w:r>
      <w:r w:rsidRPr="00A20E8C">
        <w:noBreakHyphen/>
        <w:t>2025 do Instituto; constata que, além disso, o SAI iniciou uma auditoria, concluída em 2023, à gestão de peritos do Instituto para avaliar a eficácia do sistema de controlo interno dos processos de gestão de peritos, incluindo a seleção, a adjudicação de contratos e os pagamentos no Instituto;</w:t>
      </w:r>
    </w:p>
    <w:p w14:paraId="1AEFFFC2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32.</w:t>
      </w:r>
      <w:r w:rsidRPr="00A20E8C">
        <w:tab/>
        <w:t>Refere que uma recomendação importante emitida pelo SAI no âmbito da auditoria de 2021 à gestão dos recursos humanos, centrada no exercício de avaliação e reclassificação, sofreu um atraso significativo de 15 meses; observa que os riscos identificados incluíam potenciais atrasos e ineficácia no exercício, a possibilidade de decisões de gestão tomadas com base numa justificação incorreta que deem azo a impugnações dos procedimentos de revisão ou junto do Tribunal, a insatisfação e a desmotivação do pessoal, preocupações quanto ao facto de o Comité Paritário de Reclassificação não cumprir o seu papel e a perda global de credibilidade no que respeita ao exercício de reclassificação e ao mecanismo de revisão, causando desmotivação nos membros do pessoal; solicita ao Instituto que tome medidas proativas para fazer face a eventuais atrasos e à ineficácia no exercício de avaliação e reclassificação e a informar a autoridade de quitação sobre os progressos realizados nesta matéria;</w:t>
      </w:r>
    </w:p>
    <w:p w14:paraId="04337AA4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33.</w:t>
      </w:r>
      <w:r w:rsidRPr="00A20E8C">
        <w:tab/>
        <w:t>Observa que o Instituto intensificou a sua interação com o OLAF, tendo realizado reuniões bilaterais e sessões de sensibilização para a luta contra a fraude; observa ainda que o Instituto aplica a sua estratégia antifraude 2021</w:t>
      </w:r>
      <w:r w:rsidRPr="00A20E8C">
        <w:noBreakHyphen/>
        <w:t>2023, adotada em maio de 2021;</w:t>
      </w:r>
    </w:p>
    <w:p w14:paraId="45F48BCB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lastRenderedPageBreak/>
        <w:t>34.</w:t>
      </w:r>
      <w:r w:rsidRPr="00A20E8C">
        <w:tab/>
        <w:t>Verifica que o Instituto executou o exercício de avaliação dos riscos e inscreveu, no seu Registo de Riscos de 2022, após tê</w:t>
      </w:r>
      <w:r w:rsidRPr="00A20E8C">
        <w:noBreakHyphen/>
        <w:t>los identificado, os seguintes riscos: a não execução de elementos do programa de trabalho anual devido à insuficiência de recursos humanos, a execução incorreta dos acordos das CCI, atrasos nos procedimentos de adjudicação de contratos do Instituto e na integração nos sistemas informáticos da Comissão, entre outros; solicita ao Instituto que informe a autoridade de quitação sobre quaisquer desenvolvimentos nesta matéria;</w:t>
      </w:r>
    </w:p>
    <w:p w14:paraId="51A3B6A6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35.</w:t>
      </w:r>
      <w:r w:rsidRPr="00A20E8C">
        <w:tab/>
        <w:t xml:space="preserve">Observa, com base no relatório do Tribunal, que, no caso de um pedido de renovação de </w:t>
      </w:r>
      <w:r w:rsidRPr="00A20E8C">
        <w:rPr>
          <w:i/>
          <w:iCs/>
        </w:rPr>
        <w:t>software</w:t>
      </w:r>
      <w:r w:rsidRPr="00A20E8C">
        <w:t xml:space="preserve">, o Instituto não efetuou uma verificação </w:t>
      </w:r>
      <w:r w:rsidRPr="00A20E8C">
        <w:rPr>
          <w:i/>
          <w:iCs/>
        </w:rPr>
        <w:t>ex ante</w:t>
      </w:r>
      <w:r w:rsidRPr="00A20E8C">
        <w:t xml:space="preserve"> para confirmar se o contratante tinha cobrado o preço e a taxa de aumento corretos, tal como estabelecido no contrato</w:t>
      </w:r>
      <w:r w:rsidRPr="00A20E8C">
        <w:noBreakHyphen/>
        <w:t>quadro aplicável; observa que tal é contrário ao disposto no artigo 30.º do regulamento financeiro</w:t>
      </w:r>
      <w:r w:rsidRPr="00A20E8C">
        <w:noBreakHyphen/>
        <w:t xml:space="preserve">quadro relativo aos controlos </w:t>
      </w:r>
      <w:r w:rsidRPr="00A20E8C">
        <w:rPr>
          <w:i/>
          <w:iCs/>
        </w:rPr>
        <w:t>ex ante</w:t>
      </w:r>
      <w:r w:rsidRPr="00A20E8C">
        <w:t xml:space="preserve"> e cria o risco de o Instituto pagar montantes incorretos pelos serviços obtidos; observa que, de acordo com a resposta do Instituto, este exigirá ao contratante, ao solicitar um orçamento, que o preço e a margem comercial sejam indicados de forma clara e discriminada para que o Instituto possa avaliar qualquer risco relacionado com os preços;</w:t>
      </w:r>
    </w:p>
    <w:p w14:paraId="10A2D839" w14:textId="77777777" w:rsidR="00DC6E5F" w:rsidRPr="00A20E8C" w:rsidRDefault="00DC6E5F" w:rsidP="00DC6E5F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A20E8C">
        <w:rPr>
          <w:b/>
          <w:i/>
        </w:rPr>
        <w:t>Outras observações</w:t>
      </w:r>
    </w:p>
    <w:p w14:paraId="524DB4FC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36.</w:t>
      </w:r>
      <w:r w:rsidRPr="00A20E8C">
        <w:tab/>
        <w:t>Regista que, em 2022, o Instituto organizou eventos para aumentar a sua visibilidade nos Estados</w:t>
      </w:r>
      <w:r w:rsidRPr="00A20E8C">
        <w:noBreakHyphen/>
        <w:t>Membros e na União, bem como Dias de Portas Abertas, a fim de fornecer informações aos potenciais candidatos sobre as oportunidades oferecidas pelo Instituto; regista ainda que o Instituto também lançou a Iniciativa de Talentos de Tecnologia Profunda, que faz parte da Nova Agenda Europeia para a Inovação e ajudará a dotar os cidadãos de competências nos domínios tecnológicos do futuro;</w:t>
      </w:r>
    </w:p>
    <w:p w14:paraId="0A24FCD2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37.</w:t>
      </w:r>
      <w:r w:rsidRPr="00A20E8C">
        <w:tab/>
        <w:t>Observa que o Instituto tem envidado esforços no sentido de se tornar uma agência com impacto neutro no clima, tomando as medidas necessárias para a gestão do ambiente; observa que o Instituto é o maior ecossistema de inovação da União e um instrumento proeminente no âmbito do Horizonte Europa para combater as alterações climáticas e dar resposta às questões conexas; acolhe favoravelmente as medidas tomadas pelo Instituto em 2022 para alcançar os seus objetivos ambientais: a criação do Comité de Sustentabilidade, a adesão à sub</w:t>
      </w:r>
      <w:r w:rsidRPr="00A20E8C">
        <w:noBreakHyphen/>
        <w:t>rede para a ecologização da Rede de Agências da UE e a celebração do EITree, um evento em que vários membros do pessoal plantam árvores numa zona urbana;</w:t>
      </w:r>
    </w:p>
    <w:p w14:paraId="4803AC87" w14:textId="77777777" w:rsidR="00DC6E5F" w:rsidRPr="00A20E8C" w:rsidRDefault="00DC6E5F" w:rsidP="00DC6E5F">
      <w:pPr>
        <w:spacing w:after="240"/>
        <w:ind w:left="567" w:hanging="567"/>
        <w:rPr>
          <w:szCs w:val="24"/>
        </w:rPr>
      </w:pPr>
      <w:r w:rsidRPr="00A20E8C">
        <w:t>38.</w:t>
      </w:r>
      <w:r w:rsidRPr="00A20E8C">
        <w:tab/>
        <w:t>Faz notar que a certificação EMAS está nos planos a médio ou longo prazo do Instituto;</w:t>
      </w:r>
    </w:p>
    <w:p w14:paraId="4FFE7F46" w14:textId="77777777" w:rsidR="002356B0" w:rsidRPr="00A20E8C" w:rsidRDefault="002356B0" w:rsidP="002356B0">
      <w:pPr>
        <w:pStyle w:val="NormalCenter12a"/>
        <w:widowControl/>
      </w:pPr>
      <w:r w:rsidRPr="00A20E8C">
        <w:t>°</w:t>
      </w:r>
    </w:p>
    <w:p w14:paraId="71657E2A" w14:textId="77777777" w:rsidR="002356B0" w:rsidRPr="00A20E8C" w:rsidRDefault="002356B0" w:rsidP="002356B0">
      <w:pPr>
        <w:pStyle w:val="NormalCenter12a"/>
        <w:widowControl/>
      </w:pPr>
      <w:r w:rsidRPr="00A20E8C">
        <w:t>°     °</w:t>
      </w:r>
    </w:p>
    <w:p w14:paraId="5DA5F403" w14:textId="3156BC44" w:rsidR="00DC6E5F" w:rsidRPr="00A20E8C" w:rsidRDefault="00DC6E5F" w:rsidP="00DC6E5F">
      <w:pPr>
        <w:pStyle w:val="NormalHanging12a"/>
      </w:pPr>
      <w:r w:rsidRPr="00A20E8C">
        <w:t>39.</w:t>
      </w:r>
      <w:r w:rsidRPr="00A20E8C">
        <w:tab/>
        <w:t xml:space="preserve">Remete, em relação a outras observações, de natureza horizontal, que acompanham a sua decisão sobre a quitação, para a sua Resolução, de </w:t>
      </w:r>
      <w:r w:rsidR="002356B0" w:rsidRPr="00A20E8C">
        <w:t xml:space="preserve">11 de abril de </w:t>
      </w:r>
      <w:r w:rsidRPr="00A20E8C">
        <w:t>2024</w:t>
      </w:r>
      <w:r w:rsidRPr="00A20E8C">
        <w:rPr>
          <w:rStyle w:val="FootnoteReference"/>
        </w:rPr>
        <w:footnoteReference w:id="13"/>
      </w:r>
      <w:r w:rsidRPr="00A20E8C">
        <w:t>, sobre o desempenho, a gestão financeira e o controlo das agências.</w:t>
      </w:r>
    </w:p>
    <w:sectPr w:rsidR="00DC6E5F" w:rsidRPr="00A20E8C" w:rsidSect="00FA28A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5C196E" w14:textId="77777777" w:rsidR="005F5A6D" w:rsidRPr="00FA28A0" w:rsidRDefault="005F5A6D">
      <w:r w:rsidRPr="00FA28A0">
        <w:separator/>
      </w:r>
    </w:p>
  </w:endnote>
  <w:endnote w:type="continuationSeparator" w:id="0">
    <w:p w14:paraId="4883A8A7" w14:textId="77777777" w:rsidR="005F5A6D" w:rsidRPr="00FA28A0" w:rsidRDefault="005F5A6D">
      <w:r w:rsidRPr="00FA28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DCEF4" w14:textId="77777777" w:rsidR="00DC6E5F" w:rsidRPr="00FA28A0" w:rsidRDefault="00DC6E5F" w:rsidP="00480FD9">
    <w:pPr>
      <w:pStyle w:val="EPFooter"/>
    </w:pPr>
    <w:r w:rsidRPr="00FA28A0">
      <w:t>PE</w:t>
    </w:r>
    <w:r w:rsidRPr="00FA28A0">
      <w:rPr>
        <w:rStyle w:val="HideTWBExt"/>
      </w:rPr>
      <w:t>&lt;NoPE&gt;</w:t>
    </w:r>
    <w:r w:rsidRPr="00FA28A0">
      <w:t>753.522</w:t>
    </w:r>
    <w:r w:rsidRPr="00FA28A0">
      <w:rPr>
        <w:rStyle w:val="HideTWBExt"/>
      </w:rPr>
      <w:t>&lt;/NoPE&gt;&lt;Version&gt;</w:t>
    </w:r>
    <w:r w:rsidRPr="00FA28A0">
      <w:t>v03</w:t>
    </w:r>
    <w:r w:rsidRPr="00FA28A0">
      <w:noBreakHyphen/>
      <w:t>00</w:t>
    </w:r>
    <w:r w:rsidRPr="00FA28A0">
      <w:rPr>
        <w:rStyle w:val="HideTWBExt"/>
      </w:rPr>
      <w:t>&lt;/Version&gt;</w:t>
    </w:r>
    <w:r w:rsidRPr="00FA28A0">
      <w:tab/>
    </w:r>
    <w:r w:rsidRPr="00FA28A0">
      <w:fldChar w:fldCharType="begin"/>
    </w:r>
    <w:r w:rsidRPr="00FA28A0">
      <w:instrText xml:space="preserve"> PAGE  \* MERGEFORMAT </w:instrText>
    </w:r>
    <w:r w:rsidRPr="00FA28A0">
      <w:fldChar w:fldCharType="separate"/>
    </w:r>
    <w:r w:rsidRPr="00FA28A0">
      <w:rPr>
        <w:noProof/>
      </w:rPr>
      <w:t>4</w:t>
    </w:r>
    <w:r w:rsidRPr="00FA28A0">
      <w:fldChar w:fldCharType="end"/>
    </w:r>
    <w:r w:rsidRPr="00FA28A0">
      <w:t>/</w:t>
    </w:r>
    <w:fldSimple w:instr=" NUMPAGES  \* MERGEFORMAT ">
      <w:r w:rsidRPr="00FA28A0">
        <w:rPr>
          <w:noProof/>
        </w:rPr>
        <w:t>4</w:t>
      </w:r>
    </w:fldSimple>
    <w:r w:rsidRPr="00FA28A0">
      <w:tab/>
    </w:r>
    <w:r w:rsidRPr="00FA28A0">
      <w:rPr>
        <w:rStyle w:val="HideTWBExt"/>
      </w:rPr>
      <w:t>&lt;PathFdR&gt;</w:t>
    </w:r>
    <w:r w:rsidRPr="00FA28A0">
      <w:t>RR\1299238PT.docx</w:t>
    </w:r>
    <w:r w:rsidRPr="00FA28A0">
      <w:rPr>
        <w:rStyle w:val="HideTWBExt"/>
      </w:rPr>
      <w:t>&lt;/PathFdR&gt;</w:t>
    </w:r>
  </w:p>
  <w:p w14:paraId="36C91BEA" w14:textId="77777777" w:rsidR="00DC6E5F" w:rsidRPr="00FA28A0" w:rsidRDefault="00DC6E5F" w:rsidP="00480FD9">
    <w:pPr>
      <w:pStyle w:val="EPFooter2"/>
    </w:pPr>
    <w:r w:rsidRPr="00FA28A0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E21CE" w14:textId="77777777" w:rsidR="00DC6E5F" w:rsidRPr="002356B0" w:rsidRDefault="00DC6E5F" w:rsidP="002356B0">
    <w:pPr>
      <w:pStyle w:val="EPFooter2"/>
      <w:ind w:left="0"/>
      <w:rPr>
        <w:rFonts w:ascii="Times New Roman" w:hAnsi="Times New Roman" w:cs="Times New Roman"/>
        <w:b w:val="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8E40D" w14:textId="77777777" w:rsidR="00DC6E5F" w:rsidRPr="00FA28A0" w:rsidRDefault="00DC6E5F" w:rsidP="00480FD9">
    <w:pPr>
      <w:pStyle w:val="EPFooter"/>
    </w:pPr>
    <w:r w:rsidRPr="00FA28A0">
      <w:rPr>
        <w:rStyle w:val="HideTWBExt"/>
      </w:rPr>
      <w:t>&lt;PathFdR&gt;</w:t>
    </w:r>
    <w:r w:rsidRPr="00FA28A0">
      <w:t>RR\1299238PT.docx</w:t>
    </w:r>
    <w:r w:rsidRPr="00FA28A0">
      <w:rPr>
        <w:rStyle w:val="HideTWBExt"/>
      </w:rPr>
      <w:t>&lt;/PathFdR&gt;</w:t>
    </w:r>
    <w:r w:rsidRPr="00FA28A0">
      <w:tab/>
    </w:r>
    <w:r w:rsidRPr="00FA28A0">
      <w:tab/>
      <w:t>PE</w:t>
    </w:r>
    <w:r w:rsidRPr="00FA28A0">
      <w:rPr>
        <w:rStyle w:val="HideTWBExt"/>
      </w:rPr>
      <w:t>&lt;NoPE&gt;</w:t>
    </w:r>
    <w:r w:rsidRPr="00FA28A0">
      <w:t>753.522</w:t>
    </w:r>
    <w:r w:rsidRPr="00FA28A0">
      <w:rPr>
        <w:rStyle w:val="HideTWBExt"/>
      </w:rPr>
      <w:t>&lt;/NoPE&gt;&lt;Version&gt;</w:t>
    </w:r>
    <w:r w:rsidRPr="00FA28A0">
      <w:t>v03</w:t>
    </w:r>
    <w:r w:rsidRPr="00FA28A0">
      <w:noBreakHyphen/>
      <w:t>00</w:t>
    </w:r>
    <w:r w:rsidRPr="00FA28A0">
      <w:rPr>
        <w:rStyle w:val="HideTWBExt"/>
      </w:rPr>
      <w:t>&lt;/Version&gt;</w:t>
    </w:r>
  </w:p>
  <w:p w14:paraId="6CB17088" w14:textId="77777777" w:rsidR="00DC6E5F" w:rsidRPr="00FA28A0" w:rsidRDefault="00DC6E5F" w:rsidP="00480FD9">
    <w:pPr>
      <w:pStyle w:val="EPFooter2"/>
    </w:pPr>
    <w:r w:rsidRPr="00FA28A0">
      <w:t>PT</w:t>
    </w:r>
    <w:r w:rsidRPr="00FA28A0">
      <w:tab/>
    </w:r>
    <w:r w:rsidRPr="00FA28A0">
      <w:rPr>
        <w:b w:val="0"/>
        <w:i/>
        <w:color w:val="C0C0C0"/>
        <w:sz w:val="22"/>
      </w:rPr>
      <w:t>Unida na diversidade</w:t>
    </w:r>
    <w:r w:rsidRPr="00FA28A0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8BAE0" w14:textId="77777777" w:rsidR="00064002" w:rsidRPr="00FA28A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9DDA4" w14:textId="77777777" w:rsidR="00064002" w:rsidRPr="00FA28A0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F05AF" w14:textId="77777777" w:rsidR="00064002" w:rsidRPr="00FA28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56779" w14:textId="77777777" w:rsidR="005F5A6D" w:rsidRPr="00FA28A0" w:rsidRDefault="005F5A6D">
      <w:r w:rsidRPr="00FA28A0">
        <w:separator/>
      </w:r>
    </w:p>
  </w:footnote>
  <w:footnote w:type="continuationSeparator" w:id="0">
    <w:p w14:paraId="29D6E92D" w14:textId="77777777" w:rsidR="005F5A6D" w:rsidRPr="00FA28A0" w:rsidRDefault="005F5A6D">
      <w:r w:rsidRPr="00FA28A0">
        <w:continuationSeparator/>
      </w:r>
    </w:p>
  </w:footnote>
  <w:footnote w:id="1">
    <w:p w14:paraId="649BB1D5" w14:textId="77777777" w:rsidR="00DC6E5F" w:rsidRPr="0001365F" w:rsidRDefault="00DC6E5F" w:rsidP="00FA28A0">
      <w:pPr>
        <w:pStyle w:val="FootnoteText"/>
        <w:ind w:left="567" w:hanging="567"/>
        <w:rPr>
          <w:sz w:val="24"/>
          <w:lang w:val="fi-FI"/>
        </w:rPr>
      </w:pPr>
      <w:r w:rsidRPr="00FA28A0">
        <w:rPr>
          <w:rStyle w:val="FootnoteReference"/>
          <w:sz w:val="24"/>
          <w:lang w:val="pt-PT"/>
        </w:rPr>
        <w:footnoteRef/>
      </w:r>
      <w:r w:rsidR="00FA28A0" w:rsidRPr="0001365F">
        <w:rPr>
          <w:sz w:val="24"/>
          <w:lang w:val="fi-FI"/>
        </w:rPr>
        <w:t xml:space="preserve"> </w:t>
      </w:r>
      <w:r w:rsidR="00FA28A0" w:rsidRPr="0001365F">
        <w:rPr>
          <w:sz w:val="24"/>
          <w:lang w:val="fi-FI"/>
        </w:rPr>
        <w:tab/>
      </w:r>
      <w:r w:rsidRPr="0001365F">
        <w:rPr>
          <w:sz w:val="24"/>
          <w:lang w:val="fi-FI"/>
        </w:rPr>
        <w:t>JO C, C/2023/594, 27.10.2023.</w:t>
      </w:r>
    </w:p>
  </w:footnote>
  <w:footnote w:id="2">
    <w:p w14:paraId="44023091" w14:textId="77777777" w:rsidR="00DC6E5F" w:rsidRPr="0001365F" w:rsidRDefault="00DC6E5F" w:rsidP="00FA28A0">
      <w:pPr>
        <w:pStyle w:val="FootnoteText"/>
        <w:ind w:left="567" w:hanging="567"/>
        <w:rPr>
          <w:sz w:val="24"/>
          <w:lang w:val="fi-FI"/>
        </w:rPr>
      </w:pPr>
      <w:r w:rsidRPr="00FA28A0">
        <w:rPr>
          <w:rStyle w:val="FootnoteReference"/>
          <w:sz w:val="24"/>
          <w:lang w:val="pt-PT"/>
        </w:rPr>
        <w:footnoteRef/>
      </w:r>
      <w:r w:rsidR="00FA28A0" w:rsidRPr="0001365F">
        <w:rPr>
          <w:sz w:val="24"/>
          <w:lang w:val="fi-FI"/>
        </w:rPr>
        <w:t xml:space="preserve"> </w:t>
      </w:r>
      <w:r w:rsidR="00FA28A0" w:rsidRPr="0001365F">
        <w:rPr>
          <w:sz w:val="24"/>
          <w:lang w:val="fi-FI"/>
        </w:rPr>
        <w:tab/>
      </w:r>
      <w:r w:rsidRPr="0001365F">
        <w:rPr>
          <w:sz w:val="24"/>
          <w:lang w:val="fi-FI"/>
        </w:rPr>
        <w:t>JO C, C/2023/112, 12.10.2023.</w:t>
      </w:r>
    </w:p>
  </w:footnote>
  <w:footnote w:id="3">
    <w:p w14:paraId="230DF71B" w14:textId="77777777" w:rsidR="00DC6E5F" w:rsidRPr="0001365F" w:rsidRDefault="00DC6E5F" w:rsidP="00FA28A0">
      <w:pPr>
        <w:pStyle w:val="FootnoteText"/>
        <w:ind w:left="567" w:hanging="567"/>
        <w:rPr>
          <w:sz w:val="24"/>
          <w:lang w:val="fi-FI"/>
        </w:rPr>
      </w:pPr>
      <w:r w:rsidRPr="00FA28A0">
        <w:rPr>
          <w:rStyle w:val="FootnoteReference"/>
          <w:sz w:val="24"/>
          <w:lang w:val="pt-PT"/>
        </w:rPr>
        <w:footnoteRef/>
      </w:r>
      <w:r w:rsidR="00FA28A0" w:rsidRPr="0001365F">
        <w:rPr>
          <w:sz w:val="24"/>
          <w:lang w:val="fi-FI"/>
        </w:rPr>
        <w:t xml:space="preserve"> </w:t>
      </w:r>
      <w:r w:rsidR="00FA28A0" w:rsidRPr="0001365F">
        <w:rPr>
          <w:sz w:val="24"/>
          <w:lang w:val="fi-FI"/>
        </w:rPr>
        <w:tab/>
      </w:r>
      <w:r w:rsidRPr="0001365F">
        <w:rPr>
          <w:sz w:val="24"/>
          <w:lang w:val="fi-FI"/>
        </w:rPr>
        <w:t>JO L 193 de 30.7.2018, p. 1.</w:t>
      </w:r>
    </w:p>
  </w:footnote>
  <w:footnote w:id="4">
    <w:p w14:paraId="69CD84C6" w14:textId="77777777" w:rsidR="00DC6E5F" w:rsidRPr="0001365F" w:rsidRDefault="00DC6E5F" w:rsidP="00FA28A0">
      <w:pPr>
        <w:pStyle w:val="FootnoteText"/>
        <w:ind w:left="567" w:hanging="567"/>
        <w:rPr>
          <w:sz w:val="24"/>
          <w:lang w:val="da-DK"/>
        </w:rPr>
      </w:pPr>
      <w:r w:rsidRPr="00FA28A0">
        <w:rPr>
          <w:rStyle w:val="FootnoteReference"/>
          <w:sz w:val="24"/>
          <w:lang w:val="pt-PT"/>
        </w:rPr>
        <w:footnoteRef/>
      </w:r>
      <w:r w:rsidR="00FA28A0" w:rsidRPr="0001365F">
        <w:rPr>
          <w:sz w:val="24"/>
          <w:lang w:val="da-DK"/>
        </w:rPr>
        <w:t xml:space="preserve"> </w:t>
      </w:r>
      <w:r w:rsidR="00FA28A0" w:rsidRPr="0001365F">
        <w:rPr>
          <w:sz w:val="24"/>
          <w:lang w:val="da-DK"/>
        </w:rPr>
        <w:tab/>
      </w:r>
      <w:r w:rsidRPr="0001365F">
        <w:rPr>
          <w:sz w:val="24"/>
          <w:lang w:val="da-DK"/>
        </w:rPr>
        <w:t>JO L 189 de 28.5.2021, p. 61.</w:t>
      </w:r>
    </w:p>
  </w:footnote>
  <w:footnote w:id="5">
    <w:p w14:paraId="0C6B8217" w14:textId="77777777" w:rsidR="00DC6E5F" w:rsidRPr="0001365F" w:rsidRDefault="00DC6E5F" w:rsidP="00FA28A0">
      <w:pPr>
        <w:pStyle w:val="FootnoteText"/>
        <w:ind w:left="567" w:hanging="567"/>
        <w:rPr>
          <w:sz w:val="24"/>
          <w:lang w:val="da-DK"/>
        </w:rPr>
      </w:pPr>
      <w:r w:rsidRPr="00FA28A0">
        <w:rPr>
          <w:rStyle w:val="FootnoteReference"/>
          <w:sz w:val="24"/>
          <w:lang w:val="pt-PT"/>
        </w:rPr>
        <w:footnoteRef/>
      </w:r>
      <w:r w:rsidR="00FA28A0" w:rsidRPr="0001365F">
        <w:rPr>
          <w:sz w:val="24"/>
          <w:lang w:val="da-DK"/>
        </w:rPr>
        <w:t xml:space="preserve"> </w:t>
      </w:r>
      <w:r w:rsidR="00FA28A0" w:rsidRPr="0001365F">
        <w:rPr>
          <w:sz w:val="24"/>
          <w:lang w:val="da-DK"/>
        </w:rPr>
        <w:tab/>
      </w:r>
      <w:r w:rsidRPr="0001365F">
        <w:rPr>
          <w:sz w:val="24"/>
          <w:lang w:val="da-DK"/>
        </w:rPr>
        <w:t>JO L 122 de 10.5.2019, p. 1.</w:t>
      </w:r>
    </w:p>
  </w:footnote>
  <w:footnote w:id="6">
    <w:p w14:paraId="136A5DE3" w14:textId="77777777" w:rsidR="00DC6E5F" w:rsidRPr="0001365F" w:rsidRDefault="00DC6E5F" w:rsidP="00FA28A0">
      <w:pPr>
        <w:pStyle w:val="FootnoteText"/>
        <w:ind w:left="567" w:hanging="567"/>
        <w:rPr>
          <w:sz w:val="24"/>
          <w:lang w:val="fi-FI"/>
        </w:rPr>
      </w:pPr>
      <w:r w:rsidRPr="00FA28A0">
        <w:rPr>
          <w:rStyle w:val="FootnoteReference"/>
          <w:sz w:val="24"/>
          <w:lang w:val="pt-PT"/>
        </w:rPr>
        <w:footnoteRef/>
      </w:r>
      <w:r w:rsidR="00FA28A0" w:rsidRPr="0001365F">
        <w:rPr>
          <w:sz w:val="24"/>
          <w:lang w:val="fi-FI"/>
        </w:rPr>
        <w:t xml:space="preserve"> </w:t>
      </w:r>
      <w:r w:rsidR="00FA28A0" w:rsidRPr="0001365F">
        <w:rPr>
          <w:sz w:val="24"/>
          <w:lang w:val="fi-FI"/>
        </w:rPr>
        <w:tab/>
      </w:r>
      <w:r w:rsidRPr="0001365F">
        <w:rPr>
          <w:sz w:val="24"/>
          <w:lang w:val="fi-FI"/>
        </w:rPr>
        <w:t>JO C, C/2023/594, 27.10.2023.</w:t>
      </w:r>
    </w:p>
  </w:footnote>
  <w:footnote w:id="7">
    <w:p w14:paraId="72A08369" w14:textId="77777777" w:rsidR="00DC6E5F" w:rsidRPr="0001365F" w:rsidRDefault="00DC6E5F" w:rsidP="00FA28A0">
      <w:pPr>
        <w:pStyle w:val="FootnoteText"/>
        <w:ind w:left="567" w:hanging="567"/>
        <w:rPr>
          <w:sz w:val="24"/>
          <w:lang w:val="fi-FI"/>
        </w:rPr>
      </w:pPr>
      <w:r w:rsidRPr="00FA28A0">
        <w:rPr>
          <w:rStyle w:val="FootnoteReference"/>
          <w:sz w:val="24"/>
          <w:lang w:val="pt-PT"/>
        </w:rPr>
        <w:footnoteRef/>
      </w:r>
      <w:r w:rsidR="00FA28A0" w:rsidRPr="0001365F">
        <w:rPr>
          <w:sz w:val="24"/>
          <w:lang w:val="fi-FI"/>
        </w:rPr>
        <w:t xml:space="preserve"> </w:t>
      </w:r>
      <w:r w:rsidR="00FA28A0" w:rsidRPr="0001365F">
        <w:rPr>
          <w:sz w:val="24"/>
          <w:lang w:val="fi-FI"/>
        </w:rPr>
        <w:tab/>
      </w:r>
      <w:r w:rsidRPr="0001365F">
        <w:rPr>
          <w:sz w:val="24"/>
          <w:lang w:val="fi-FI"/>
        </w:rPr>
        <w:t>JO C, C/2023/112, 12.10.2023.</w:t>
      </w:r>
    </w:p>
  </w:footnote>
  <w:footnote w:id="8">
    <w:p w14:paraId="12DE4AF5" w14:textId="77777777" w:rsidR="00DC6E5F" w:rsidRPr="0001365F" w:rsidRDefault="00DC6E5F" w:rsidP="00FA28A0">
      <w:pPr>
        <w:pStyle w:val="FootnoteText"/>
        <w:ind w:left="567" w:hanging="567"/>
        <w:rPr>
          <w:sz w:val="24"/>
          <w:lang w:val="fi-FI"/>
        </w:rPr>
      </w:pPr>
      <w:r w:rsidRPr="00FA28A0">
        <w:rPr>
          <w:rStyle w:val="FootnoteReference"/>
          <w:sz w:val="24"/>
          <w:lang w:val="pt-PT"/>
        </w:rPr>
        <w:footnoteRef/>
      </w:r>
      <w:r w:rsidR="00FA28A0" w:rsidRPr="0001365F">
        <w:rPr>
          <w:sz w:val="24"/>
          <w:lang w:val="fi-FI"/>
        </w:rPr>
        <w:t xml:space="preserve"> </w:t>
      </w:r>
      <w:r w:rsidR="00FA28A0" w:rsidRPr="0001365F">
        <w:rPr>
          <w:sz w:val="24"/>
          <w:lang w:val="fi-FI"/>
        </w:rPr>
        <w:tab/>
      </w:r>
      <w:r w:rsidRPr="0001365F">
        <w:rPr>
          <w:sz w:val="24"/>
          <w:lang w:val="fi-FI"/>
        </w:rPr>
        <w:t>JO L 193 de 30.7.2018, p. 1.</w:t>
      </w:r>
    </w:p>
  </w:footnote>
  <w:footnote w:id="9">
    <w:p w14:paraId="74EE5D8F" w14:textId="77777777" w:rsidR="00DC6E5F" w:rsidRPr="0001365F" w:rsidRDefault="00DC6E5F" w:rsidP="00FA28A0">
      <w:pPr>
        <w:pStyle w:val="FootnoteText"/>
        <w:ind w:left="567" w:hanging="567"/>
        <w:rPr>
          <w:sz w:val="24"/>
          <w:lang w:val="da-DK"/>
        </w:rPr>
      </w:pPr>
      <w:r w:rsidRPr="00FA28A0">
        <w:rPr>
          <w:rStyle w:val="FootnoteReference"/>
          <w:sz w:val="24"/>
          <w:lang w:val="pt-PT"/>
        </w:rPr>
        <w:footnoteRef/>
      </w:r>
      <w:r w:rsidR="00FA28A0" w:rsidRPr="0001365F">
        <w:rPr>
          <w:sz w:val="24"/>
          <w:lang w:val="da-DK"/>
        </w:rPr>
        <w:t xml:space="preserve"> </w:t>
      </w:r>
      <w:r w:rsidR="00FA28A0" w:rsidRPr="0001365F">
        <w:rPr>
          <w:sz w:val="24"/>
          <w:lang w:val="da-DK"/>
        </w:rPr>
        <w:tab/>
      </w:r>
      <w:r w:rsidRPr="0001365F">
        <w:rPr>
          <w:sz w:val="24"/>
          <w:lang w:val="da-DK"/>
        </w:rPr>
        <w:t>JO L 189 de 28.5.2021, p. 61.</w:t>
      </w:r>
    </w:p>
  </w:footnote>
  <w:footnote w:id="10">
    <w:p w14:paraId="77883EDE" w14:textId="77777777" w:rsidR="00DC6E5F" w:rsidRPr="0001365F" w:rsidRDefault="00DC6E5F" w:rsidP="00FA28A0">
      <w:pPr>
        <w:pStyle w:val="FootnoteText"/>
        <w:ind w:left="567" w:hanging="567"/>
        <w:rPr>
          <w:sz w:val="24"/>
          <w:lang w:val="da-DK"/>
        </w:rPr>
      </w:pPr>
      <w:r w:rsidRPr="00FA28A0">
        <w:rPr>
          <w:rStyle w:val="FootnoteReference"/>
          <w:sz w:val="24"/>
          <w:lang w:val="pt-PT"/>
        </w:rPr>
        <w:footnoteRef/>
      </w:r>
      <w:r w:rsidR="00FA28A0" w:rsidRPr="0001365F">
        <w:rPr>
          <w:sz w:val="24"/>
          <w:lang w:val="da-DK"/>
        </w:rPr>
        <w:t xml:space="preserve"> </w:t>
      </w:r>
      <w:r w:rsidR="00FA28A0" w:rsidRPr="0001365F">
        <w:rPr>
          <w:sz w:val="24"/>
          <w:lang w:val="da-DK"/>
        </w:rPr>
        <w:tab/>
      </w:r>
      <w:r w:rsidRPr="0001365F">
        <w:rPr>
          <w:sz w:val="24"/>
          <w:lang w:val="da-DK"/>
        </w:rPr>
        <w:t>JO L 122 de 10.5.2019, p. 1.</w:t>
      </w:r>
    </w:p>
  </w:footnote>
  <w:footnote w:id="11">
    <w:p w14:paraId="40E0B7AB" w14:textId="77777777" w:rsidR="00DC6E5F" w:rsidRPr="00FA28A0" w:rsidRDefault="00DC6E5F" w:rsidP="00FA28A0">
      <w:pPr>
        <w:pStyle w:val="FootnoteText"/>
        <w:ind w:left="567" w:hanging="567"/>
        <w:rPr>
          <w:sz w:val="24"/>
          <w:lang w:val="pt-PT"/>
        </w:rPr>
      </w:pPr>
      <w:r w:rsidRPr="00FA28A0">
        <w:rPr>
          <w:rStyle w:val="FootnoteReference"/>
          <w:sz w:val="24"/>
          <w:lang w:val="pt-PT"/>
        </w:rPr>
        <w:footnoteRef/>
      </w:r>
      <w:r w:rsidR="00FA28A0" w:rsidRPr="00FA28A0">
        <w:rPr>
          <w:sz w:val="24"/>
          <w:lang w:val="pt-PT"/>
        </w:rPr>
        <w:t xml:space="preserve"> </w:t>
      </w:r>
      <w:r w:rsidR="00FA28A0" w:rsidRPr="00FA28A0">
        <w:rPr>
          <w:sz w:val="24"/>
          <w:lang w:val="pt-PT"/>
        </w:rPr>
        <w:tab/>
      </w:r>
      <w:r w:rsidRPr="00FA28A0">
        <w:rPr>
          <w:sz w:val="24"/>
          <w:lang w:val="pt-PT"/>
        </w:rPr>
        <w:t>JO C 489 de 22.12.2022, p. 56.</w:t>
      </w:r>
    </w:p>
  </w:footnote>
  <w:footnote w:id="12">
    <w:p w14:paraId="07F3000E" w14:textId="77777777" w:rsidR="00DC6E5F" w:rsidRPr="00FA28A0" w:rsidRDefault="00DC6E5F" w:rsidP="00FA28A0">
      <w:pPr>
        <w:pStyle w:val="FootnoteText"/>
        <w:ind w:left="567" w:hanging="567"/>
        <w:rPr>
          <w:sz w:val="24"/>
          <w:lang w:val="pt-PT"/>
        </w:rPr>
      </w:pPr>
      <w:r w:rsidRPr="00FA28A0">
        <w:rPr>
          <w:rStyle w:val="FootnoteReference"/>
          <w:sz w:val="24"/>
          <w:lang w:val="pt-PT"/>
        </w:rPr>
        <w:footnoteRef/>
      </w:r>
      <w:r w:rsidR="00FA28A0" w:rsidRPr="00FA28A0">
        <w:rPr>
          <w:sz w:val="24"/>
          <w:lang w:val="pt-PT"/>
        </w:rPr>
        <w:t xml:space="preserve"> </w:t>
      </w:r>
      <w:r w:rsidR="00FA28A0" w:rsidRPr="00FA28A0">
        <w:rPr>
          <w:sz w:val="24"/>
          <w:lang w:val="pt-PT"/>
        </w:rPr>
        <w:tab/>
      </w:r>
      <w:r w:rsidRPr="00FA28A0">
        <w:rPr>
          <w:sz w:val="24"/>
          <w:lang w:val="pt-PT"/>
        </w:rPr>
        <w:t>Regulamento Delegado (UE) 2019/715 da Comissão, de 18 de dezembro de 2018, que institui o regulamento financeiro</w:t>
      </w:r>
      <w:r w:rsidRPr="00FA28A0">
        <w:rPr>
          <w:sz w:val="24"/>
          <w:lang w:val="pt-PT"/>
        </w:rPr>
        <w:noBreakHyphen/>
        <w:t>quadro dos organismos criados ao abrigo do TFUE e do Tratado Euratom e referidos no artigo 70.º do Regulamento (UE, Euratom) 2018/1046 do Parlamento Europeu e do Conselho (JO L 122 de 10.5.2019, p. 1).</w:t>
      </w:r>
    </w:p>
  </w:footnote>
  <w:footnote w:id="13">
    <w:p w14:paraId="1055BFE7" w14:textId="644A0D8D" w:rsidR="00DC6E5F" w:rsidRPr="00FA28A0" w:rsidRDefault="00DC6E5F" w:rsidP="00FA28A0">
      <w:pPr>
        <w:pStyle w:val="FootnoteText"/>
        <w:ind w:left="567" w:hanging="567"/>
        <w:rPr>
          <w:sz w:val="24"/>
          <w:lang w:val="pt-PT"/>
        </w:rPr>
      </w:pPr>
      <w:r w:rsidRPr="00FA28A0">
        <w:rPr>
          <w:rStyle w:val="FootnoteReference"/>
          <w:sz w:val="24"/>
          <w:lang w:val="pt-PT"/>
        </w:rPr>
        <w:footnoteRef/>
      </w:r>
      <w:r w:rsidR="00FA28A0" w:rsidRPr="00FA28A0">
        <w:rPr>
          <w:sz w:val="24"/>
          <w:lang w:val="pt-PT"/>
        </w:rPr>
        <w:t xml:space="preserve"> </w:t>
      </w:r>
      <w:r w:rsidR="00FA28A0" w:rsidRPr="00FA28A0">
        <w:rPr>
          <w:sz w:val="24"/>
          <w:lang w:val="pt-PT"/>
        </w:rPr>
        <w:tab/>
      </w:r>
      <w:r w:rsidRPr="00FA28A0">
        <w:rPr>
          <w:sz w:val="24"/>
          <w:lang w:val="pt-PT"/>
        </w:rPr>
        <w:t xml:space="preserve">Textos </w:t>
      </w:r>
      <w:r w:rsidR="002356B0">
        <w:rPr>
          <w:sz w:val="24"/>
          <w:lang w:val="pt-PT"/>
        </w:rPr>
        <w:t>A</w:t>
      </w:r>
      <w:r w:rsidR="002356B0" w:rsidRPr="00FA28A0">
        <w:rPr>
          <w:sz w:val="24"/>
          <w:lang w:val="pt-PT"/>
        </w:rPr>
        <w:t>provados</w:t>
      </w:r>
      <w:r w:rsidRPr="00FA28A0">
        <w:rPr>
          <w:sz w:val="24"/>
          <w:lang w:val="pt-PT"/>
        </w:rPr>
        <w:t>, P9_TA(2024)</w:t>
      </w:r>
      <w:r w:rsidR="00A20E8C" w:rsidRPr="00FA28A0">
        <w:rPr>
          <w:sz w:val="24"/>
          <w:lang w:val="pt-PT"/>
        </w:rPr>
        <w:t>0</w:t>
      </w:r>
      <w:r w:rsidR="00A20E8C">
        <w:rPr>
          <w:sz w:val="24"/>
          <w:lang w:val="pt-PT"/>
        </w:rPr>
        <w:t>280</w:t>
      </w:r>
      <w:r w:rsidRPr="00FA28A0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6CA18" w14:textId="77777777" w:rsidR="00064002" w:rsidRPr="00FA28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805A80" w14:textId="77777777" w:rsidR="00064002" w:rsidRPr="00FA28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18BB0" w14:textId="77777777" w:rsidR="00064002" w:rsidRPr="00FA28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2/2024"/>
    <w:docVar w:name="dvlangue" w:val="PT"/>
    <w:docVar w:name="dvnumam" w:val="0"/>
    <w:docVar w:name="dvpe" w:val="753.522"/>
    <w:docVar w:name="dvrapporteur" w:val="Relator: "/>
    <w:docVar w:name="dvtitre" w:val="Decisão do Parlamento Europeu, de ... de ... de 2024,_x000d__x000a_ sobre a quitação pela execução do orçamento do Instituto Europeu de Inovação e Tecnologia (EIT) para o exercício de 2022(2023/2154(DEC))"/>
  </w:docVars>
  <w:rsids>
    <w:rsidRoot w:val="005F5A6D"/>
    <w:rsid w:val="00002272"/>
    <w:rsid w:val="0001365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56B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5A6D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0E8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74F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593"/>
    <w:rsid w:val="00D56C11"/>
    <w:rsid w:val="00D834A0"/>
    <w:rsid w:val="00D872DF"/>
    <w:rsid w:val="00D91E21"/>
    <w:rsid w:val="00DA7FCD"/>
    <w:rsid w:val="00DC6E5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8A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65CF04"/>
  <w15:chartTrackingRefBased/>
  <w15:docId w15:val="{BF35D3AB-C760-4BE7-8D94-92394184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C6E5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C6E5F"/>
    <w:pPr>
      <w:spacing w:before="480" w:after="240"/>
    </w:pPr>
  </w:style>
  <w:style w:type="paragraph" w:customStyle="1" w:styleId="PageHeading">
    <w:name w:val="PageHeading"/>
    <w:basedOn w:val="Normal"/>
    <w:rsid w:val="00DC6E5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C6E5F"/>
    <w:rPr>
      <w:b/>
    </w:rPr>
  </w:style>
  <w:style w:type="paragraph" w:customStyle="1" w:styleId="NormalHanging12a">
    <w:name w:val="NormalHanging12a"/>
    <w:basedOn w:val="Normal"/>
    <w:link w:val="NormalHanging12aChar"/>
    <w:rsid w:val="00DC6E5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DC6E5F"/>
    <w:pPr>
      <w:spacing w:after="240"/>
      <w:jc w:val="center"/>
    </w:pPr>
  </w:style>
  <w:style w:type="paragraph" w:styleId="Header">
    <w:name w:val="header"/>
    <w:basedOn w:val="Normal"/>
    <w:link w:val="HeaderChar"/>
    <w:rsid w:val="00DC6E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C6E5F"/>
    <w:rPr>
      <w:sz w:val="24"/>
      <w:lang w:val="pt-PT"/>
    </w:rPr>
  </w:style>
  <w:style w:type="paragraph" w:customStyle="1" w:styleId="EPFooter">
    <w:name w:val="EPFooter"/>
    <w:basedOn w:val="Normal"/>
    <w:rsid w:val="00DC6E5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Default">
    <w:name w:val="Default"/>
    <w:rsid w:val="00DC6E5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t-PT"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DC6E5F"/>
    <w:rPr>
      <w:sz w:val="24"/>
      <w:lang w:val="pt-PT"/>
    </w:rPr>
  </w:style>
  <w:style w:type="character" w:styleId="CommentReference">
    <w:name w:val="annotation reference"/>
    <w:basedOn w:val="DefaultParagraphFont"/>
    <w:rsid w:val="002356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6B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56B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356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56B0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2356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56B0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B0378-F762-4369-A99F-BC2D6023C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4137</Words>
  <Characters>23583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2024-05-22T14:17:00Z</dcterms:created>
  <dcterms:modified xsi:type="dcterms:W3CDTF">2024-05-22T14:17:00Z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P9_TA(2024)0267_</vt:lpwstr>
  </property>
  <property fmtid="{D5CDD505-2E9C-101B-9397-08002B2CF9AE}" pid="4" name="&lt;Type&gt;">
    <vt:lpwstr>RR</vt:lpwstr>
  </property>
</Properties>
</file>