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F0A7F" w:rsidRPr="0090734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1F0A7F" w:rsidRPr="00907348" w:rsidRDefault="00907348">
            <w:pPr>
              <w:pStyle w:val="EPName"/>
            </w:pPr>
            <w:r w:rsidRPr="00907348">
              <w:t>Európsky parlament</w:t>
            </w:r>
          </w:p>
          <w:p w:rsidR="001F0A7F" w:rsidRPr="00907348" w:rsidRDefault="0090734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734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1F0A7F" w:rsidRPr="00907348" w:rsidRDefault="00907348">
            <w:pPr>
              <w:pStyle w:val="EPLogo"/>
            </w:pPr>
            <w:r w:rsidRPr="0090734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0A7F" w:rsidRPr="00907348" w:rsidRDefault="001F0A7F">
      <w:pPr>
        <w:pStyle w:val="LineTop"/>
      </w:pPr>
    </w:p>
    <w:p w:rsidR="001F0A7F" w:rsidRPr="00907348" w:rsidRDefault="00907348">
      <w:pPr>
        <w:pStyle w:val="EPBodyTA1"/>
      </w:pPr>
      <w:r w:rsidRPr="00907348">
        <w:t>PRIJATÉ TEXTY</w:t>
      </w:r>
    </w:p>
    <w:p w:rsidR="001F0A7F" w:rsidRPr="00907348" w:rsidRDefault="001F0A7F">
      <w:pPr>
        <w:pStyle w:val="LineBottom"/>
      </w:pPr>
    </w:p>
    <w:p w:rsidR="001F0A7F" w:rsidRPr="00907348" w:rsidRDefault="00907348">
      <w:pPr>
        <w:pStyle w:val="ATHeading1"/>
      </w:pPr>
      <w:bookmarkStart w:id="0" w:name="TANumber"/>
      <w:r w:rsidRPr="00907348">
        <w:t>P9_TA(2024)0</w:t>
      </w:r>
      <w:r w:rsidR="00113105" w:rsidRPr="00907348">
        <w:t>267</w:t>
      </w:r>
      <w:bookmarkEnd w:id="0"/>
    </w:p>
    <w:p w:rsidR="001F0A7F" w:rsidRPr="00907348" w:rsidRDefault="00907348">
      <w:pPr>
        <w:pStyle w:val="ATHeading2"/>
      </w:pPr>
      <w:bookmarkStart w:id="1" w:name="title"/>
      <w:r w:rsidRPr="00907348">
        <w:t>Absolutórium za rok 2022: Európsky inovačný a technologický inštitút (EIT)</w:t>
      </w:r>
      <w:bookmarkEnd w:id="1"/>
    </w:p>
    <w:p w:rsidR="001F0A7F" w:rsidRPr="00907348" w:rsidRDefault="00907348">
      <w:pPr>
        <w:rPr>
          <w:i/>
          <w:vanish/>
        </w:rPr>
      </w:pPr>
      <w:r w:rsidRPr="00907348">
        <w:rPr>
          <w:i/>
        </w:rPr>
        <w:fldChar w:fldCharType="begin"/>
      </w:r>
      <w:r w:rsidRPr="00907348">
        <w:rPr>
          <w:i/>
        </w:rPr>
        <w:instrText xml:space="preserve"> TC"(</w:instrText>
      </w:r>
      <w:bookmarkStart w:id="2" w:name="DocNumber"/>
      <w:r w:rsidRPr="00907348">
        <w:rPr>
          <w:i/>
        </w:rPr>
        <w:instrText>A9-0132/2024</w:instrText>
      </w:r>
      <w:bookmarkEnd w:id="2"/>
      <w:r w:rsidRPr="00907348">
        <w:rPr>
          <w:i/>
        </w:rPr>
        <w:instrText xml:space="preserve"> - Spravodajca: </w:instrText>
      </w:r>
      <w:proofErr w:type="spellStart"/>
      <w:r w:rsidRPr="00907348">
        <w:rPr>
          <w:i/>
        </w:rPr>
        <w:instrText>Petri</w:instrText>
      </w:r>
      <w:proofErr w:type="spellEnd"/>
      <w:r w:rsidRPr="00907348">
        <w:rPr>
          <w:i/>
        </w:rPr>
        <w:instrText xml:space="preserve"> </w:instrText>
      </w:r>
      <w:proofErr w:type="spellStart"/>
      <w:r w:rsidRPr="00907348">
        <w:rPr>
          <w:i/>
        </w:rPr>
        <w:instrText>Sarvamaa</w:instrText>
      </w:r>
      <w:proofErr w:type="spellEnd"/>
      <w:r w:rsidRPr="00907348">
        <w:rPr>
          <w:i/>
        </w:rPr>
        <w:instrText xml:space="preserve">)"\l3 \n&gt; \* MERGEFORMAT </w:instrText>
      </w:r>
      <w:r w:rsidRPr="00907348">
        <w:rPr>
          <w:i/>
        </w:rPr>
        <w:fldChar w:fldCharType="end"/>
      </w:r>
    </w:p>
    <w:p w:rsidR="001F0A7F" w:rsidRPr="00907348" w:rsidRDefault="00907348">
      <w:pPr>
        <w:rPr>
          <w:vanish/>
        </w:rPr>
      </w:pPr>
      <w:bookmarkStart w:id="3" w:name="Commission"/>
      <w:r w:rsidRPr="00907348">
        <w:rPr>
          <w:vanish/>
        </w:rPr>
        <w:t>Výbor pre kontrolu rozpočtu</w:t>
      </w:r>
      <w:bookmarkEnd w:id="3"/>
    </w:p>
    <w:p w:rsidR="001F0A7F" w:rsidRPr="00907348" w:rsidRDefault="00907348">
      <w:pPr>
        <w:rPr>
          <w:vanish/>
        </w:rPr>
      </w:pPr>
      <w:bookmarkStart w:id="4" w:name="PE"/>
      <w:r w:rsidRPr="00907348">
        <w:rPr>
          <w:vanish/>
        </w:rPr>
        <w:t>PE753.522</w:t>
      </w:r>
      <w:bookmarkEnd w:id="4"/>
    </w:p>
    <w:p w:rsidR="001F0A7F" w:rsidRPr="00907348" w:rsidRDefault="00907348">
      <w:pPr>
        <w:pStyle w:val="ATHeading3"/>
      </w:pPr>
      <w:bookmarkStart w:id="5" w:name="Sujet"/>
      <w:r w:rsidRPr="00907348">
        <w:t>1. Rozhodnutie Európskeho parlamentu z 11. apríla 2024 o absolutóriu za plnenie rozpočtu Európskeho inovačného a technologického inštitútu (EIT) za rozpočtový rok 2022</w:t>
      </w:r>
      <w:bookmarkEnd w:id="5"/>
      <w:r w:rsidRPr="00907348">
        <w:t xml:space="preserve"> </w:t>
      </w:r>
      <w:bookmarkStart w:id="6" w:name="References"/>
      <w:r w:rsidRPr="00907348">
        <w:t>(2023/2154(DEC))</w:t>
      </w:r>
      <w:bookmarkEnd w:id="6"/>
    </w:p>
    <w:p w:rsidR="001F0A7F" w:rsidRPr="00907348" w:rsidRDefault="00907348">
      <w:pPr>
        <w:pStyle w:val="EPComma"/>
      </w:pPr>
      <w:bookmarkStart w:id="7" w:name="TextBodyBegin"/>
      <w:bookmarkEnd w:id="7"/>
      <w:r w:rsidRPr="00907348">
        <w:rPr>
          <w:i/>
        </w:rPr>
        <w:t>Európsky parlament</w:t>
      </w:r>
      <w:r w:rsidRPr="00907348">
        <w:t>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konečnú ročnú účtovnú závierku Európskeho inovačného a technologického inštitútu za rozpočtový rok 2022,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výročnú správu Dvora audítorov o agentúrach EÚ za rozpočtový rok 2022 spolu s odpoveďami agentúr</w:t>
      </w:r>
      <w:r w:rsidRPr="00907348">
        <w:rPr>
          <w:rStyle w:val="FootnoteReference"/>
        </w:rPr>
        <w:footnoteReference w:id="1"/>
      </w:r>
      <w:r w:rsidRPr="00907348">
        <w:t>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vyhlásenie o vierohodnosti</w:t>
      </w:r>
      <w:r w:rsidRPr="00907348">
        <w:rPr>
          <w:rStyle w:val="FootnoteReference"/>
        </w:rPr>
        <w:footnoteReference w:id="2"/>
      </w:r>
      <w:r w:rsidRPr="00907348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odporúčanie Rady z 22. februára 2024 o udelení absolutória inštitútu za plnenie rozpočtu za rozpočtový rok 2022 (06180/2024 – C9</w:t>
      </w:r>
      <w:r w:rsidRPr="00907348">
        <w:noBreakHyphen/>
        <w:t>0092/2024),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článok 319 Zmluvy o fungovaní Európskej únie,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 xml:space="preserve">so zreteľom na nariadenie Európskeho parlamentu a Rady (EÚ, </w:t>
      </w:r>
      <w:proofErr w:type="spellStart"/>
      <w:r w:rsidRPr="00907348">
        <w:t>Euratom</w:t>
      </w:r>
      <w:proofErr w:type="spellEnd"/>
      <w:r w:rsidRPr="00907348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907348">
        <w:t>Euratom</w:t>
      </w:r>
      <w:proofErr w:type="spellEnd"/>
      <w:r w:rsidRPr="00907348">
        <w:t>) č. 966/2012</w:t>
      </w:r>
      <w:r w:rsidRPr="00907348">
        <w:rPr>
          <w:rStyle w:val="FootnoteReference"/>
        </w:rPr>
        <w:footnoteReference w:id="3"/>
      </w:r>
      <w:r w:rsidRPr="00907348">
        <w:t>, a najmä na jeho článok 70,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 xml:space="preserve">so zreteľom na nariadenie Európskeho parlamentu a Rady (EÚ) 2021/819 z 20. mája </w:t>
      </w:r>
      <w:r w:rsidRPr="00907348">
        <w:lastRenderedPageBreak/>
        <w:t>2021 o Európskom inovačnom a technologickom inštitúte</w:t>
      </w:r>
      <w:r w:rsidRPr="00907348">
        <w:rPr>
          <w:rStyle w:val="FootnoteReference"/>
        </w:rPr>
        <w:footnoteReference w:id="4"/>
      </w:r>
      <w:r w:rsidRPr="00907348">
        <w:t>, a najmä na jeho článok 23,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907348">
        <w:t>Euratome</w:t>
      </w:r>
      <w:proofErr w:type="spellEnd"/>
      <w:r w:rsidRPr="00907348">
        <w:t xml:space="preserve"> a uvedené v článku 70 nariadenia Európskeho parlamentu a Rady (EÚ, </w:t>
      </w:r>
      <w:proofErr w:type="spellStart"/>
      <w:r w:rsidRPr="00907348">
        <w:t>Euratom</w:t>
      </w:r>
      <w:proofErr w:type="spellEnd"/>
      <w:r w:rsidRPr="00907348">
        <w:t>) 2018/1046</w:t>
      </w:r>
      <w:r w:rsidRPr="00907348">
        <w:rPr>
          <w:rStyle w:val="FootnoteReference"/>
        </w:rPr>
        <w:footnoteReference w:id="5"/>
      </w:r>
      <w:r w:rsidRPr="00907348">
        <w:t>, a najmä na jeho článok 105,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článok 100 a prílohu V k rokovaciemu poriadku,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správu Výboru pre kontrolu rozpočtu (A9-0132/2024),</w:t>
      </w:r>
    </w:p>
    <w:p w:rsidR="001F0A7F" w:rsidRPr="00907348" w:rsidRDefault="00907348">
      <w:pPr>
        <w:pStyle w:val="NormalHanging12a"/>
      </w:pPr>
      <w:r w:rsidRPr="00907348">
        <w:t>1.</w:t>
      </w:r>
      <w:r w:rsidRPr="00907348">
        <w:tab/>
        <w:t>udeľuje absolutórium riaditeľovi Európskeho inovačného a technologického inštitútu (EIT) za plnenie rozpočtu inštitútu za rozpočtový rok 2022;</w:t>
      </w:r>
    </w:p>
    <w:p w:rsidR="001F0A7F" w:rsidRPr="00907348" w:rsidRDefault="00907348">
      <w:pPr>
        <w:pStyle w:val="NormalHanging12a"/>
      </w:pPr>
      <w:r w:rsidRPr="00907348">
        <w:t>2.</w:t>
      </w:r>
      <w:r w:rsidRPr="00907348">
        <w:tab/>
        <w:t>uvádza svoje poznámky v priloženom uznesení;</w:t>
      </w:r>
    </w:p>
    <w:p w:rsidR="001F0A7F" w:rsidRPr="00907348" w:rsidRDefault="00907348">
      <w:pPr>
        <w:pStyle w:val="NormalHanging12a"/>
      </w:pPr>
      <w:r w:rsidRPr="00907348">
        <w:t>3.</w:t>
      </w:r>
      <w:r w:rsidRPr="00907348">
        <w:tab/>
        <w:t>poveruje svoju predsedníčku, aby postúpila toto rozhodnutie a uznesenie, ktoré je jeho neoddeliteľnou súčasťou, riaditeľovi Európskeho inovačného a technologického inštitútu (EIT), Rade, Komisii a Dvoru audítorov a aby zabezpečila ich uverejnenie v </w:t>
      </w:r>
      <w:r w:rsidRPr="00907348">
        <w:rPr>
          <w:i/>
        </w:rPr>
        <w:t>Úradnom vestníku Európskej únie</w:t>
      </w:r>
      <w:r w:rsidRPr="00907348">
        <w:t xml:space="preserve"> (v sérii L).</w:t>
      </w:r>
    </w:p>
    <w:p w:rsidR="001F0A7F" w:rsidRPr="00907348" w:rsidRDefault="001F0A7F"/>
    <w:p w:rsidR="001F0A7F" w:rsidRPr="00907348" w:rsidRDefault="001F0A7F">
      <w:pPr>
        <w:widowControl/>
        <w:rPr>
          <w:rFonts w:ascii="Arial" w:hAnsi="Arial" w:cs="Arial"/>
          <w:b/>
        </w:rPr>
        <w:sectPr w:rsidR="001F0A7F" w:rsidRPr="00907348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1F0A7F" w:rsidRPr="00907348" w:rsidRDefault="00907348">
      <w:pPr>
        <w:pStyle w:val="NormalBold"/>
      </w:pPr>
      <w:r w:rsidRPr="00907348">
        <w:lastRenderedPageBreak/>
        <w:t>2. Rozhodnutie Európskeho parlamentu z 11. apríla 2024 o účtovnej závierke Európskeho inovačného a technologického inštitútu (EIT) za rozpočtový rok 2022 (2023/2154(DEC))</w:t>
      </w:r>
    </w:p>
    <w:p w:rsidR="001F0A7F" w:rsidRPr="00907348" w:rsidRDefault="00907348">
      <w:pPr>
        <w:pStyle w:val="EPComma"/>
      </w:pPr>
      <w:r w:rsidRPr="00907348">
        <w:rPr>
          <w:i/>
        </w:rPr>
        <w:t>Európsky parlament</w:t>
      </w:r>
      <w:r w:rsidRPr="00907348">
        <w:t>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konečnú ročnú účtovnú závierku Európskeho inovačného a technologického inštitútu za rozpočtový rok 2022,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výročnú správu Dvora audítorov o agentúrach EÚ za rozpočtový rok 2022 spolu s odpoveďami agentúr</w:t>
      </w:r>
      <w:r w:rsidRPr="00907348">
        <w:rPr>
          <w:rStyle w:val="FootnoteReference"/>
        </w:rPr>
        <w:footnoteReference w:id="6"/>
      </w:r>
      <w:r w:rsidRPr="00907348">
        <w:t>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vyhlásenie o vierohodnosti</w:t>
      </w:r>
      <w:r w:rsidRPr="00907348">
        <w:rPr>
          <w:rStyle w:val="FootnoteReference"/>
        </w:rPr>
        <w:footnoteReference w:id="7"/>
      </w:r>
      <w:r w:rsidRPr="00907348">
        <w:t xml:space="preserve"> vedenia účtov a zákonnosti a správnosti príslušných operácií, ktoré poskytol Dvor audítorov za rozpočtový rok 2022 v súlade s článkom 287 Zmluvy o fungovaní Európskej únie,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odporúčanie Rady z 22. februára 2024 o udelení absolutória inštitútu za plnenie rozpočtu za rozpočtový rok 2022 (06180/2024 – C9</w:t>
      </w:r>
      <w:r w:rsidRPr="00907348">
        <w:noBreakHyphen/>
        <w:t>0092/2024),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článok 319 Zmluvy o fungovaní Európskej únie,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 xml:space="preserve">so zreteľom na nariadenie Európskeho parlamentu a Rady (EÚ, </w:t>
      </w:r>
      <w:proofErr w:type="spellStart"/>
      <w:r w:rsidRPr="00907348">
        <w:t>Euratom</w:t>
      </w:r>
      <w:proofErr w:type="spellEnd"/>
      <w:r w:rsidRPr="00907348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907348">
        <w:t>Euratom</w:t>
      </w:r>
      <w:proofErr w:type="spellEnd"/>
      <w:r w:rsidRPr="00907348">
        <w:t>) č. 966/2012</w:t>
      </w:r>
      <w:r w:rsidRPr="00907348">
        <w:rPr>
          <w:rStyle w:val="FootnoteReference"/>
        </w:rPr>
        <w:footnoteReference w:id="8"/>
      </w:r>
      <w:r w:rsidRPr="00907348">
        <w:t>, a najmä na jeho článok 70,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nariadenie Európskeho parlamentu a Rady (EÚ) 2021/819 z 20. mája 2021 o Európskom inovačnom a technologickom inštitúte</w:t>
      </w:r>
      <w:r w:rsidRPr="00907348">
        <w:rPr>
          <w:rStyle w:val="FootnoteReference"/>
        </w:rPr>
        <w:footnoteReference w:id="9"/>
      </w:r>
      <w:r w:rsidRPr="00907348">
        <w:t>, a najmä na jeho článok 23,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907348">
        <w:t>Euratome</w:t>
      </w:r>
      <w:proofErr w:type="spellEnd"/>
      <w:r w:rsidRPr="00907348">
        <w:t xml:space="preserve"> a uvedené v článku 70 nariadenia Európskeho parlamentu a Rady (EÚ, </w:t>
      </w:r>
      <w:proofErr w:type="spellStart"/>
      <w:r w:rsidRPr="00907348">
        <w:t>Euratom</w:t>
      </w:r>
      <w:proofErr w:type="spellEnd"/>
      <w:r w:rsidRPr="00907348">
        <w:t>) 2018/1046</w:t>
      </w:r>
      <w:r w:rsidRPr="00907348">
        <w:rPr>
          <w:rStyle w:val="FootnoteReference"/>
        </w:rPr>
        <w:footnoteReference w:id="10"/>
      </w:r>
      <w:r w:rsidRPr="00907348">
        <w:t>, a najmä na jeho článok 105,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článok 100 a prílohu V k rokovaciemu poriadku,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správu Výboru pre kontrolu rozpočtu (A9-0132/2024),</w:t>
      </w:r>
    </w:p>
    <w:p w:rsidR="001F0A7F" w:rsidRPr="00907348" w:rsidRDefault="00907348">
      <w:pPr>
        <w:pStyle w:val="NormalHanging12a"/>
      </w:pPr>
      <w:r w:rsidRPr="00907348">
        <w:t>1.</w:t>
      </w:r>
      <w:r w:rsidRPr="00907348">
        <w:tab/>
        <w:t>schvaľuje účtovnú závierku Európskeho inovačného a technologického inštitútu (EIT) za rozpočtový rok 2022;</w:t>
      </w:r>
    </w:p>
    <w:p w:rsidR="001F0A7F" w:rsidRPr="00907348" w:rsidRDefault="00907348">
      <w:pPr>
        <w:pStyle w:val="NormalHanging12a"/>
      </w:pPr>
      <w:r w:rsidRPr="00907348">
        <w:t>2.</w:t>
      </w:r>
      <w:r w:rsidRPr="00907348">
        <w:tab/>
        <w:t>poveruje svoju predsedníčku, aby postúpila toto rozhodnutie riaditeľovi Európskeho inovačného a technologického inštitútu (EIT), Rade, Komisii a Dvoru audítorov a aby zabezpečila jeho uverejnenie v </w:t>
      </w:r>
      <w:r w:rsidRPr="00907348">
        <w:rPr>
          <w:i/>
        </w:rPr>
        <w:t>Úradnom vestníku Európskej únie</w:t>
      </w:r>
      <w:r w:rsidRPr="00907348">
        <w:t xml:space="preserve"> (v sérii L).</w:t>
      </w:r>
    </w:p>
    <w:p w:rsidR="001F0A7F" w:rsidRPr="00907348" w:rsidRDefault="001F0A7F"/>
    <w:p w:rsidR="001F0A7F" w:rsidRPr="00907348" w:rsidRDefault="001F0A7F">
      <w:pPr>
        <w:widowControl/>
        <w:rPr>
          <w:rFonts w:ascii="Arial" w:hAnsi="Arial" w:cs="Arial"/>
          <w:b/>
        </w:rPr>
        <w:sectPr w:rsidR="001F0A7F" w:rsidRPr="00907348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1F0A7F" w:rsidRPr="00907348" w:rsidRDefault="00907348">
      <w:pPr>
        <w:pStyle w:val="NormalBold"/>
      </w:pPr>
      <w:r w:rsidRPr="00907348">
        <w:lastRenderedPageBreak/>
        <w:t>3. Uznesenie Európskeho parlamentu z 11. apríla 2024 s poznámkami, ktoré je neoddeliteľnou súčasťou rozhodnutia o absolutóriu za plnenie rozpočtu Európskeho inovačného a technologického inštitútu (EIT) za rozpočtový rok 2022 (2023/2154(DEC))</w:t>
      </w:r>
    </w:p>
    <w:p w:rsidR="001F0A7F" w:rsidRPr="00907348" w:rsidRDefault="00907348">
      <w:pPr>
        <w:pStyle w:val="EPComma"/>
      </w:pPr>
      <w:r w:rsidRPr="00907348">
        <w:rPr>
          <w:i/>
        </w:rPr>
        <w:t>Európsky parlament</w:t>
      </w:r>
      <w:r w:rsidRPr="00907348">
        <w:t>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svoje rozhodnutie o absolutóriu za plnenie rozpočtu Európskeho inovačného a technologického inštitútu (ďalej len „inštitút“) za rozpočtový rok 2022,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článok 100 a prílohu V k rokovaciemu poriadku,</w:t>
      </w:r>
    </w:p>
    <w:p w:rsidR="001F0A7F" w:rsidRPr="00907348" w:rsidRDefault="00907348">
      <w:pPr>
        <w:pStyle w:val="NormalHanging12a"/>
      </w:pPr>
      <w:r w:rsidRPr="00907348">
        <w:t>–</w:t>
      </w:r>
      <w:r w:rsidRPr="00907348">
        <w:tab/>
        <w:t>so zreteľom na správu Výboru pre kontrolu rozpočtu (A9-0132/2024),</w:t>
      </w:r>
    </w:p>
    <w:p w:rsidR="001F0A7F" w:rsidRPr="00907348" w:rsidRDefault="00907348">
      <w:pPr>
        <w:pStyle w:val="Default"/>
        <w:spacing w:after="240"/>
        <w:ind w:left="567" w:hanging="567"/>
        <w:rPr>
          <w:rFonts w:eastAsia="Times New Roman"/>
          <w:color w:val="auto"/>
        </w:rPr>
      </w:pPr>
      <w:r w:rsidRPr="00907348">
        <w:rPr>
          <w:color w:val="auto"/>
        </w:rPr>
        <w:t>A.</w:t>
      </w:r>
      <w:r w:rsidRPr="00907348">
        <w:rPr>
          <w:color w:val="auto"/>
        </w:rPr>
        <w:tab/>
        <w:t>keďže podľa výkazu príjmov a výdavkov</w:t>
      </w:r>
      <w:r w:rsidRPr="00907348">
        <w:rPr>
          <w:rStyle w:val="FootnoteReference"/>
          <w:rFonts w:eastAsia="Times New Roman"/>
          <w:color w:val="auto"/>
          <w:lang w:eastAsia="en-GB"/>
        </w:rPr>
        <w:footnoteReference w:id="11"/>
      </w:r>
      <w:r w:rsidRPr="00907348">
        <w:rPr>
          <w:color w:val="auto"/>
        </w:rPr>
        <w:t xml:space="preserve"> bol konečný rozpočet inštitútu za rozpočtový rok 2022 na úrovni 406 585 390,99 EUR, čo v porovnaní s rokom 2021 predstavuje zvýšenie o 12,65 %; keďže rozpočet inštitútu pochádza najmä z rozpočtu Únie;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B.</w:t>
      </w:r>
      <w:r w:rsidRPr="00907348">
        <w:tab/>
        <w:t>keďže Dvor audítorov vo svojej správe o overení ročnej účtovnej závierky inštitútu za rozpočtový rok 2022 (ďalej len „správa Dvora audítorov“) vyhlásil, že získal primeranú istotu o tom, že ročná účtovná závierka inštitútu je spoľahlivá a že príslušné operácie sú zákonné a správne;</w:t>
      </w:r>
    </w:p>
    <w:p w:rsidR="001F0A7F" w:rsidRPr="00907348" w:rsidRDefault="00907348">
      <w:pPr>
        <w:spacing w:after="240"/>
        <w:ind w:left="567" w:hanging="567"/>
        <w:rPr>
          <w:b/>
          <w:i/>
          <w:szCs w:val="24"/>
        </w:rPr>
      </w:pPr>
      <w:r w:rsidRPr="00907348">
        <w:rPr>
          <w:b/>
          <w:i/>
        </w:rPr>
        <w:t>Rozpočtové a finančné riadenie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1.</w:t>
      </w:r>
      <w:r w:rsidRPr="00907348">
        <w:tab/>
        <w:t>konštatuje, že úsilie o monitorovanie rozpočtu v priebehu rozpočtového roka 2022 prinieslo mieru plnenia viazaných rozpočtových prostriedkov v bežnom roku na úrovni 94,03 %, čo je v porovnaní s rokom 2021 zníženie o 3,88 %; konštatuje, že miera plnenia platobných rozpočtových prostriedkov v bežnom roku bola 98,42 %, čo v porovnaní s rokom 2021 predstavuje zníženie o 1,06 %;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2.</w:t>
      </w:r>
      <w:r w:rsidRPr="00907348">
        <w:tab/>
        <w:t>konštatuje, že suma konečného rozpočtu inštitútu je výsledkom zmeny vo výške 656 930,67 EUR, ktorú prijala správna rada v dôsledku úprav ročného pracovného programu inštitútu na rok 2022;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3.</w:t>
      </w:r>
      <w:r w:rsidRPr="00907348">
        <w:tab/>
        <w:t xml:space="preserve">so znepokojením berie na vedomie pripomienku Dvora audítorov týkajúcu sa zákonnosti a správnosti grantov inštitútu, ktorú overil </w:t>
      </w:r>
      <w:r w:rsidRPr="00907348">
        <w:rPr>
          <w:i/>
        </w:rPr>
        <w:t xml:space="preserve">ex post </w:t>
      </w:r>
      <w:r w:rsidRPr="00907348">
        <w:t>nezávislý externý audítor, pričom miera chybovosti v roku 2021 bola 1,73 % (v porovnaní s 0,66 % v roku 2020), a zdôrazňuje, že hoci je miera chybovosti stále pod úrovňou významnosti 2 %, kritické riziká vyplývajúce zo zvýšeného rozpočtu, mandátu a činností v rámci programu Horizont Európa spolu so zvýšením počtu znalostných a inovačných spoločenstiev (ďalej len „ZIS“) môžu zaťažovať schopnosť inštitútu účinne vykonávať dohľad nad ZIS a monitorovať ich, čo by mohlo viesť k vyšším mieram chybovosti a neodhaleným nezrovnalostiam v budúcnosti; vyzýva inštitút, aby prijal konkrétne opatrenia na zníženie miery chybovosti;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4.</w:t>
      </w:r>
      <w:r w:rsidRPr="00907348">
        <w:tab/>
        <w:t xml:space="preserve">na základe správy Dvora audítorov konštatuje, že v roku 2022 inštitút zaplatil úroky z omeškania v súvislosti s grantmi v dvoch prípadoch v celkovej výške 32 070 EUR; so znepokojením konštatuje, že v oboch prípadoch inštitút primerane nemonitoroval lehoty vyplývajúce z právnych predpisov, čo poukazuje na nedostatky v pracovnom postupe </w:t>
      </w:r>
      <w:r w:rsidRPr="00907348">
        <w:lastRenderedPageBreak/>
        <w:t>inštitútu pre uhrádzanie platieb;</w:t>
      </w:r>
      <w:r w:rsidRPr="00907348">
        <w:rPr>
          <w:rFonts w:ascii="Calibri" w:hAnsi="Calibri"/>
          <w:color w:val="000000"/>
          <w:sz w:val="22"/>
        </w:rPr>
        <w:t xml:space="preserve"> </w:t>
      </w:r>
      <w:r w:rsidRPr="00907348">
        <w:t>berie na vedomie, že podľa odpovede inštitútu na pripomienku Dvora audítorov inštitút od roku 2023 reviduje svoje postupy riadenia grantov, školí príslušných zamestnancov a využíva IT systém Komisie na riadenie grantov (</w:t>
      </w:r>
      <w:proofErr w:type="spellStart"/>
      <w:r w:rsidRPr="00907348">
        <w:t>eGrants</w:t>
      </w:r>
      <w:proofErr w:type="spellEnd"/>
      <w:r w:rsidRPr="00907348">
        <w:t>), čím výrazne znižuje pravdepodobnosť výskytu podobnej chyby v budúcnosti;</w:t>
      </w:r>
    </w:p>
    <w:p w:rsidR="001F0A7F" w:rsidRPr="00907348" w:rsidRDefault="00907348">
      <w:pPr>
        <w:spacing w:after="240"/>
        <w:ind w:left="567" w:hanging="567"/>
        <w:rPr>
          <w:b/>
          <w:i/>
          <w:szCs w:val="24"/>
        </w:rPr>
      </w:pPr>
      <w:r w:rsidRPr="00907348">
        <w:rPr>
          <w:b/>
          <w:i/>
        </w:rPr>
        <w:t>Výkonnosť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5.</w:t>
      </w:r>
      <w:r w:rsidRPr="00907348">
        <w:tab/>
        <w:t>s uspokojením konštatuje, že inštitút používa systém kľúčových ukazovateľov výkonnosti (KPI) súvisiacich s operačnými činnosťami, riadením a komunikáciou v rámci inštitútu; ďalej konštatuje, že inštitút splnil s určitými oneskoreniami približne 95 % svojho pracovného programu na rok 2022; berie na vedomie, že v rámci nového európskeho inovačného programu bol inštitút poverený novými činnosťami, ktoré neboli zahrnuté do pôvodného plánu, a na realizáciu týchto činností neboli vyčlenené žiadne dodatočné zdroje;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6.</w:t>
      </w:r>
      <w:r w:rsidRPr="00907348">
        <w:tab/>
        <w:t xml:space="preserve">víta skutočnosť, že inštitút v roku 2022 naďalej zvyšoval svoj vplyv, čo umožnilo takmer 1 670 inovačných produktov a služieb, odbornú prípravu tisícov podnikateľov a podporu 5 600 </w:t>
      </w:r>
      <w:proofErr w:type="spellStart"/>
      <w:r w:rsidRPr="00907348">
        <w:t>startupov</w:t>
      </w:r>
      <w:proofErr w:type="spellEnd"/>
      <w:r w:rsidRPr="00907348">
        <w:t xml:space="preserve"> a rozširujúcich sa podnikov, ktoré prilákali investície vo výške takmer 6 miliárd EUR; ďalej konštatuje, že inštitút ukončil svoju integráciu do programu Horizont Európa a prešiel na viacročný model financovania;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7.</w:t>
      </w:r>
      <w:r w:rsidRPr="00907348">
        <w:tab/>
        <w:t>konštatuje, že inštitút pokročil vo vykonávaní pilotnej iniciatívy pre budovanie inovačných kapacít pre vysokoškolské vzdelávanie, ktorá sa začala v roku 2021, čím sa zvýšil záujem a účasť inštitúcií vysokoškolského vzdelávania; konštatuje, že inštitút bol vyzdvihnutý ako jeden z kľúčových prispievateľov a aktérov európskeho inovačného ekosystému tým, že začal iniciatívu zameranú na talenty v oblasti špičkových technológií, ktorej cieľom je v nasledujúcich troch rokoch vybaviť zručnosťami a rekvalifikovať aspoň 1 milión talentov a zvýšiť ich úroveň zručností;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8.</w:t>
      </w:r>
      <w:r w:rsidRPr="00907348">
        <w:tab/>
        <w:t>víta skutočnosť, že inštitút podporoval obyvateľov Ukrajiny po nezákonnej a nevyprovokovanej invázii Ruska vo februári 2022 a poskytoval pomoc študentom, podnikateľom, výskumným pracovníkom a inštitúciám vysokoškolského vzdelávania a podnikom; ďalej konštatuje, že inštitút otvoril Akadémiu Európskej aliancie pre batérie v rámci programu Pomoc pri obnove v rámci politiky súdržnosti a pri obnove území v Európe, na ktorý boli inštitútu po prvýkrát pridelené značné finančné prostriedky z iného programu;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907348">
        <w:rPr>
          <w:b/>
          <w:i/>
        </w:rPr>
        <w:t>Efektívnosť a zisky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9.</w:t>
      </w:r>
      <w:r w:rsidRPr="00907348">
        <w:tab/>
        <w:t>konštatuje, že inštitút podpísal memorandum o porozumení s Agentúrou Európskej únie pre odbornú prípravu v oblasti presadzovania práva, ktoré sa vzťahuje na niekoľko spoločných činností a hodnotení bezpečnosti; pripomína, že spoločné činnosti spájajú rôzne perspektívy, znižujú duplicitu úsilia, zlepšujú vzdelávanie a posilňujú vzťahy medzi účastníkmi; ďalej konštatuje, že inštitút s cieľom zlepšiť svoju efektívnosť začal v roku 2021 uskutočňovať svoj prechod z programu Horizont 2020 na program Horizont Európa a v roku 2022 ho v spolupráci s Komisiou dokončil;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10.</w:t>
      </w:r>
      <w:r w:rsidRPr="00907348">
        <w:tab/>
        <w:t xml:space="preserve">konštatuje, že inštitút prijal rôzne preskúmania efektívnosti procesov, na základe ktorých sa okrem iného upravili opisy pracovných miest, ciele zamestnancov a rozdelenie úloh a zdrojov; konštatuje, že v roku 2022 inštitút uskutočnil </w:t>
      </w:r>
      <w:r w:rsidRPr="00907348">
        <w:lastRenderedPageBreak/>
        <w:t xml:space="preserve">reštrukturalizáciu a okrem iného prijal dokument s názvom </w:t>
      </w:r>
      <w:proofErr w:type="spellStart"/>
      <w:r w:rsidRPr="00907348">
        <w:t>Way</w:t>
      </w:r>
      <w:proofErr w:type="spellEnd"/>
      <w:r w:rsidRPr="00907348">
        <w:t xml:space="preserve"> of </w:t>
      </w:r>
      <w:proofErr w:type="spellStart"/>
      <w:r w:rsidRPr="00907348">
        <w:t>Working</w:t>
      </w:r>
      <w:proofErr w:type="spellEnd"/>
      <w:r w:rsidRPr="00907348">
        <w:t xml:space="preserve"> (Spôsob práce) s cieľom zvýšiť efektívnosť, napríklad čo sa týka používania e-mailov, schôdzí a práce na diaľku;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11.</w:t>
      </w:r>
      <w:r w:rsidRPr="00907348">
        <w:tab/>
        <w:t>víta skutočnosť, že v roku 2022 boli zavedené nové IT nástroje na podporu administratívnych operácií inštitútu s konečným cieľom zvýšiť prevádzkovú efektívnosť a účinnosť organizácie vrátane nástroja na riadenie verejného obstarávania (PPMT), Q-</w:t>
      </w:r>
      <w:proofErr w:type="spellStart"/>
      <w:r w:rsidRPr="00907348">
        <w:t>Sign</w:t>
      </w:r>
      <w:proofErr w:type="spellEnd"/>
      <w:r w:rsidRPr="00907348">
        <w:t xml:space="preserve"> (elektronický podpis) a zavedenia rôznych modulov informačného systému riadenia ľudských zdrojov Európskej komisie (SYSPER); vyzýva inštitút, aby hľadal ďalšie interné postupy, ktoré by sa mohli zjednodušiť prostredníctvom nových nástrojov IT;</w:t>
      </w:r>
    </w:p>
    <w:p w:rsidR="001F0A7F" w:rsidRPr="00907348" w:rsidRDefault="00907348">
      <w:pPr>
        <w:pStyle w:val="NormalHanging12a"/>
      </w:pPr>
      <w:r w:rsidRPr="00907348">
        <w:t>12.</w:t>
      </w:r>
      <w:r w:rsidRPr="00907348">
        <w:tab/>
        <w:t>pripomína dôležitosť zvýšenia digitalizácie inštitútu z hľadiska jeho vnútornej prevádzky a riadenia, ale aj na zrýchlenie digitalizácie postupov; zdôrazňuje, že inštitút musí byť v tejto súvislosti naďalej aktívny s cieľom zabrániť digitálnej priepasti medzi agentúrami Únie; upozorňuje však na potrebu prijať všetky potrebné bezpečnostné opatrenia, aby sa zabránilo akémukoľvek ohrozeniu online bezpečnosti spracúvaných informácií, a trvá na tom, že je potrebné posilniť boj proti kybernetickým útokom alebo pokusom o infiltráciu, najmä tým, ktoré pochádzajú z Ruska alebo Číny;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rPr>
          <w:b/>
          <w:i/>
        </w:rPr>
        <w:t>Personálna politika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13.</w:t>
      </w:r>
      <w:r w:rsidRPr="00907348">
        <w:tab/>
        <w:t>konštatuje, že k 31. decembru 2022 bol plán pracovných miest naplnený na 93 %, pričom zo 45 dočasných zamestnancov schválených v rámci rozpočtu Únie bolo vymenovaných 40 (rovnaký počet schválených miest ako v roku 2021); poznamenáva, že inštitút okrem toho v roku 2022 zamestnával 25 zmluvných a 10 dočasných zamestnancov a jedného vyslaného národného experta;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907348">
        <w:t>14.</w:t>
      </w:r>
      <w:r w:rsidRPr="00907348">
        <w:tab/>
        <w:t>vyjadruje znepokojenie nad tým, že pretrvávajúci nedostatok zamestnancov inštitútu, ako zdôraznil Dvor audítorov vo svojich výročných správach, nebol kompenzovaný dodatočnými pracovnými miestami; zdôrazňuje, že inštitút začiatkom roka 2023 zopakoval svoju žiadosť o pridelenie ďalších 10 pracovných miest, čo by mu umožnilo splniť svoj pracovný program na rok 2024; upozorňuje na to, že je potrebné zosúladiť zdroje inštitútu s očakávaniami spojenými s jeho mandátom;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15.</w:t>
      </w:r>
      <w:r w:rsidRPr="00907348">
        <w:tab/>
        <w:t>berie na vedomie rodové rozdelenie na pozíciách vyššieho a stredného manažmentu inštitútu, pričom 5 z 8 zamestnancov na týchto pozíciách sú muži; vyjadruje znepokojenie nad rodovou rovnováhou v rámci správnej rady, v ktorej 9 zo 14 členov sú muži; berie na vedomie rodové rozdelenie medzi zamestnancami inštitútu celkovo, pričom 28 zo 65 zamestnancov sú muži; konštatuje, že v roku 2022 bola schválená politika a akčný plán inštitútu pre rodovú rovnosť; pripomína, že je dôležité zabezpečiť rodovú rovnováhu, a vyzýva inštitút, aby tento aspekt zohľadnil pri budúcom prijímaní zamestnancov a menovaní do vyššieho a stredného manažmentu; žiada Komisiu, aby zohľadnila význam zabezpečenia rodovej rovnováhy pri vymenúvaní členov správnej rady inštitútu;</w:t>
      </w:r>
    </w:p>
    <w:p w:rsidR="001F0A7F" w:rsidRPr="00907348" w:rsidRDefault="00907348">
      <w:pPr>
        <w:pStyle w:val="NormalHanging12a"/>
      </w:pPr>
      <w:r w:rsidRPr="00907348">
        <w:t>16.</w:t>
      </w:r>
      <w:r w:rsidRPr="00907348">
        <w:tab/>
        <w:t>vyjadruje znepokojenie nad geografickou rovnováhou v rámci vyššieho a stredného manažmentu inštitútu, ktorý má len jedného manažérskeho zamestnanca zo strednej a východnej Európy; trvá na tom, že sa to musí zlepšiť; žiada inštitút, aby o tejto otázke informovala orgán udeľujúci absolutórium;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lastRenderedPageBreak/>
        <w:t>17.</w:t>
      </w:r>
      <w:r w:rsidRPr="00907348">
        <w:tab/>
        <w:t xml:space="preserve">víta iniciatívy inštitútu na posilnenie významu rodovej rovnováhy, ako je program </w:t>
      </w:r>
      <w:proofErr w:type="spellStart"/>
      <w:r w:rsidRPr="00907348">
        <w:t>Girls</w:t>
      </w:r>
      <w:proofErr w:type="spellEnd"/>
      <w:r w:rsidRPr="00907348">
        <w:t xml:space="preserve"> Go </w:t>
      </w:r>
      <w:proofErr w:type="spellStart"/>
      <w:r w:rsidRPr="00907348">
        <w:t>Circular</w:t>
      </w:r>
      <w:proofErr w:type="spellEnd"/>
      <w:r w:rsidRPr="00907348">
        <w:t xml:space="preserve">, na úrovni škôl, a </w:t>
      </w:r>
      <w:proofErr w:type="spellStart"/>
      <w:r w:rsidRPr="00907348">
        <w:t>Supernovas</w:t>
      </w:r>
      <w:proofErr w:type="spellEnd"/>
      <w:r w:rsidRPr="00907348">
        <w:t>, ktoré podporujú podnikanie a vedúce postavenie žien; ďalej konštatuje, že inštitút v roku 2023 prijal chartu EUAN o rozmanitosti a začlenení, čím potvrdil svoj záväzok zabezpečiť rovnaké príležitosti v každom stupni kariéry a posilniť pracovné prostredie, v ktorom sa rozmanitosť považuje za zdroj inovácií, obohacovania a tvorivosti a v ktorom manažéri a všetci zamestnanci podporujú začlenenie;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18</w:t>
      </w:r>
      <w:r w:rsidR="002D2B1C">
        <w:t>.</w:t>
      </w:r>
      <w:r w:rsidRPr="00907348">
        <w:tab/>
        <w:t>konštatuje, že v roku 2022 inštitút implementoval väčšinu modulov aplikácie SYSPER a v implementácii bude pokračovať aj v roku 2023; konštatuje, že inštitút prijal chartu siete agentúr Európskej únie o rozmanitosti a začlenení, čím preukázal svoj záväzok zabezpečiť rovnaké príležitosti a posilniť pracovné prostredie; ďalej konštatuje, že inštitút zaviedol niekoľko opatrení na zlepšenie dobrých podmienok svojich zamestnancov na pracovisku a rovnováhy medzi pracovným a súkromným životom, pričom okrem iného pokrýva náklady na verejnú dopravu a zápis detí do medzinárodných materských škôl a ponúka pružné a hybridné pracovné podmienky;</w:t>
      </w:r>
    </w:p>
    <w:p w:rsidR="001F0A7F" w:rsidRPr="00907348" w:rsidRDefault="00907348">
      <w:pPr>
        <w:pStyle w:val="NormalHanging12a"/>
      </w:pPr>
      <w:r w:rsidRPr="00907348">
        <w:t>19.</w:t>
      </w:r>
      <w:r w:rsidRPr="00907348">
        <w:tab/>
        <w:t>konštatuje, že v rámci programu mapy odbornej prípravy, ktorý bol vypracovaný podľa potreby inštitútu a jeho zamestnancov zlepšiť všeobecnú výkonnosť, inštitút naďalej ponúkal svojim zamestnancom online odbornú prípravu vrátane etiky a integrity, prevencie obťažovania, ochrany údajov, účinnosti hybridných schôdzí, informovanosti o bezpečnosti IT a odbornej prípravy v oblasti bezpečnosti;</w:t>
      </w:r>
    </w:p>
    <w:p w:rsidR="001F0A7F" w:rsidRPr="00907348" w:rsidRDefault="00907348">
      <w:pPr>
        <w:pStyle w:val="NormalHanging12a"/>
      </w:pPr>
      <w:r w:rsidRPr="00907348">
        <w:t>20.</w:t>
      </w:r>
      <w:r w:rsidRPr="00907348">
        <w:tab/>
        <w:t>víta skutočnosť, že v roku 2022 boli úspešne vyhlásené dve výzvy na stáže; konštatuje, že v dôsledku toho v roku 2022 celkovo 23 mladých odborníkov začalo alebo ukončilo stáž v inštitúte;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907348">
        <w:t>21.</w:t>
      </w:r>
      <w:r w:rsidRPr="00907348">
        <w:tab/>
        <w:t>konštatuje, že jednému bývalému komisárovi a jednému bývalému poslancovi Európskeho parlamentu sa ako členom správnej rady vypláca z rozpočtu inštitútu za každú účasť na zasadnutí správnej rady honorár vo výške 2 000 EUR;</w:t>
      </w:r>
    </w:p>
    <w:p w:rsidR="001F0A7F" w:rsidRPr="00907348" w:rsidRDefault="00907348">
      <w:pPr>
        <w:pStyle w:val="NormalHanging12a"/>
      </w:pPr>
      <w:r w:rsidRPr="00907348">
        <w:t>22.</w:t>
      </w:r>
      <w:r w:rsidRPr="00907348">
        <w:tab/>
        <w:t xml:space="preserve">je znepokojený tým, že v roku 2022 bol nahlásený jeden prípad obťažovania a začalo sa administratívne vyšetrovanie, ktoré stále prebieha; vyzýva inštitút, aby čo najskôr podal orgánu udeľujúcemu absolutórium správu o akomkoľvek ďalšom vývoji v tomto smere; konštatuje, že inštitút má politiku v oblasti ochrany ľudskej dôstojnosti a predchádzania psychickému a sexuálnemu obťažovaniu a že inštitút je súčasťou </w:t>
      </w:r>
      <w:proofErr w:type="spellStart"/>
      <w:r w:rsidRPr="00907348">
        <w:t>medziagentúrnej</w:t>
      </w:r>
      <w:proofErr w:type="spellEnd"/>
      <w:r w:rsidRPr="00907348">
        <w:t xml:space="preserve"> pracovnej skupiny dôverných poradcov; so záujmom očakáva ich správu a odporúčania;</w:t>
      </w:r>
    </w:p>
    <w:p w:rsidR="001F0A7F" w:rsidRPr="00907348" w:rsidRDefault="00907348">
      <w:pPr>
        <w:spacing w:after="240"/>
        <w:ind w:left="567" w:hanging="567"/>
        <w:rPr>
          <w:b/>
          <w:i/>
          <w:szCs w:val="24"/>
        </w:rPr>
      </w:pPr>
      <w:r w:rsidRPr="00907348">
        <w:rPr>
          <w:b/>
          <w:i/>
        </w:rPr>
        <w:t>Prevencia, riešenie konfliktov záujmov a transparentnosť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23.</w:t>
      </w:r>
      <w:r w:rsidRPr="00907348">
        <w:tab/>
        <w:t>berie na vedomie existujúce opatrenia a pokračujúce úsilie inštitútu o zabezpečenie transparentnosti, prevencie a riešenia konfliktov záujmov a ochrany oznamovateľov protispoločenskej činnosti; konštatuje, že inštitút na svojom webovom sídle uverejnil vyhlásenia o záujmoch a životopisy členov správnej rady a riadiaceho tímu;</w:t>
      </w:r>
      <w:r w:rsidRPr="00907348">
        <w:rPr>
          <w:rFonts w:ascii="Calibri" w:hAnsi="Calibri"/>
          <w:color w:val="1F497D"/>
          <w:sz w:val="22"/>
        </w:rPr>
        <w:t xml:space="preserve"> </w:t>
      </w:r>
      <w:r w:rsidRPr="00907348">
        <w:t>ďalej poznamenáva, že inštitút na svojom webovom sídle každý mesiac uverejňuje informácie o všetkých zasadnutiach správnej rady a riadiaceho tímu a o ich účasti na verejných podujatiach;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24.</w:t>
      </w:r>
      <w:r w:rsidRPr="00907348">
        <w:tab/>
        <w:t xml:space="preserve">konštatuje, že inštitút prijal politiku predchádzania konfliktov záujmov zamestnancov a ich riešenia vrátane postupov vydávania a posudzovania ročných vyhlásení o záujmoch a postupu upravujúceho porušovanie pravidiel inštitútu týkajúcich sa vyhlásení o </w:t>
      </w:r>
      <w:r w:rsidRPr="00907348">
        <w:lastRenderedPageBreak/>
        <w:t>záujmoch; ďalej konštatuje, že inštitút zriadil poradný výbor pre konflikty záujmov, organizuje informačné stretnutia pre svojich zamestnancov o etike a integrite a pripravuje rozhodnutie o vzoroch a administratívnych postupoch týkajúcich sa konfliktov záujmov;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25.</w:t>
      </w:r>
      <w:r w:rsidRPr="00907348">
        <w:tab/>
        <w:t>víta, že inštitút chce, aby členovia jeho správnej rady predkladali tri rôzne vyhlásenia o záujmoch: ročné vyhlásenie o záujmoch, vyhlásenie o záujmoch týkajúce sa hodnotenia návrhov ZIS a vyhlásenie o záujmoch týkajúce sa podnikateľského plánu ZIS; konštatuje, že v rámci ročného vyhlásenia o záujmoch boli u niektorých členov správnej rady zistené situácie konfliktu záujmov, o ktorých boli následne informovaní, a boli prijaté zmierňujúce opatrenia;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26.</w:t>
      </w:r>
      <w:r w:rsidRPr="00907348">
        <w:tab/>
        <w:t>konštatuje, že inštitút pracuje na vypracovaní novej politiky posudzovania obmedzení po skončení pracovného pomeru a zákazov pre svojich riadiacich pracovníkov zastávať určité funkcie po skončení ich funkčného obdobia; poznamenáva, že v rámci tejto politiky sa určia pozície, ktorých zastávanie bude zakázané po skončení funkčného obdobia, a taktiež sa stanovia kritériá na uplatňovanie zákazu budúcich presunov na takéto miesta na obmedzené obdobie dvoch rokov; víta skutočnosť, že inštitút prijme začiatkom roka 2024 aj politiku alebo rozhodnutie v oblasti boja proti korupcii, ktoré budú tvoriť základ pre rozvoj vnútorných protikorupčných mechanizmov, ktoré sa majú implementovať;</w:t>
      </w:r>
    </w:p>
    <w:p w:rsidR="001F0A7F" w:rsidRPr="00907348" w:rsidRDefault="00907348">
      <w:pPr>
        <w:pStyle w:val="NormalHanging12a"/>
        <w:rPr>
          <w:b/>
          <w:i/>
        </w:rPr>
      </w:pPr>
      <w:r w:rsidRPr="00907348">
        <w:t>27.</w:t>
      </w:r>
      <w:r w:rsidRPr="00907348">
        <w:tab/>
        <w:t>berie na vedomie skutočnosť, že úrad OLAF vydal dve odporúčania v nadväznosti na dve rôzne vyšetrovania, pričom jedno z dvoch odporúčaní bolo vykonané v priebehu roka 2022, zatiaľ čo zostávajúce odporúčanie sa v súčasnosti vykonáva; žiada inštitút, aby podala orgánu udeľujúcemu absolutórium správu o opatreniach prijatých v nadväznosti na tieto odporúčania;</w:t>
      </w:r>
    </w:p>
    <w:p w:rsidR="001F0A7F" w:rsidRPr="00907348" w:rsidRDefault="00907348">
      <w:pPr>
        <w:pStyle w:val="NormalHanging12a"/>
      </w:pPr>
      <w:r w:rsidRPr="00907348">
        <w:t>28.</w:t>
      </w:r>
      <w:r w:rsidRPr="00907348">
        <w:tab/>
        <w:t>pripomína, že je dôležité, aby sa inštitút viac zviditeľnil v médiách, na internete a v sociálnych médiách s cieľom informovať občanov o svojej práci;</w:t>
      </w:r>
    </w:p>
    <w:p w:rsidR="001F0A7F" w:rsidRPr="00907348" w:rsidRDefault="00907348">
      <w:pPr>
        <w:spacing w:after="240"/>
        <w:ind w:left="567" w:hanging="567"/>
        <w:rPr>
          <w:b/>
          <w:i/>
          <w:szCs w:val="24"/>
        </w:rPr>
      </w:pPr>
      <w:r w:rsidRPr="00907348">
        <w:rPr>
          <w:b/>
          <w:i/>
        </w:rPr>
        <w:t>Verejné obstarávanie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29.</w:t>
      </w:r>
      <w:r w:rsidRPr="00907348">
        <w:tab/>
        <w:t>berie na vedomie skutočnosť, že v prípade troch kontrolovaných administratívnych platieb vo výške 337 116 EUR inštitút schválil rozpočtové záväzky až po podpísaní súvisiacich právnych záväzkov; zdôrazňuje, že nejde o ojedinelý incident, keďže Dvor audítorov sa o podobnom probléme zmienil aj vo svojej správe za rok 2021; pripomína, že to je v rozpore s článkom 73 ods. 2 delegovaného nariadenia Komisie (EÚ) 2019/715</w:t>
      </w:r>
      <w:r w:rsidRPr="00907348">
        <w:rPr>
          <w:rStyle w:val="FootnoteReference"/>
          <w:szCs w:val="24"/>
        </w:rPr>
        <w:footnoteReference w:id="12"/>
      </w:r>
      <w:r w:rsidRPr="00907348">
        <w:t xml:space="preserve"> (rámcového nariadenia o rozpočtových pravidlách); na základe odpovede inštitútu poznamenáva, že inštitút prijme ďalšie opatrenia na zabezpečenie úplného súladu s uvedeným ustanovením, ako sú špecializované informačné stretnutia pre zamestnancov, aktualizácia zavedených postupov a posilnenie súvisiacich vnútorných kontrol; naliehavo vyzýva inštitút, aby prijal okamžité opatrenia a vykonal opatrenia na zabezpečenie toho, aby všetky finančné transakcie boli v súlade s rámcovým nariadením o rozpočtových pravidlách;</w:t>
      </w:r>
    </w:p>
    <w:p w:rsidR="001F0A7F" w:rsidRPr="00907348" w:rsidRDefault="00907348">
      <w:pPr>
        <w:spacing w:after="240"/>
        <w:ind w:left="567" w:hanging="567"/>
        <w:rPr>
          <w:b/>
          <w:i/>
          <w:szCs w:val="24"/>
        </w:rPr>
      </w:pPr>
      <w:r w:rsidRPr="00907348">
        <w:rPr>
          <w:b/>
          <w:i/>
        </w:rPr>
        <w:lastRenderedPageBreak/>
        <w:t>Vnútorná kontrola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30.</w:t>
      </w:r>
      <w:r w:rsidRPr="00907348">
        <w:tab/>
        <w:t>konštatuje, že inštitút ukončil prechod funkcie oddelenia vnútorného auditu na funkciu monitorovania a dohľadu ZIS, ktorá bola prijatá rozhodnutím správnej rady č. 12/2022 s účinnosťou od 1. apríla 2022; berie na vedomie, že funkciu vnútorného auditu v súčasnosti vykonáva Útvar Komisie pre vnútorný audit; konštatuje, že okrem toho sa posilnila úloha koordinátora vnútornej kontroly, pričom medzi jeho úlohy patrí koordinácia činností vnútornej kontroly a podávanie správ v rámci inštitútu, vykonávanie odporúčaní auditu, koordinácia auditov, spolupráca s externými audítorskými orgánmi a prispievanie k finančnému a prevádzkovému riadeniu v oblastiach, ako sú verejné obstarávanie, plnenie zmlúv, platby a podávanie správ;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31</w:t>
      </w:r>
      <w:r w:rsidR="002D2B1C">
        <w:t>.</w:t>
      </w:r>
      <w:bookmarkStart w:id="8" w:name="_GoBack"/>
      <w:bookmarkEnd w:id="8"/>
      <w:r w:rsidRPr="00907348">
        <w:tab/>
        <w:t>konštatuje, že Útvar pre vnútorný audit začal v roku 2022 prípravy strategického plánu vnútorného auditu inštitútu na roky 2023 – 2025; ďalej konštatuje, že Útvar pre vnútorný audit začal audit riadenia odborníkov v inštitúte, ktorý bol ukončený v roku 2023, s cieľom posúdiť účinnosť systému vnútornej kontroly v súvislosti s procesmi odborného riadenia vrátane výberových konaní, procesu uzatvárania zmlúv a platobného procesu v inštitúte;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32.</w:t>
      </w:r>
      <w:r w:rsidRPr="00907348">
        <w:tab/>
        <w:t xml:space="preserve">poukazuje na to, že dôležité odporúčanie, ktoré vydal Útvar pre vnútorný audit v rámci auditu riadenia ľudských zdrojov za rok 2021, zamerané na hodnotenie a </w:t>
      </w:r>
      <w:proofErr w:type="spellStart"/>
      <w:r w:rsidRPr="00907348">
        <w:t>reklasifikáciu</w:t>
      </w:r>
      <w:proofErr w:type="spellEnd"/>
      <w:r w:rsidRPr="00907348">
        <w:t xml:space="preserve">, sa výrazne oneskorilo o 15 mesiacov; konštatuje, že zistené riziká zahŕňali možné oneskorenia a neefektívnosť pri vykonávaní, možnosť nesprávne odôvodnených rozhodnutí na úrovni riadenia vedúcich k námietkam v revíznom konaní alebo pred súdom, nespokojnosť a </w:t>
      </w:r>
      <w:proofErr w:type="spellStart"/>
      <w:r w:rsidRPr="00907348">
        <w:t>demotiváciu</w:t>
      </w:r>
      <w:proofErr w:type="spellEnd"/>
      <w:r w:rsidRPr="00907348">
        <w:t xml:space="preserve"> zamestnancov; vyjadruje znepokojenie nad tým, že spoločný výbor pre </w:t>
      </w:r>
      <w:proofErr w:type="spellStart"/>
      <w:r w:rsidRPr="00907348">
        <w:t>reklasifikáciu</w:t>
      </w:r>
      <w:proofErr w:type="spellEnd"/>
      <w:r w:rsidRPr="00907348">
        <w:t xml:space="preserve"> neplní svoju úlohu, a nad celkovou stratou dôveryhodnosti, pokiaľ ide o vykonávanie </w:t>
      </w:r>
      <w:proofErr w:type="spellStart"/>
      <w:r w:rsidRPr="00907348">
        <w:t>reklasifikácie</w:t>
      </w:r>
      <w:proofErr w:type="spellEnd"/>
      <w:r w:rsidRPr="00907348">
        <w:t xml:space="preserve"> a mechanizmus preskúmania, čo vedie k </w:t>
      </w:r>
      <w:proofErr w:type="spellStart"/>
      <w:r w:rsidRPr="00907348">
        <w:t>demotivácii</w:t>
      </w:r>
      <w:proofErr w:type="spellEnd"/>
      <w:r w:rsidRPr="00907348">
        <w:t xml:space="preserve"> zamestnancov; vyzýva inštitút, aby prijal proaktívne opatrenia na riešenie prípadných oneskorení a neúčinnosti hodnotenia a </w:t>
      </w:r>
      <w:proofErr w:type="spellStart"/>
      <w:r w:rsidRPr="00907348">
        <w:t>reklasifikácie</w:t>
      </w:r>
      <w:proofErr w:type="spellEnd"/>
      <w:r w:rsidRPr="00907348">
        <w:t xml:space="preserve"> a aby orgánu udeľujúcemu absolutórium podal správu o pokroku v tejto veci;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33.</w:t>
      </w:r>
      <w:r w:rsidRPr="00907348">
        <w:tab/>
        <w:t>poznamenáva, že inštitút zintenzívnil svoju interakciu s úradom OLAF organizovaním bilaterálnych stretnutí a stretnutí na zvyšovanie povedomia o boji proti podvodom ďalej konštatuje, že inštitút zaviedol stratégiu boja proti podvodom na roky 2021 – 2023, ktorá bola prijatá v máji 2021;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34.</w:t>
      </w:r>
      <w:r w:rsidRPr="00907348">
        <w:tab/>
        <w:t>berie na vedomie, že inštitút vykonal hodnotenie rizík a že vo svojom registri rizík na rok 2022 zaznamenal, že boli identifikované tieto riziká: neplnenie prvkov ročného pracovného programu z dôvodu nedostatočných ľudských zdrojov, nesprávne vykonávanie dohôd o ZIS a oneskorenia v postupoch verejného obstarávania inštitútu a v napojení sa na IT systémy Komisie; vyzýva inštitút, aby podal orgánu udeľujúcemu absolutórium správu o akomkoľvek ďalšom vývoji v tomto smere;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35.</w:t>
      </w:r>
      <w:r w:rsidRPr="00907348">
        <w:tab/>
        <w:t xml:space="preserve">na základe správy Dvora audítorov konštatuje, že v prípade objednávky na obnovenie softvéru inštitút nevykonal </w:t>
      </w:r>
      <w:r w:rsidRPr="00907348">
        <w:rPr>
          <w:i/>
        </w:rPr>
        <w:t xml:space="preserve">ex </w:t>
      </w:r>
      <w:proofErr w:type="spellStart"/>
      <w:r w:rsidRPr="00907348">
        <w:rPr>
          <w:i/>
        </w:rPr>
        <w:t>ante</w:t>
      </w:r>
      <w:proofErr w:type="spellEnd"/>
      <w:r w:rsidRPr="00907348">
        <w:t xml:space="preserve"> overenie, aby sa uistil, či si dodávateľ účtoval správnu cenu a odmenu, ako sa stanovuje v platnej rámcovej zmluve, a poznamenáva, že je to v rozpore s ustanoveniami článku 30 rámcového nariadenia o rozpočtových pravidlách o kontrolách </w:t>
      </w:r>
      <w:r w:rsidRPr="00907348">
        <w:rPr>
          <w:i/>
        </w:rPr>
        <w:t xml:space="preserve">ex </w:t>
      </w:r>
      <w:proofErr w:type="spellStart"/>
      <w:r w:rsidRPr="00907348">
        <w:rPr>
          <w:i/>
        </w:rPr>
        <w:t>ante</w:t>
      </w:r>
      <w:proofErr w:type="spellEnd"/>
      <w:r w:rsidRPr="00907348">
        <w:t xml:space="preserve"> a vzniká tým riziko, že inštitút za získané služby zaplatí nesprávne sumy; z odpovede inštitútu konštatuje, že pri vyžiadaní cenovej ponuky od dodávateľa bude požadovať rozpis ceny, v ktorom bude jasne uvedená cena a marža, aby bolo možné posúdiť prípadné riziká spojené s cenou;</w:t>
      </w:r>
    </w:p>
    <w:p w:rsidR="001F0A7F" w:rsidRPr="00907348" w:rsidRDefault="00907348">
      <w:pPr>
        <w:autoSpaceDE w:val="0"/>
        <w:autoSpaceDN w:val="0"/>
        <w:adjustRightInd w:val="0"/>
        <w:spacing w:after="240"/>
        <w:ind w:left="567" w:hanging="567"/>
        <w:rPr>
          <w:b/>
          <w:i/>
          <w:szCs w:val="24"/>
        </w:rPr>
      </w:pPr>
      <w:r w:rsidRPr="00907348">
        <w:rPr>
          <w:b/>
          <w:i/>
        </w:rPr>
        <w:lastRenderedPageBreak/>
        <w:t>Ďalšie pripomienky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36.</w:t>
      </w:r>
      <w:r w:rsidRPr="00907348">
        <w:tab/>
        <w:t>konštatuje, že inštitút zorganizoval v roku 2022 podujatia s cieľom zvýšiť svoju viditeľnosť vo všetkých členských štátoch a Únii, ako aj dni otvorených dverí s cieľom informovať o príležitostiach, ktoré inštitút ponúka potenciálnym kandidátom; ďalej konštatuje, že inštitút spustil aj iniciatívu zameranú na talenty v oblasti špičkových technológií, ktorá je súčasťou nového európskeho inovačného programu a pomôže zaškoliť občanov v technologických oblastiach budúcnosti;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37.</w:t>
      </w:r>
      <w:r w:rsidRPr="00907348">
        <w:tab/>
        <w:t xml:space="preserve">konštatuje, že inštitút pracuje na tom, aby sa stal klimaticky neutrálnou agentúrou, a prijíma potrebné kroky v oblasti environmentálneho manažérstva; konštatuje, že inštitút je najväčším inovačným ekosystémom Únie a hlavným nástrojom v rámci programu Horizont Európa na riešenie zmeny klímy a súvisiacich otázok; víta opatrenia inštitútu prijaté v roku 2022 na dosiahnutie jeho environmentálnych cieľov: zriadenie Výboru pre udržateľnosť, členstvo v podsieti siete agentúr EÚ pre ekologizáciu a organizácia podujatia </w:t>
      </w:r>
      <w:proofErr w:type="spellStart"/>
      <w:r w:rsidRPr="00907348">
        <w:t>EITree</w:t>
      </w:r>
      <w:proofErr w:type="spellEnd"/>
      <w:r w:rsidRPr="00907348">
        <w:t>, na ktorom rôzni zamestnanci vysadili stromy v mestskej oblasti;</w:t>
      </w:r>
    </w:p>
    <w:p w:rsidR="001F0A7F" w:rsidRPr="00907348" w:rsidRDefault="00907348">
      <w:pPr>
        <w:spacing w:after="240"/>
        <w:ind w:left="567" w:hanging="567"/>
        <w:rPr>
          <w:szCs w:val="24"/>
        </w:rPr>
      </w:pPr>
      <w:r w:rsidRPr="00907348">
        <w:t>38.</w:t>
      </w:r>
      <w:r w:rsidRPr="00907348">
        <w:tab/>
        <w:t>konštatuje, že certifikácia EMAS je v strednodobom alebo dlhodobom pláne inštitútu;</w:t>
      </w:r>
    </w:p>
    <w:p w:rsidR="001F0A7F" w:rsidRPr="00907348" w:rsidRDefault="00907348">
      <w:pPr>
        <w:pStyle w:val="NormalCenter12a"/>
      </w:pPr>
      <w:r w:rsidRPr="00907348">
        <w:t>°</w:t>
      </w:r>
    </w:p>
    <w:p w:rsidR="001F0A7F" w:rsidRPr="00907348" w:rsidRDefault="00907348">
      <w:pPr>
        <w:pStyle w:val="NormalCenter12a"/>
      </w:pPr>
      <w:r w:rsidRPr="00907348">
        <w:t>°</w:t>
      </w:r>
      <w:r w:rsidRPr="00907348">
        <w:tab/>
        <w:t>°</w:t>
      </w:r>
    </w:p>
    <w:p w:rsidR="001F0A7F" w:rsidRPr="00907348" w:rsidRDefault="00907348">
      <w:pPr>
        <w:pStyle w:val="NormalHanging12a"/>
      </w:pPr>
      <w:r w:rsidRPr="00907348">
        <w:t>39.</w:t>
      </w:r>
      <w:r w:rsidRPr="00907348">
        <w:tab/>
        <w:t>pokiaľ ide o ďalšie poznámky horizontálnej povahy, ktoré sú súčasťou rozhodnutia o absolutóriu, odvoláva sa na svoje uznesenie z 11. apríla 2024</w:t>
      </w:r>
      <w:r w:rsidRPr="00907348">
        <w:rPr>
          <w:rStyle w:val="FootnoteReference"/>
        </w:rPr>
        <w:footnoteReference w:id="13"/>
      </w:r>
      <w:r w:rsidRPr="00907348">
        <w:t xml:space="preserve"> o výkonnosti, finančnom riadení a kontrole agentúr.</w:t>
      </w:r>
    </w:p>
    <w:p w:rsidR="001F0A7F" w:rsidRPr="00907348" w:rsidRDefault="001F0A7F"/>
    <w:p w:rsidR="001F0A7F" w:rsidRPr="00907348" w:rsidRDefault="001F0A7F">
      <w:bookmarkStart w:id="9" w:name="TextBodyEnd"/>
      <w:bookmarkEnd w:id="9"/>
    </w:p>
    <w:sectPr w:rsidR="001F0A7F" w:rsidRPr="0090734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A7F" w:rsidRDefault="00907348">
      <w:r>
        <w:separator/>
      </w:r>
    </w:p>
  </w:endnote>
  <w:endnote w:type="continuationSeparator" w:id="0">
    <w:p w:rsidR="001F0A7F" w:rsidRDefault="00907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7F" w:rsidRDefault="00907348">
    <w:pPr>
      <w:pStyle w:val="EPFooter"/>
    </w:pPr>
    <w:r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753.522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v03-00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fldSimple w:instr=" NUMPAGES  \* MERGEFORMAT ">
      <w:r>
        <w:rPr>
          <w:noProof/>
        </w:rPr>
        <w:t>4</w:t>
      </w:r>
    </w:fldSimple>
    <w:r>
      <w:tab/>
    </w:r>
    <w:r>
      <w:rPr>
        <w:rStyle w:val="HideTWBExt"/>
      </w:rPr>
      <w:t>&lt;PathFdR&gt;</w:t>
    </w:r>
    <w:r>
      <w:t>RR\1299238SK.docx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</w:p>
  <w:p w:rsidR="001F0A7F" w:rsidRDefault="00907348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7F" w:rsidRDefault="00907348">
    <w:pPr>
      <w:pStyle w:val="EPFooter"/>
    </w:pPr>
    <w:r>
      <w:rPr>
        <w:rStyle w:val="HideTWBExt"/>
      </w:rPr>
      <w:t>&lt;PathFdR&gt;</w:t>
    </w:r>
    <w:r>
      <w:t>RR\1299238SK.docx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  <w:r>
      <w:tab/>
    </w:r>
    <w:r>
      <w:tab/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753.522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v03-00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</w:p>
  <w:p w:rsidR="001F0A7F" w:rsidRDefault="00907348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7F" w:rsidRDefault="001F0A7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7F" w:rsidRDefault="001F0A7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7F" w:rsidRDefault="001F0A7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A7F" w:rsidRDefault="00907348">
      <w:r>
        <w:separator/>
      </w:r>
    </w:p>
  </w:footnote>
  <w:footnote w:type="continuationSeparator" w:id="0">
    <w:p w:rsidR="001F0A7F" w:rsidRDefault="00907348">
      <w:r>
        <w:continuationSeparator/>
      </w:r>
    </w:p>
  </w:footnote>
  <w:footnote w:id="1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C/2023/594, 27.10.2023.</w:t>
      </w:r>
    </w:p>
  </w:footnote>
  <w:footnote w:id="2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3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193, 30.7.2018, s. 1.</w:t>
      </w:r>
    </w:p>
  </w:footnote>
  <w:footnote w:id="4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189, 28.5.2021, s. 61.</w:t>
      </w:r>
    </w:p>
  </w:footnote>
  <w:footnote w:id="5">
    <w:p w:rsidR="001F0A7F" w:rsidRDefault="00907348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6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C/2023/594, 27.10.2023.</w:t>
      </w:r>
    </w:p>
  </w:footnote>
  <w:footnote w:id="7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8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193, 30.7.2018, s. 1.</w:t>
      </w:r>
    </w:p>
  </w:footnote>
  <w:footnote w:id="9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189, 28.5.2021, s. 61.</w:t>
      </w:r>
    </w:p>
  </w:footnote>
  <w:footnote w:id="10">
    <w:p w:rsidR="001F0A7F" w:rsidRDefault="00907348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11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489, 22.12.2022, s. 56.</w:t>
      </w:r>
    </w:p>
  </w:footnote>
  <w:footnote w:id="12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Delegované nariadenie Komisie (EÚ) 2019/715 z 18. decembra 2018 o rámcovom nariadení o rozpočtových pravidlách pre subjekty zriadené podľa ZFEÚ a Zmluvy o </w:t>
      </w:r>
      <w:proofErr w:type="spellStart"/>
      <w:r>
        <w:rPr>
          <w:sz w:val="24"/>
          <w:lang w:val="sk-SK"/>
        </w:rPr>
        <w:t>Euratome</w:t>
      </w:r>
      <w:proofErr w:type="spellEnd"/>
      <w:r>
        <w:rPr>
          <w:sz w:val="24"/>
          <w:lang w:val="sk-SK"/>
        </w:rPr>
        <w:t xml:space="preserve"> a uvedené v článku 70 nariadenia Európskeho parlamentu a Rady (EÚ, </w:t>
      </w:r>
      <w:proofErr w:type="spellStart"/>
      <w:r>
        <w:rPr>
          <w:sz w:val="24"/>
          <w:lang w:val="sk-SK"/>
        </w:rPr>
        <w:t>Euratom</w:t>
      </w:r>
      <w:proofErr w:type="spellEnd"/>
      <w:r>
        <w:rPr>
          <w:sz w:val="24"/>
          <w:lang w:val="sk-SK"/>
        </w:rPr>
        <w:t>) 2018/1046 (Ú. v. EÚ L 122, 10.5.2019, s. 1).</w:t>
      </w:r>
    </w:p>
  </w:footnote>
  <w:footnote w:id="13">
    <w:p w:rsidR="001F0A7F" w:rsidRDefault="0090734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P9_TA(2024)0280.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7F" w:rsidRDefault="001F0A7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7F" w:rsidRDefault="001F0A7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7F" w:rsidRDefault="001F0A7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2/2024"/>
    <w:docVar w:name="dvlangue" w:val="SK"/>
    <w:docVar w:name="dvnumam" w:val="0"/>
    <w:docVar w:name="dvpe" w:val="753.522"/>
    <w:docVar w:name="dvrapporteur" w:val="Spravodajca: "/>
    <w:docVar w:name="dvtitre" w:val="1. Rozhodnutie Európskeho parlamentu z 11. apríla 2024 o absolutóriu za plnenie rozpočtu Európskeho inovačného a technologického inštitútu (EIT) za rozpočtový rok 2022(2023/2154(DEC))"/>
  </w:docVars>
  <w:rsids>
    <w:rsidRoot w:val="001F0A7F"/>
    <w:rsid w:val="0009083E"/>
    <w:rsid w:val="00113105"/>
    <w:rsid w:val="001F0A7F"/>
    <w:rsid w:val="002D2B1C"/>
    <w:rsid w:val="0090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D17B5"/>
  <w15:chartTrackingRefBased/>
  <w15:docId w15:val="{66A0880E-4654-4D32-AD2F-6E904D6F1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k-SK"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4C5D6-1F4F-4D3C-A4A2-C6A1BD013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3566</Words>
  <Characters>21628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2024-05-15T12:02:00Z</dcterms:created>
  <dcterms:modified xsi:type="dcterms:W3CDTF">2024-05-15T12:02:00Z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A9-0132/2024</vt:lpwstr>
  </property>
  <property fmtid="{D5CDD505-2E9C-101B-9397-08002B2CF9AE}" pid="4" name="&lt;Type&gt;">
    <vt:lpwstr>RR</vt:lpwstr>
  </property>
</Properties>
</file>