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0108" w:rsidTr="0010095E">
        <w:trPr>
          <w:trHeight w:hRule="exact" w:val="1418"/>
        </w:trPr>
        <w:tc>
          <w:tcPr>
            <w:tcW w:w="6804" w:type="dxa"/>
            <w:shd w:val="clear" w:color="auto" w:fill="auto"/>
            <w:vAlign w:val="center"/>
          </w:tcPr>
          <w:p w:rsidR="00751A4A" w:rsidRPr="000B0108" w:rsidRDefault="00C65BCB" w:rsidP="0010095E">
            <w:pPr>
              <w:pStyle w:val="EPName"/>
            </w:pPr>
            <w:r w:rsidRPr="000B0108">
              <w:t>Европейски</w:t>
            </w:r>
            <w:r w:rsidR="000955A5" w:rsidRPr="000B0108">
              <w:t xml:space="preserve"> парламент</w:t>
            </w:r>
          </w:p>
          <w:p w:rsidR="00751A4A" w:rsidRPr="000B0108" w:rsidRDefault="00817416" w:rsidP="00756632">
            <w:pPr>
              <w:pStyle w:val="EPTerm"/>
              <w:rPr>
                <w:rStyle w:val="HideTWBExt"/>
                <w:noProof w:val="0"/>
                <w:vanish w:val="0"/>
                <w:color w:val="auto"/>
              </w:rPr>
            </w:pPr>
            <w:r w:rsidRPr="000B0108">
              <w:t>2019</w:t>
            </w:r>
            <w:r w:rsidR="00C65BCB">
              <w:rPr>
                <w:lang w:val="en-GB"/>
              </w:rPr>
              <w:t> – </w:t>
            </w:r>
            <w:r w:rsidRPr="000B0108">
              <w:t>2024</w:t>
            </w:r>
          </w:p>
        </w:tc>
        <w:tc>
          <w:tcPr>
            <w:tcW w:w="2268" w:type="dxa"/>
            <w:shd w:val="clear" w:color="auto" w:fill="auto"/>
          </w:tcPr>
          <w:p w:rsidR="00751A4A" w:rsidRPr="000B0108" w:rsidRDefault="00187494" w:rsidP="0010095E">
            <w:pPr>
              <w:pStyle w:val="EPLogo"/>
            </w:pPr>
            <w:r w:rsidRPr="000B01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0108" w:rsidRDefault="00D058B8" w:rsidP="004C5D52">
      <w:pPr>
        <w:pStyle w:val="LineTop"/>
      </w:pPr>
    </w:p>
    <w:p w:rsidR="00680577" w:rsidRPr="000B0108" w:rsidRDefault="000955A5" w:rsidP="00680577">
      <w:pPr>
        <w:pStyle w:val="EPBodyTA1"/>
      </w:pPr>
      <w:r w:rsidRPr="000B0108">
        <w:t>ПРИЕТИ ТЕКСТОВЕ</w:t>
      </w:r>
    </w:p>
    <w:p w:rsidR="00D058B8" w:rsidRPr="000B0108" w:rsidRDefault="00D058B8" w:rsidP="00D058B8">
      <w:pPr>
        <w:pStyle w:val="LineBottom"/>
      </w:pPr>
    </w:p>
    <w:p w:rsidR="000955A5" w:rsidRPr="000B0108" w:rsidRDefault="000955A5" w:rsidP="000955A5">
      <w:pPr>
        <w:pStyle w:val="ATHeading1"/>
      </w:pPr>
      <w:bookmarkStart w:id="0" w:name="TANumber"/>
      <w:r w:rsidRPr="000B0108">
        <w:t>P9_TA(2024)0</w:t>
      </w:r>
      <w:r w:rsidR="00DA4693">
        <w:rPr>
          <w:lang w:val="en-GB"/>
        </w:rPr>
        <w:t>268</w:t>
      </w:r>
      <w:bookmarkEnd w:id="0"/>
    </w:p>
    <w:p w:rsidR="000955A5" w:rsidRPr="000B0108" w:rsidRDefault="000955A5" w:rsidP="00B853AD">
      <w:pPr>
        <w:pStyle w:val="ATHeading2"/>
      </w:pPr>
      <w:bookmarkStart w:id="1" w:name="title"/>
      <w:r w:rsidRPr="000B0108">
        <w:t>Освобождаване от отговорност във връзка с изпълнението на бюджета за</w:t>
      </w:r>
      <w:r w:rsidR="00C65BCB">
        <w:rPr>
          <w:lang w:val="en-GB"/>
        </w:rPr>
        <w:t xml:space="preserve"> </w:t>
      </w:r>
      <w:r w:rsidRPr="000B0108">
        <w:t>2022 г.: Агенция на Европейския</w:t>
      </w:r>
      <w:bookmarkStart w:id="2" w:name="_GoBack"/>
      <w:bookmarkEnd w:id="2"/>
      <w:r w:rsidRPr="000B0108">
        <w:t xml:space="preserve"> съюз в областта на убежището (преди 19.1.2022 г. Европейска служба за подкрепа в областта на убежището)</w:t>
      </w:r>
      <w:bookmarkEnd w:id="1"/>
    </w:p>
    <w:p w:rsidR="000955A5" w:rsidRPr="000B0108" w:rsidRDefault="000955A5" w:rsidP="000955A5">
      <w:pPr>
        <w:rPr>
          <w:i/>
          <w:vanish/>
        </w:rPr>
      </w:pPr>
      <w:r w:rsidRPr="000B0108">
        <w:rPr>
          <w:i/>
        </w:rPr>
        <w:fldChar w:fldCharType="begin"/>
      </w:r>
      <w:r w:rsidRPr="000B0108">
        <w:rPr>
          <w:i/>
        </w:rPr>
        <w:instrText xml:space="preserve"> TC"(</w:instrText>
      </w:r>
      <w:bookmarkStart w:id="3" w:name="DocNumber"/>
      <w:r w:rsidRPr="000B0108">
        <w:rPr>
          <w:i/>
        </w:rPr>
        <w:instrText>A9-0106/2024</w:instrText>
      </w:r>
      <w:bookmarkEnd w:id="3"/>
      <w:r w:rsidRPr="000B0108">
        <w:rPr>
          <w:i/>
        </w:rPr>
        <w:instrText xml:space="preserve"> - Докладчик: </w:instrText>
      </w:r>
      <w:proofErr w:type="spellStart"/>
      <w:r w:rsidRPr="000B0108">
        <w:rPr>
          <w:i/>
        </w:rPr>
        <w:instrText>Петри</w:instrText>
      </w:r>
      <w:proofErr w:type="spellEnd"/>
      <w:r w:rsidRPr="000B0108">
        <w:rPr>
          <w:i/>
        </w:rPr>
        <w:instrText xml:space="preserve"> </w:instrText>
      </w:r>
      <w:proofErr w:type="spellStart"/>
      <w:r w:rsidRPr="000B0108">
        <w:rPr>
          <w:i/>
        </w:rPr>
        <w:instrText>Сарвама</w:instrText>
      </w:r>
      <w:proofErr w:type="spellEnd"/>
      <w:r w:rsidRPr="000B0108">
        <w:rPr>
          <w:i/>
        </w:rPr>
        <w:instrText xml:space="preserve">)"\l3 \n&gt; \* MERGEFORMAT </w:instrText>
      </w:r>
      <w:r w:rsidRPr="000B0108">
        <w:rPr>
          <w:i/>
        </w:rPr>
        <w:fldChar w:fldCharType="end"/>
      </w:r>
    </w:p>
    <w:p w:rsidR="000955A5" w:rsidRPr="000B0108" w:rsidRDefault="000955A5" w:rsidP="000955A5">
      <w:pPr>
        <w:rPr>
          <w:vanish/>
        </w:rPr>
      </w:pPr>
      <w:bookmarkStart w:id="4" w:name="Commission"/>
      <w:r w:rsidRPr="000B0108">
        <w:rPr>
          <w:vanish/>
        </w:rPr>
        <w:t>Комисия по бюджетен контрол</w:t>
      </w:r>
      <w:bookmarkEnd w:id="4"/>
    </w:p>
    <w:p w:rsidR="000955A5" w:rsidRPr="000B0108" w:rsidRDefault="000955A5" w:rsidP="000955A5">
      <w:pPr>
        <w:rPr>
          <w:vanish/>
        </w:rPr>
      </w:pPr>
      <w:bookmarkStart w:id="5" w:name="PE"/>
      <w:r w:rsidRPr="000B0108">
        <w:rPr>
          <w:vanish/>
        </w:rPr>
        <w:t>PE753.532</w:t>
      </w:r>
      <w:bookmarkEnd w:id="5"/>
    </w:p>
    <w:p w:rsidR="000955A5" w:rsidRPr="000B0108" w:rsidRDefault="00C65BCB" w:rsidP="00B853AD">
      <w:pPr>
        <w:pStyle w:val="ATHeading3"/>
      </w:pPr>
      <w:bookmarkStart w:id="6" w:name="Sujet"/>
      <w:r>
        <w:rPr>
          <w:lang w:val="en-GB"/>
        </w:rPr>
        <w:t xml:space="preserve">1. </w:t>
      </w:r>
      <w:r w:rsidR="000955A5" w:rsidRPr="000B0108">
        <w:t xml:space="preserve">Решение на Европейския парламент от </w:t>
      </w:r>
      <w:r>
        <w:rPr>
          <w:lang w:val="en-GB"/>
        </w:rPr>
        <w:t xml:space="preserve">11 </w:t>
      </w:r>
      <w:r>
        <w:t>април</w:t>
      </w:r>
      <w:r w:rsidR="000955A5" w:rsidRPr="000B0108">
        <w:t xml:space="preserve"> 2024 г. относно освобождаването от отговорност във връзка с изпълнението на бюджета на Агенцията на Европейския съюз в областта на убежището (преди 19.1.2022 г. Европейска служба за подкрепа в областта на убежището) за финансовата 2022 година</w:t>
      </w:r>
      <w:bookmarkEnd w:id="6"/>
      <w:r w:rsidR="000955A5" w:rsidRPr="000B0108">
        <w:t xml:space="preserve"> </w:t>
      </w:r>
      <w:bookmarkStart w:id="7" w:name="References"/>
      <w:r w:rsidR="000955A5" w:rsidRPr="000B0108">
        <w:t>(2023/2164(DEC))</w:t>
      </w:r>
      <w:bookmarkEnd w:id="7"/>
    </w:p>
    <w:p w:rsidR="00FC43F2" w:rsidRPr="000B0108" w:rsidRDefault="00FC43F2" w:rsidP="00FC43F2">
      <w:pPr>
        <w:pStyle w:val="EPComma"/>
      </w:pPr>
      <w:bookmarkStart w:id="8" w:name="TextBodyBegin"/>
      <w:bookmarkEnd w:id="8"/>
      <w:r w:rsidRPr="000B0108">
        <w:rPr>
          <w:i/>
        </w:rPr>
        <w:t>Европейският парламент</w:t>
      </w:r>
      <w:r w:rsidRPr="000B0108">
        <w:t>,</w:t>
      </w:r>
    </w:p>
    <w:p w:rsidR="00FC43F2" w:rsidRPr="000B0108" w:rsidRDefault="00FC43F2" w:rsidP="00FC43F2">
      <w:pPr>
        <w:pStyle w:val="NormalHanging12a"/>
      </w:pPr>
      <w:r w:rsidRPr="000B0108">
        <w:t>–</w:t>
      </w:r>
      <w:r w:rsidRPr="000B0108">
        <w:tab/>
        <w:t>като взе предвид окончателните годишни отчети на Агенцията на Европейския съюз в областта на убежището за финансовата 2022 година,</w:t>
      </w:r>
    </w:p>
    <w:p w:rsidR="00FC43F2" w:rsidRPr="000B0108" w:rsidRDefault="00FC43F2" w:rsidP="00FC43F2">
      <w:pPr>
        <w:pStyle w:val="NormalHanging12a"/>
      </w:pPr>
      <w:r w:rsidRPr="000B0108">
        <w:t>–</w:t>
      </w:r>
      <w:r w:rsidRPr="000B010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B0108">
        <w:rPr>
          <w:rStyle w:val="FootnoteReference"/>
        </w:rPr>
        <w:footnoteReference w:id="1"/>
      </w:r>
      <w:r w:rsidRPr="000B0108">
        <w:t>,</w:t>
      </w:r>
    </w:p>
    <w:p w:rsidR="00FC43F2" w:rsidRPr="000B0108" w:rsidRDefault="00FC43F2" w:rsidP="00FC43F2">
      <w:pPr>
        <w:pStyle w:val="NormalHanging12a"/>
      </w:pPr>
      <w:r w:rsidRPr="000B0108">
        <w:t>–</w:t>
      </w:r>
      <w:r w:rsidRPr="000B0108">
        <w:tab/>
        <w:t>като взе предвид декларацията за достоверност</w:t>
      </w:r>
      <w:r w:rsidRPr="000B0108">
        <w:rPr>
          <w:rStyle w:val="FootnoteReference"/>
        </w:rPr>
        <w:footnoteReference w:id="2"/>
      </w:r>
      <w:r w:rsidRPr="000B010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C43F2" w:rsidRPr="000B0108" w:rsidRDefault="00FC43F2" w:rsidP="00917DF0">
      <w:pPr>
        <w:pStyle w:val="NormalHanging12a"/>
      </w:pPr>
      <w:r w:rsidRPr="000B0108">
        <w:t>–</w:t>
      </w:r>
      <w:r w:rsidRPr="000B0108">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917DF0" w:rsidRPr="00917DF0">
        <w:rPr>
          <w:lang w:val="en-GB"/>
        </w:rPr>
        <w:t>06180</w:t>
      </w:r>
      <w:r w:rsidRPr="000B0108">
        <w:t>/2024 – C9-</w:t>
      </w:r>
      <w:r w:rsidR="00917DF0" w:rsidRPr="00917DF0">
        <w:rPr>
          <w:lang w:val="en-GB"/>
        </w:rPr>
        <w:t>0102</w:t>
      </w:r>
      <w:r w:rsidRPr="000B0108">
        <w:t>/2024),</w:t>
      </w:r>
    </w:p>
    <w:p w:rsidR="00FC43F2" w:rsidRPr="000B0108" w:rsidRDefault="00FC43F2" w:rsidP="00FC43F2">
      <w:pPr>
        <w:pStyle w:val="NormalHanging12a"/>
      </w:pPr>
      <w:r w:rsidRPr="000B0108">
        <w:t>–</w:t>
      </w:r>
      <w:r w:rsidRPr="000B0108">
        <w:tab/>
        <w:t>като взе предвид член 319 от Договора за функционирането на Европейския съюз,</w:t>
      </w:r>
    </w:p>
    <w:p w:rsidR="00FC43F2" w:rsidRPr="000B0108" w:rsidRDefault="00FC43F2" w:rsidP="00FC43F2">
      <w:pPr>
        <w:pStyle w:val="NormalHanging12a"/>
      </w:pPr>
      <w:r w:rsidRPr="000B0108">
        <w:t>–</w:t>
      </w:r>
      <w:r w:rsidRPr="000B0108">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w:t>
      </w:r>
      <w:r w:rsidRPr="000B0108">
        <w:lastRenderedPageBreak/>
        <w:t>1301/2013, (ЕС) № 1303/2013, (ЕС) № 1304/2013, (ЕС) № 1309/2013, (ЕС) № 1316/2013, (ЕС) № 223/2014 и (ЕС) № 283/2014 и на Решение № 541/2014/ЕС и за отмяна на Регламент (ЕС, Евратом) № 966/2012</w:t>
      </w:r>
      <w:r w:rsidRPr="000B0108">
        <w:rPr>
          <w:rStyle w:val="FootnoteReference"/>
        </w:rPr>
        <w:footnoteReference w:id="3"/>
      </w:r>
      <w:r w:rsidRPr="000B0108">
        <w:t>, и по-специално член 70 от него,</w:t>
      </w:r>
    </w:p>
    <w:p w:rsidR="00FC43F2" w:rsidRPr="000B0108" w:rsidRDefault="00FC43F2" w:rsidP="00FC43F2">
      <w:pPr>
        <w:pStyle w:val="NormalHanging12a"/>
      </w:pPr>
      <w:r w:rsidRPr="000B0108">
        <w:t>–</w:t>
      </w:r>
      <w:r w:rsidRPr="000B0108">
        <w:tab/>
        <w:t>като взе предвид Регламент (ЕС) № 439/2010 на Европейския парламент и на Съвета от 19 май 2010 г. за създаване на Европейска служба за подкрепа в областта на убежището</w:t>
      </w:r>
      <w:r w:rsidRPr="000B0108">
        <w:rPr>
          <w:rStyle w:val="FootnoteReference"/>
        </w:rPr>
        <w:footnoteReference w:id="4"/>
      </w:r>
      <w:r w:rsidRPr="000B0108">
        <w:t>, и по-специално член 36 от него,</w:t>
      </w:r>
    </w:p>
    <w:p w:rsidR="00FC43F2" w:rsidRPr="000B0108" w:rsidRDefault="00FC43F2" w:rsidP="00FC43F2">
      <w:pPr>
        <w:pStyle w:val="NormalHanging12a"/>
      </w:pPr>
      <w:r w:rsidRPr="000B0108">
        <w:t>–</w:t>
      </w:r>
      <w:r w:rsidRPr="000B0108">
        <w:tab/>
        <w:t>като взе предвид 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w:t>
      </w:r>
      <w:r w:rsidRPr="000B0108">
        <w:rPr>
          <w:rStyle w:val="FootnoteReference"/>
        </w:rPr>
        <w:footnoteReference w:id="5"/>
      </w:r>
      <w:r w:rsidRPr="000B0108">
        <w:t>, и по-специално член 55 от него,</w:t>
      </w:r>
    </w:p>
    <w:p w:rsidR="00FC43F2" w:rsidRPr="000B0108" w:rsidRDefault="00FC43F2" w:rsidP="00FC43F2">
      <w:pPr>
        <w:pStyle w:val="NormalHanging12a"/>
      </w:pPr>
      <w:r w:rsidRPr="000B0108">
        <w:t>–</w:t>
      </w:r>
      <w:r w:rsidRPr="000B010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B0108">
        <w:rPr>
          <w:rStyle w:val="FootnoteReference"/>
        </w:rPr>
        <w:footnoteReference w:id="6"/>
      </w:r>
      <w:r w:rsidRPr="000B0108">
        <w:t>, и по-специално член 105 от него,</w:t>
      </w:r>
    </w:p>
    <w:p w:rsidR="00FC43F2" w:rsidRPr="000B0108" w:rsidRDefault="00FC43F2" w:rsidP="00FC43F2">
      <w:pPr>
        <w:pStyle w:val="NormalHanging12a"/>
      </w:pPr>
      <w:r w:rsidRPr="000B0108">
        <w:t>–</w:t>
      </w:r>
      <w:r w:rsidRPr="000B0108">
        <w:tab/>
        <w:t>като взе предвид член 100 и приложение V към своя Правилник за дейността,</w:t>
      </w:r>
    </w:p>
    <w:p w:rsidR="00FC43F2" w:rsidRPr="000B0108" w:rsidRDefault="00FC43F2" w:rsidP="00FC43F2">
      <w:pPr>
        <w:pStyle w:val="NormalHanging12a"/>
      </w:pPr>
      <w:r w:rsidRPr="000B0108">
        <w:t>–</w:t>
      </w:r>
      <w:r w:rsidRPr="000B0108">
        <w:tab/>
        <w:t>като взе предвид становището на комисията по граждански свободи, правосъдие и вътрешни работи,</w:t>
      </w:r>
    </w:p>
    <w:p w:rsidR="00FC43F2" w:rsidRPr="000B0108" w:rsidRDefault="00FC43F2" w:rsidP="00FC43F2">
      <w:pPr>
        <w:pStyle w:val="NormalHanging12a"/>
      </w:pPr>
      <w:r w:rsidRPr="000B0108">
        <w:t>–</w:t>
      </w:r>
      <w:r w:rsidRPr="000B0108">
        <w:tab/>
        <w:t>като взе предвид доклада на комисията по бюджетен контрол (A9-0106/2024),</w:t>
      </w:r>
    </w:p>
    <w:p w:rsidR="00FC43F2" w:rsidRPr="000B0108" w:rsidRDefault="00FC43F2" w:rsidP="00FC43F2">
      <w:pPr>
        <w:pStyle w:val="NormalHanging12a"/>
      </w:pPr>
      <w:r w:rsidRPr="000B0108">
        <w:t>1.</w:t>
      </w:r>
      <w:r w:rsidRPr="000B0108">
        <w:tab/>
        <w:t>освобождава от отговорност изпълнителния директор на Агенцията на Европейския съюз в областта на убежището във връзка с изпълнението на бюджета на Агенцията за финансовата 2022 година;</w:t>
      </w:r>
    </w:p>
    <w:p w:rsidR="00FC43F2" w:rsidRPr="000B0108" w:rsidRDefault="00FC43F2" w:rsidP="00FC43F2">
      <w:pPr>
        <w:pStyle w:val="NormalHanging12a"/>
      </w:pPr>
      <w:r w:rsidRPr="000B0108">
        <w:t>2.</w:t>
      </w:r>
      <w:r w:rsidRPr="000B0108">
        <w:tab/>
        <w:t>представя своите забележки в резолюцията по-долу;</w:t>
      </w:r>
    </w:p>
    <w:p w:rsidR="00FC43F2" w:rsidRPr="000B0108" w:rsidRDefault="00FC43F2" w:rsidP="00FC43F2">
      <w:pPr>
        <w:pStyle w:val="NormalHanging12a"/>
      </w:pPr>
      <w:r w:rsidRPr="000B0108">
        <w:t>3.</w:t>
      </w:r>
      <w:r w:rsidRPr="000B0108">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в областта на убежището, на Съвета, Комисията и Сметната палата и да осигури публикуването им в </w:t>
      </w:r>
      <w:r w:rsidRPr="000B0108">
        <w:rPr>
          <w:i/>
        </w:rPr>
        <w:t>Официален вестник на Европейския съюз</w:t>
      </w:r>
      <w:r w:rsidRPr="000B0108">
        <w:t xml:space="preserve"> (серия L).</w:t>
      </w:r>
    </w:p>
    <w:p w:rsidR="00FC43F2" w:rsidRPr="000B0108" w:rsidRDefault="00FC43F2" w:rsidP="00FC43F2"/>
    <w:p w:rsidR="00FC43F2" w:rsidRPr="000B0108" w:rsidRDefault="00FC43F2" w:rsidP="00FC43F2">
      <w:pPr>
        <w:widowControl/>
        <w:rPr>
          <w:rFonts w:ascii="Arial" w:hAnsi="Arial" w:cs="Arial"/>
          <w:b/>
        </w:rPr>
        <w:sectPr w:rsidR="00FC43F2" w:rsidRPr="000B0108" w:rsidSect="000B01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C43F2" w:rsidRPr="000B0108" w:rsidRDefault="00FC43F2" w:rsidP="00B853AD">
      <w:pPr>
        <w:pStyle w:val="ATHeading3"/>
      </w:pPr>
      <w:bookmarkStart w:id="9" w:name="_Toc146792446"/>
      <w:bookmarkStart w:id="10" w:name="_Toc161926763"/>
      <w:r w:rsidRPr="000B0108">
        <w:lastRenderedPageBreak/>
        <w:t xml:space="preserve">2. </w:t>
      </w:r>
      <w:bookmarkEnd w:id="9"/>
      <w:bookmarkEnd w:id="10"/>
      <w:r w:rsidR="00B853AD">
        <w:t xml:space="preserve">Решение на Европейския парламент от 11 април 2024 г. </w:t>
      </w:r>
      <w:r w:rsidRPr="000B0108">
        <w:t>относно приключването на сметките на Агенцията на Европейския съюз в областта на убежището (преди 19.1.2022 г. Европейска служба за подкрепа в областта на убежището) за финансовата 2022 година</w:t>
      </w:r>
      <w:r w:rsidR="00B853AD">
        <w:t xml:space="preserve"> (2023</w:t>
      </w:r>
      <w:r w:rsidRPr="000B0108">
        <w:t>/2164(DEC))</w:t>
      </w:r>
    </w:p>
    <w:p w:rsidR="00FC43F2" w:rsidRPr="000B0108" w:rsidRDefault="00FC43F2" w:rsidP="00FC43F2">
      <w:pPr>
        <w:pStyle w:val="EPComma"/>
      </w:pPr>
      <w:r w:rsidRPr="000B0108">
        <w:rPr>
          <w:i/>
        </w:rPr>
        <w:t>Европейският парламент</w:t>
      </w:r>
      <w:r w:rsidRPr="000B0108">
        <w:t>,</w:t>
      </w:r>
    </w:p>
    <w:p w:rsidR="00FC43F2" w:rsidRPr="000B0108" w:rsidRDefault="00FC43F2" w:rsidP="00FC43F2">
      <w:pPr>
        <w:pStyle w:val="NormalHanging12a"/>
      </w:pPr>
      <w:r w:rsidRPr="000B0108">
        <w:t>–</w:t>
      </w:r>
      <w:r w:rsidRPr="000B0108">
        <w:tab/>
        <w:t>като взе предвид окончателните годишни отчети на Агенцията на Европейския съюз в областта на убежището за финансовата 2022 година,</w:t>
      </w:r>
    </w:p>
    <w:p w:rsidR="00FC43F2" w:rsidRPr="000B0108" w:rsidRDefault="00FC43F2" w:rsidP="00FC43F2">
      <w:pPr>
        <w:pStyle w:val="NormalHanging12a"/>
      </w:pPr>
      <w:r w:rsidRPr="000B0108">
        <w:t>–</w:t>
      </w:r>
      <w:r w:rsidRPr="000B010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B0108">
        <w:rPr>
          <w:rStyle w:val="FootnoteReference"/>
        </w:rPr>
        <w:footnoteReference w:id="7"/>
      </w:r>
      <w:r w:rsidRPr="000B0108">
        <w:t>,</w:t>
      </w:r>
    </w:p>
    <w:p w:rsidR="00FC43F2" w:rsidRPr="000B0108" w:rsidRDefault="00FC43F2" w:rsidP="00FC43F2">
      <w:pPr>
        <w:pStyle w:val="NormalHanging12a"/>
      </w:pPr>
      <w:r w:rsidRPr="000B0108">
        <w:t>–</w:t>
      </w:r>
      <w:r w:rsidRPr="000B0108">
        <w:tab/>
        <w:t>като взе предвид декларацията за достоверност</w:t>
      </w:r>
      <w:r w:rsidRPr="000B0108">
        <w:rPr>
          <w:rStyle w:val="FootnoteReference"/>
        </w:rPr>
        <w:footnoteReference w:id="8"/>
      </w:r>
      <w:r w:rsidRPr="000B010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C43F2" w:rsidRPr="000B0108" w:rsidRDefault="00FC43F2" w:rsidP="00917DF0">
      <w:pPr>
        <w:pStyle w:val="NormalHanging12a"/>
      </w:pPr>
      <w:r w:rsidRPr="000B0108">
        <w:t>–</w:t>
      </w:r>
      <w:r w:rsidRPr="000B0108">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917DF0" w:rsidRPr="00917DF0">
        <w:rPr>
          <w:lang w:val="en-GB"/>
        </w:rPr>
        <w:t>06180</w:t>
      </w:r>
      <w:r w:rsidRPr="000B0108">
        <w:t>/2024 – C9-</w:t>
      </w:r>
      <w:r w:rsidR="00917DF0" w:rsidRPr="00917DF0">
        <w:rPr>
          <w:lang w:val="en-GB"/>
        </w:rPr>
        <w:t>0102</w:t>
      </w:r>
      <w:r w:rsidRPr="000B0108">
        <w:t>/2024),</w:t>
      </w:r>
    </w:p>
    <w:p w:rsidR="00FC43F2" w:rsidRPr="000B0108" w:rsidRDefault="00FC43F2" w:rsidP="00FC43F2">
      <w:pPr>
        <w:pStyle w:val="NormalHanging12a"/>
      </w:pPr>
      <w:r w:rsidRPr="000B0108">
        <w:t>–</w:t>
      </w:r>
      <w:r w:rsidRPr="000B0108">
        <w:tab/>
        <w:t>като взе предвид член 319 от Договора за функционирането на Европейския съюз,</w:t>
      </w:r>
    </w:p>
    <w:p w:rsidR="00FC43F2" w:rsidRPr="000B0108" w:rsidRDefault="00FC43F2" w:rsidP="00FC43F2">
      <w:pPr>
        <w:pStyle w:val="NormalHanging12a"/>
      </w:pPr>
      <w:r w:rsidRPr="000B0108">
        <w:t>–</w:t>
      </w:r>
      <w:r w:rsidRPr="000B010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B0108">
        <w:rPr>
          <w:rStyle w:val="FootnoteReference"/>
        </w:rPr>
        <w:footnoteReference w:id="9"/>
      </w:r>
      <w:r w:rsidRPr="000B0108">
        <w:t>, и по-специално член 70 от него,</w:t>
      </w:r>
    </w:p>
    <w:p w:rsidR="00FC43F2" w:rsidRPr="000B0108" w:rsidRDefault="00FC43F2" w:rsidP="00FC43F2">
      <w:pPr>
        <w:pStyle w:val="NormalHanging12a"/>
      </w:pPr>
      <w:r w:rsidRPr="000B0108">
        <w:t>–</w:t>
      </w:r>
      <w:r w:rsidRPr="000B0108">
        <w:tab/>
        <w:t>като взе предвид Регламент (ЕС) № 439/2010 на Европейския парламент и на Съвета от 19 май 2010 г. за създаване на Европейска служба за подкрепа в областта на убежището</w:t>
      </w:r>
      <w:r w:rsidRPr="000B0108">
        <w:rPr>
          <w:rStyle w:val="FootnoteReference"/>
        </w:rPr>
        <w:footnoteReference w:id="10"/>
      </w:r>
      <w:r w:rsidRPr="000B0108">
        <w:t>, и по-специално член 36 от него,</w:t>
      </w:r>
    </w:p>
    <w:p w:rsidR="00FC43F2" w:rsidRPr="000B0108" w:rsidRDefault="00FC43F2" w:rsidP="00FC43F2">
      <w:pPr>
        <w:pStyle w:val="NormalHanging12a"/>
      </w:pPr>
      <w:r w:rsidRPr="000B0108">
        <w:t>–</w:t>
      </w:r>
      <w:r w:rsidRPr="000B0108">
        <w:tab/>
        <w:t>като взе предвид 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w:t>
      </w:r>
      <w:r w:rsidRPr="000B0108">
        <w:rPr>
          <w:rStyle w:val="FootnoteReference"/>
        </w:rPr>
        <w:footnoteReference w:id="11"/>
      </w:r>
      <w:r w:rsidRPr="000B0108">
        <w:t>, и по-специално член 55 от него,</w:t>
      </w:r>
    </w:p>
    <w:p w:rsidR="00FC43F2" w:rsidRPr="000B0108" w:rsidRDefault="00FC43F2" w:rsidP="00FC43F2">
      <w:pPr>
        <w:pStyle w:val="NormalHanging12a"/>
      </w:pPr>
      <w:r w:rsidRPr="000B0108">
        <w:t>–</w:t>
      </w:r>
      <w:r w:rsidRPr="000B010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B0108">
        <w:rPr>
          <w:rStyle w:val="FootnoteReference"/>
        </w:rPr>
        <w:footnoteReference w:id="12"/>
      </w:r>
      <w:r w:rsidRPr="000B0108">
        <w:t xml:space="preserve">, и по-специално член </w:t>
      </w:r>
      <w:r w:rsidRPr="000B0108">
        <w:lastRenderedPageBreak/>
        <w:t>105 от него,</w:t>
      </w:r>
    </w:p>
    <w:p w:rsidR="00FC43F2" w:rsidRPr="000B0108" w:rsidRDefault="00FC43F2" w:rsidP="00FC43F2">
      <w:pPr>
        <w:pStyle w:val="NormalHanging12a"/>
      </w:pPr>
      <w:r w:rsidRPr="000B0108">
        <w:t>–</w:t>
      </w:r>
      <w:r w:rsidRPr="000B0108">
        <w:tab/>
        <w:t>като взе предвид член 100 и приложение V към своя Правилник за дейността,</w:t>
      </w:r>
    </w:p>
    <w:p w:rsidR="00FC43F2" w:rsidRPr="000B0108" w:rsidRDefault="00FC43F2" w:rsidP="00FC43F2">
      <w:pPr>
        <w:pStyle w:val="NormalHanging12a"/>
      </w:pPr>
      <w:r w:rsidRPr="000B0108">
        <w:t>–</w:t>
      </w:r>
      <w:r w:rsidRPr="000B0108">
        <w:tab/>
        <w:t>като взе предвид становището на комисията по граждански свободи, правосъдие и вътрешни работи,</w:t>
      </w:r>
    </w:p>
    <w:p w:rsidR="00FC43F2" w:rsidRPr="000B0108" w:rsidRDefault="00FC43F2" w:rsidP="00FC43F2">
      <w:pPr>
        <w:pStyle w:val="NormalHanging12a"/>
      </w:pPr>
      <w:r w:rsidRPr="000B0108">
        <w:t>–</w:t>
      </w:r>
      <w:r w:rsidRPr="000B0108">
        <w:tab/>
        <w:t>като взе предвид доклада на комисията по бюджетен контрол (A9-0106/2024),</w:t>
      </w:r>
    </w:p>
    <w:p w:rsidR="00FC43F2" w:rsidRPr="000B0108" w:rsidRDefault="00FC43F2" w:rsidP="00FC43F2">
      <w:pPr>
        <w:pStyle w:val="NormalHanging12a"/>
      </w:pPr>
      <w:r w:rsidRPr="000B0108">
        <w:t>1.</w:t>
      </w:r>
      <w:r w:rsidRPr="000B0108">
        <w:tab/>
        <w:t>одобрява приключването на сметките на Агенцията на Европейския съюз в областта на убежището за финансовата 2022 година;</w:t>
      </w:r>
    </w:p>
    <w:p w:rsidR="00FC43F2" w:rsidRPr="000B0108" w:rsidRDefault="00FC43F2" w:rsidP="00FC43F2">
      <w:pPr>
        <w:pStyle w:val="NormalHanging12a"/>
      </w:pPr>
      <w:r w:rsidRPr="000B0108">
        <w:t>2.</w:t>
      </w:r>
      <w:r w:rsidRPr="000B0108">
        <w:tab/>
        <w:t xml:space="preserve">възлага на своя председател да предаде настоящото решение на изпълнителния директор на Агенцията на Европейския съюз в областта на убежището, на Съвета, Комисията и Сметната палата и да осигури публикуването му в </w:t>
      </w:r>
      <w:r w:rsidRPr="000B0108">
        <w:rPr>
          <w:i/>
        </w:rPr>
        <w:t>Официален вестник на Европейския съюз</w:t>
      </w:r>
      <w:r w:rsidRPr="000B0108">
        <w:t xml:space="preserve"> (серия L).</w:t>
      </w:r>
    </w:p>
    <w:p w:rsidR="00FC43F2" w:rsidRPr="000B0108" w:rsidRDefault="00FC43F2" w:rsidP="00FC43F2"/>
    <w:p w:rsidR="00FC43F2" w:rsidRPr="000B0108" w:rsidRDefault="00FC43F2" w:rsidP="00FC43F2">
      <w:pPr>
        <w:widowControl/>
        <w:rPr>
          <w:rFonts w:ascii="Arial" w:hAnsi="Arial" w:cs="Arial"/>
          <w:b/>
        </w:rPr>
        <w:sectPr w:rsidR="00FC43F2" w:rsidRPr="000B0108" w:rsidSect="000B0108">
          <w:footnotePr>
            <w:numRestart w:val="eachPage"/>
          </w:footnotePr>
          <w:endnotePr>
            <w:numFmt w:val="decimal"/>
          </w:endnotePr>
          <w:pgSz w:w="11906" w:h="16838"/>
          <w:pgMar w:top="1134" w:right="1418" w:bottom="1418" w:left="1418" w:header="567" w:footer="567" w:gutter="0"/>
          <w:cols w:space="720"/>
          <w:docGrid w:linePitch="326"/>
        </w:sectPr>
      </w:pPr>
    </w:p>
    <w:p w:rsidR="00FC43F2" w:rsidRPr="000B0108" w:rsidRDefault="00FC43F2" w:rsidP="00B853AD">
      <w:pPr>
        <w:pStyle w:val="ATHeading3"/>
      </w:pPr>
      <w:bookmarkStart w:id="11" w:name="_Toc146792447"/>
      <w:bookmarkStart w:id="12" w:name="_Toc161926764"/>
      <w:r w:rsidRPr="000B0108">
        <w:lastRenderedPageBreak/>
        <w:t xml:space="preserve">3. </w:t>
      </w:r>
      <w:bookmarkEnd w:id="11"/>
      <w:bookmarkEnd w:id="12"/>
      <w:r w:rsidR="00B853AD">
        <w:t>Резолюция на Европейския парламент от 11 април 2024 г., съдържаща</w:t>
      </w:r>
      <w:r w:rsidRPr="000B0108">
        <w:t xml:space="preserve"> забележките, които са неразделна част от решението за освобождаване от отговорност във връзка с изпълнението на бюджета на Агенцията на Европейския съюз в областта на убежището (преди 19.1.2022 г. Европейска служба за подкрепа в областта на убежището) за финансовата 2022 година</w:t>
      </w:r>
      <w:r w:rsidR="00B853AD">
        <w:t xml:space="preserve"> (2023</w:t>
      </w:r>
      <w:r w:rsidRPr="000B0108">
        <w:t>/2164(DEC))</w:t>
      </w:r>
    </w:p>
    <w:p w:rsidR="00FC43F2" w:rsidRPr="000B0108" w:rsidRDefault="00FC43F2" w:rsidP="00FC43F2">
      <w:pPr>
        <w:pStyle w:val="EPComma"/>
      </w:pPr>
      <w:r w:rsidRPr="000B0108">
        <w:rPr>
          <w:i/>
        </w:rPr>
        <w:t>Европейският парламент</w:t>
      </w:r>
      <w:r w:rsidRPr="000B0108">
        <w:t>,</w:t>
      </w:r>
    </w:p>
    <w:p w:rsidR="00FC43F2" w:rsidRPr="000B0108" w:rsidRDefault="00FC43F2" w:rsidP="00FC43F2">
      <w:pPr>
        <w:pStyle w:val="NormalHanging12a"/>
      </w:pPr>
      <w:r w:rsidRPr="000B0108">
        <w:t>–</w:t>
      </w:r>
      <w:r w:rsidRPr="000B0108">
        <w:tab/>
        <w:t>като взе предвид своето решение за освобождаване от отговорност във връзка с изпълнението на бюджета на Агенцията на Европейския съюз в областта на убежището за финансовата 2022 година,</w:t>
      </w:r>
    </w:p>
    <w:p w:rsidR="00FC43F2" w:rsidRPr="000B0108" w:rsidRDefault="00FC43F2" w:rsidP="00FC43F2">
      <w:pPr>
        <w:pStyle w:val="NormalHanging12a"/>
      </w:pPr>
      <w:r w:rsidRPr="000B0108">
        <w:t>–</w:t>
      </w:r>
      <w:r w:rsidRPr="000B0108">
        <w:tab/>
        <w:t>като взе предвид член 100 и приложение V към своя Правилник за дейността,</w:t>
      </w:r>
    </w:p>
    <w:p w:rsidR="00FC43F2" w:rsidRPr="000B0108" w:rsidRDefault="00FC43F2" w:rsidP="00FC43F2">
      <w:pPr>
        <w:pStyle w:val="NormalHanging12a"/>
      </w:pPr>
      <w:r w:rsidRPr="000B0108">
        <w:t>–</w:t>
      </w:r>
      <w:r w:rsidRPr="000B0108">
        <w:tab/>
        <w:t>като взе предвид становището на комисията по граждански свободи, правосъдие и вътрешни работи,</w:t>
      </w:r>
    </w:p>
    <w:p w:rsidR="00FC43F2" w:rsidRPr="000B0108" w:rsidRDefault="00FC43F2" w:rsidP="00FC43F2">
      <w:pPr>
        <w:pStyle w:val="NormalHanging12a"/>
      </w:pPr>
      <w:r w:rsidRPr="000B0108">
        <w:t>–</w:t>
      </w:r>
      <w:r w:rsidRPr="000B0108">
        <w:tab/>
        <w:t>като взе предвид доклада на комисията по бюджетен контрол (A9-0106/2024),</w:t>
      </w:r>
    </w:p>
    <w:p w:rsidR="00FC43F2" w:rsidRPr="000B0108" w:rsidRDefault="00FC43F2" w:rsidP="00FC43F2">
      <w:pPr>
        <w:pStyle w:val="Normal12Hanging"/>
        <w:rPr>
          <w:color w:val="000000" w:themeColor="text1"/>
          <w:szCs w:val="24"/>
          <w:lang w:val="bg-BG"/>
        </w:rPr>
      </w:pPr>
      <w:r w:rsidRPr="000B0108">
        <w:rPr>
          <w:lang w:val="bg-BG"/>
        </w:rPr>
        <w:t>А.</w:t>
      </w:r>
      <w:r w:rsidRPr="000B0108">
        <w:rPr>
          <w:lang w:val="bg-BG"/>
        </w:rPr>
        <w:tab/>
      </w:r>
      <w:r w:rsidRPr="000B0108">
        <w:rPr>
          <w:color w:val="000000" w:themeColor="text1"/>
          <w:lang w:val="bg-BG"/>
        </w:rPr>
        <w:t>като има предвид, че според отчета за приходите и разходите</w:t>
      </w:r>
      <w:r w:rsidRPr="000B0108">
        <w:rPr>
          <w:rStyle w:val="FootnoteReference"/>
          <w:color w:val="000000" w:themeColor="text1"/>
          <w:szCs w:val="24"/>
          <w:lang w:val="bg-BG"/>
        </w:rPr>
        <w:footnoteReference w:id="13"/>
      </w:r>
      <w:r w:rsidRPr="000B0108">
        <w:rPr>
          <w:color w:val="000000" w:themeColor="text1"/>
          <w:lang w:val="bg-BG"/>
        </w:rPr>
        <w:t xml:space="preserve"> на Агенцията на Европейския съюз в областта на убежището („Агенцията“) нейният окончателен бюджет за финансовата 2022 година възлиза на 186 842 192 EUR, което представлява увеличение с 12,46% спрямо 2021 г.; като има предвид, че бюджетът на Агенцията се осигурява основно от бюджета на Съюза;</w:t>
      </w:r>
    </w:p>
    <w:p w:rsidR="00FC43F2" w:rsidRPr="000B0108" w:rsidRDefault="00FC43F2" w:rsidP="00FC43F2">
      <w:pPr>
        <w:pStyle w:val="Normal12Hanging"/>
        <w:rPr>
          <w:color w:val="000000" w:themeColor="text1"/>
          <w:szCs w:val="24"/>
          <w:lang w:val="bg-BG"/>
        </w:rPr>
      </w:pPr>
      <w:r w:rsidRPr="000B0108">
        <w:rPr>
          <w:color w:val="000000" w:themeColor="text1"/>
          <w:lang w:val="bg-BG"/>
        </w:rPr>
        <w:t>Б.</w:t>
      </w:r>
      <w:r w:rsidRPr="000B0108">
        <w:rPr>
          <w:color w:val="000000" w:themeColor="text1"/>
          <w:lang w:val="bg-BG"/>
        </w:rPr>
        <w:tab/>
        <w:t>като има предвид, че през юни 2022 г. Агенцията подписа споразумение за финансов принос с Комисията за изпълнението на етап III от Инструмента за предприсъединителна помощ (ИПП) „Регионална подкрепа на системите за управление на миграцията, отчитащо потребността от защита, в Западните Балкани, фаза III, договор 2“ (наричан по-нататък „ИПП III – Западни Балкани“) на обща стойност 6 милиона евро и период на изпълнение от 47 месеца;</w:t>
      </w:r>
    </w:p>
    <w:p w:rsidR="00FC43F2" w:rsidRPr="000B0108" w:rsidRDefault="00FC43F2" w:rsidP="00FC43F2">
      <w:pPr>
        <w:pStyle w:val="Normal12Hanging"/>
        <w:rPr>
          <w:color w:val="000000" w:themeColor="text1"/>
          <w:szCs w:val="24"/>
          <w:lang w:val="bg-BG"/>
        </w:rPr>
      </w:pPr>
      <w:r w:rsidRPr="000B0108">
        <w:rPr>
          <w:color w:val="000000" w:themeColor="text1"/>
          <w:lang w:val="bg-BG"/>
        </w:rPr>
        <w:t>В.</w:t>
      </w:r>
      <w:r w:rsidRPr="000B0108">
        <w:rPr>
          <w:color w:val="000000" w:themeColor="text1"/>
          <w:lang w:val="bg-BG"/>
        </w:rPr>
        <w:tab/>
        <w:t>като има предвид, че през 2022 г. се наблюдава значително увеличение на бюджета на Агенцията поради разширените задачи съгласно Регламент (ЕС) 2021/2303, като целта е Агенцията да се превърне в център за експертен опит в областта на убежището;</w:t>
      </w:r>
    </w:p>
    <w:p w:rsidR="00FC43F2" w:rsidRPr="000B0108" w:rsidRDefault="00FC43F2" w:rsidP="00FC43F2">
      <w:pPr>
        <w:pStyle w:val="Normal12Hanging"/>
        <w:rPr>
          <w:color w:val="000000" w:themeColor="text1"/>
          <w:szCs w:val="24"/>
          <w:lang w:val="bg-BG"/>
        </w:rPr>
      </w:pPr>
      <w:r w:rsidRPr="000B0108">
        <w:rPr>
          <w:color w:val="000000" w:themeColor="text1"/>
          <w:lang w:val="bg-BG"/>
        </w:rPr>
        <w:t>Г.</w:t>
      </w:r>
      <w:r w:rsidRPr="000B0108">
        <w:rPr>
          <w:color w:val="000000" w:themeColor="text1"/>
          <w:lang w:val="bg-BG"/>
        </w:rPr>
        <w:tab/>
        <w:t>като има предвид, че през 2022 г. в Съюза е имало почти 1 милион лица, търсещи убежище, и около 4 милиона лица, ползващи се с временна закрила;</w:t>
      </w:r>
    </w:p>
    <w:p w:rsidR="00FC43F2" w:rsidRPr="000B0108" w:rsidRDefault="00FC43F2" w:rsidP="00FC43F2">
      <w:pPr>
        <w:spacing w:after="240"/>
        <w:ind w:left="567" w:hanging="567"/>
        <w:rPr>
          <w:color w:val="000000" w:themeColor="text1"/>
          <w:szCs w:val="24"/>
        </w:rPr>
      </w:pPr>
      <w:r w:rsidRPr="000B0108">
        <w:rPr>
          <w:color w:val="000000" w:themeColor="text1"/>
        </w:rPr>
        <w:t>Д.</w:t>
      </w:r>
      <w:r w:rsidRPr="000B0108">
        <w:rPr>
          <w:color w:val="000000" w:themeColor="text1"/>
        </w:rPr>
        <w:tab/>
      </w:r>
      <w:r w:rsidRPr="000B0108">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FC43F2" w:rsidRPr="000B0108" w:rsidRDefault="00FC43F2" w:rsidP="00FC43F2">
      <w:pPr>
        <w:spacing w:after="240"/>
        <w:ind w:left="567" w:hanging="567"/>
        <w:rPr>
          <w:b/>
          <w:i/>
          <w:szCs w:val="24"/>
        </w:rPr>
      </w:pPr>
      <w:r w:rsidRPr="000B0108">
        <w:rPr>
          <w:b/>
          <w:i/>
        </w:rPr>
        <w:t>Бюджетно и финансово управление</w:t>
      </w:r>
    </w:p>
    <w:p w:rsidR="00FC43F2" w:rsidRPr="000B0108" w:rsidRDefault="00FC43F2" w:rsidP="00FC43F2">
      <w:pPr>
        <w:pStyle w:val="NormalHanging12a"/>
        <w:rPr>
          <w:szCs w:val="24"/>
        </w:rPr>
      </w:pPr>
      <w:r w:rsidRPr="000B0108">
        <w:t>1.</w:t>
      </w:r>
      <w:r w:rsidRPr="000B0108">
        <w:tab/>
        <w:t xml:space="preserve">отбелязва, че усилията за контрол на бюджета през финансовата 2022 година са довели до степен на изпълнение на бюджетните кредити за поети задължения за </w:t>
      </w:r>
      <w:r w:rsidRPr="000B0108">
        <w:lastRenderedPageBreak/>
        <w:t>текущата година от 96,23%, което представлява леко намаление с 0,44% спрямо 2021 г. (96,67%); отбелязва, че степента на изпълнение на бюджетните кредити за плащания за текущата година е 89,55%, което представлява намаление с 1,36% спрямо предходната 2021 година (90,91%); отбелязва със загриженост относително високия процент на анулиране (15%) на средствата, пренесени от 2021 г. към 2022 г., като по този начин не е постигната годишната цел на Агенцията за анулиране под 10%;</w:t>
      </w:r>
    </w:p>
    <w:p w:rsidR="00FC43F2" w:rsidRPr="000B0108" w:rsidRDefault="00FC43F2" w:rsidP="00FC43F2">
      <w:pPr>
        <w:pStyle w:val="NormalHanging12a"/>
        <w:rPr>
          <w:szCs w:val="24"/>
        </w:rPr>
      </w:pPr>
      <w:r w:rsidRPr="000B0108">
        <w:t>2.</w:t>
      </w:r>
      <w:r w:rsidRPr="000B0108">
        <w:tab/>
        <w:t xml:space="preserve">подчертава, че през 2022 г. управителният съвет на Агенцията прие две бюджетни изменения; отбелязва в този контекст, че Агенцията е извършила преглед в средата на годината на своя бюджет за 2022 г., в резултат на което е решила да поиска от Комисията допълнителна субсидия в размер на 12 милиона евро за бюджетни кредити за поети задължения и 6 милиона евро за бюджетни кредити за плащания за справяне с допълнителните задачи, произтичащи от хуманитарната криза, предизвикана от незаконното и </w:t>
      </w:r>
      <w:proofErr w:type="spellStart"/>
      <w:r w:rsidRPr="000B0108">
        <w:t>непровокирано</w:t>
      </w:r>
      <w:proofErr w:type="spellEnd"/>
      <w:r w:rsidRPr="000B0108">
        <w:t xml:space="preserve"> руско нашествие в Украйна; отбелязва, че тези суми са били включени в първото бюджетно изменение на Агенцията, прието през септември 2022 г.; изразява съжаление обаче, че извършеният през есента преглед на бюджета и планирането на Агенцията е разкрил непредвидени забавяния в изпълнението на оперативните планове (ОП), свързани с кризата в Украйна, което е довело до отрицателно (второ) бюджетно изменение, прието от управителния съвет през ноември 2022 г., което е намалило бюджетните кредити за плащания с 12 милиона евро; отбелязва на последно място, че бюджетните изменения на Агенцията отразяват и доброволната вноска на Дания (втора вноска от 94 063 EUR) за изпълнението на „Пътната карта за сътрудничество между EASO и Египет“ и първото авансово финансиране (в размер на 2 968 129 EUR) за </w:t>
      </w:r>
      <w:r w:rsidRPr="000B0108">
        <w:rPr>
          <w:color w:val="000000" w:themeColor="text1"/>
        </w:rPr>
        <w:t>ИПП III за Западните Балкани</w:t>
      </w:r>
      <w:r w:rsidRPr="000B0108">
        <w:t>;</w:t>
      </w:r>
    </w:p>
    <w:p w:rsidR="00FC43F2" w:rsidRPr="000B0108" w:rsidRDefault="00FC43F2" w:rsidP="00FC43F2">
      <w:pPr>
        <w:pStyle w:val="NormalHanging12a"/>
        <w:rPr>
          <w:szCs w:val="24"/>
        </w:rPr>
      </w:pPr>
      <w:r w:rsidRPr="000B0108">
        <w:t>3.</w:t>
      </w:r>
      <w:r w:rsidRPr="000B0108">
        <w:tab/>
        <w:t>отбелязва забележката от доклада на Палатата във връзка с вноските на асоциираните към Шенген държави в бюджета на Агенцията, че договореностите, сключени между Съюза и тези държави, които служат като правно основание за изчисляване на тези вноски, са неясни и позволяват различни тълкувания, което води до това, че вноските от всяка асоциирана към Шенген държава (в бюджета на Агенцията) са занижени с около 0,7 милиона евро (7%); това се дължи на използването на формула за изчисление, която Палатата счита за погрешна, тъй като съотношението на вноските се умножава само по размера на субсидията от бюджета на Съюза за дейностите на Агенцията, докато според Палатата тази сума следва да включва и дела на асоциираните към Шенген държави; призовава Комисията да разгледа този въпрос при предстоящите преговори с асоциираните към Шенген държави относно нови споразумения, които ще обхващат участието на асоциираните към Шенген държави в работата на Агенцията, с цел да се гарантира по-голяма яснота в тях;</w:t>
      </w:r>
    </w:p>
    <w:p w:rsidR="00FC43F2" w:rsidRPr="000B0108" w:rsidRDefault="00FC43F2" w:rsidP="00FC43F2">
      <w:pPr>
        <w:spacing w:after="240"/>
        <w:ind w:left="567" w:hanging="567"/>
        <w:rPr>
          <w:szCs w:val="24"/>
        </w:rPr>
      </w:pPr>
      <w:r w:rsidRPr="000B0108">
        <w:rPr>
          <w:b/>
          <w:i/>
        </w:rPr>
        <w:t>Резултати от дейността</w:t>
      </w:r>
    </w:p>
    <w:p w:rsidR="00FC43F2" w:rsidRPr="000B0108" w:rsidRDefault="00FC43F2" w:rsidP="00FC43F2">
      <w:pPr>
        <w:pStyle w:val="NormalHanging12a"/>
        <w:rPr>
          <w:szCs w:val="24"/>
        </w:rPr>
      </w:pPr>
      <w:r w:rsidRPr="000B0108">
        <w:t>4.</w:t>
      </w:r>
      <w:r w:rsidRPr="000B0108">
        <w:tab/>
        <w:t>отбелязва, че за 2022 г. резултатите на Агенцията са били измерени спрямо 204 годишни цели, от които 48% са надхвърлени, 26% са постигнати, 10% са почти постигнати, 12% са били забавени, а 4% не са приложими;</w:t>
      </w:r>
    </w:p>
    <w:p w:rsidR="00FC43F2" w:rsidRPr="000B0108" w:rsidRDefault="00FC43F2" w:rsidP="00FC43F2">
      <w:pPr>
        <w:pStyle w:val="NormalHanging12a"/>
        <w:rPr>
          <w:szCs w:val="24"/>
        </w:rPr>
      </w:pPr>
      <w:r w:rsidRPr="000B0108">
        <w:t>5.</w:t>
      </w:r>
      <w:r w:rsidRPr="000B0108">
        <w:tab/>
        <w:t xml:space="preserve">приветства Агенцията за значителния напредък, постигнат през 2022 г. по отношение на пълното прилагане на новите разпоредби на Регламент (ЕС) 2021/2033; отбелязва по-специално въз основа на доклада на Агенцията за </w:t>
      </w:r>
      <w:r w:rsidRPr="000B0108">
        <w:lastRenderedPageBreak/>
        <w:t>последващите действия във връзка с освобождаването от отговорност за бюджета за финансовата 2021 година (наричан по-долу „доклад за последващите действия“), че Агенцията е създала консултативния форум (КФ), както и резерва в областта на убежището, който в средата на юни 2023 г. включва вече 360 експерти, одобрени от държавите членки (от общо 500, както се изисква от посочения регламент), и е провела процеса на назначаване на своя служител по въпросите на основните права, който встъпи в длъжност през май 2023 г., както и консултации със заинтересованите страни с оглед на изготвянето и приемането на механизма за подаване на жалби; отбелязва по отношение на механизма за мониторинг, че методологията и програмата са в процес на разработване, като приемането им е планирано за първото тримесечие на 2024 г., последвано от пилотен мониторинг;</w:t>
      </w:r>
    </w:p>
    <w:p w:rsidR="00FC43F2" w:rsidRPr="000B0108" w:rsidRDefault="00FC43F2" w:rsidP="00FC43F2">
      <w:pPr>
        <w:pStyle w:val="NormalHanging12a"/>
        <w:rPr>
          <w:szCs w:val="24"/>
        </w:rPr>
      </w:pPr>
      <w:r w:rsidRPr="000B0108">
        <w:t>6.</w:t>
      </w:r>
      <w:r w:rsidRPr="000B0108">
        <w:tab/>
        <w:t>отбелязва по отношение на областта на дейност, която обхваща разполагането на служители за връзка в държавите членки и трети държави, че ограничените човешки ресурси са накарали Агенцията да групира държавите членки, като един служител за връзка обслужва до четири държави членки, и че липсва график за разполагането на служители за връзка в трети държави; признава нуждата на Агенцията от допълнителни ресурси за пълно прилагане на изискванията на Регламент (ЕС) 2021/2303 в тази област и подновява призива си към Комисията да отразява по-добре оперативните нужди на Агенцията, когато взема решения относно бъдещите щатни разписания;</w:t>
      </w:r>
    </w:p>
    <w:p w:rsidR="00FC43F2" w:rsidRPr="000B0108" w:rsidRDefault="00FC43F2" w:rsidP="00FC43F2">
      <w:pPr>
        <w:pStyle w:val="NormalHanging12a"/>
        <w:rPr>
          <w:szCs w:val="24"/>
        </w:rPr>
      </w:pPr>
      <w:r w:rsidRPr="000B0108">
        <w:t>7.</w:t>
      </w:r>
      <w:r w:rsidRPr="000B0108">
        <w:tab/>
        <w:t xml:space="preserve">отчита, че през 2022 г. Агенцията е била изправена пред нови задачи и многобройни предизвикателства поради незаконното руско нашествие в Украйна; отбелязва в този контекст, че по искане на съответните национални органи Агенцията е разширила дейността си и е обхванала шест допълнителни държави членки, като в резултат съществуват оперативни планове в общо 14 държави членки; поздравява Агенцията, че освен това подпомага тези държави членки при прилагането на Директивата за временната закрила; отбелязва също така, че Агенцията е подкрепила програма за доброволен трансфер, която подпомага лица, бягащи от Украйна, да се преместят в Съюза и да кандидатстват за временна закрила, провела е обучения на националните администрации относно Директивата за временната закрила, разработила е специфични за всяка държава комуникационни продукти (брошури, листовки и плакати) с адаптирана информация относно временната закрила, засилила е изготвянето на ситуационни анализи и за първи път е разположила служители в държава извън Съюза (Молдова); освен това оценява силния ангажимент на Агенцията към външното измерение на общата европейска система за убежище (ОЕСУ) в подкрепа на </w:t>
      </w:r>
      <w:proofErr w:type="spellStart"/>
      <w:r w:rsidRPr="000B0108">
        <w:t>презаселването</w:t>
      </w:r>
      <w:proofErr w:type="spellEnd"/>
      <w:r w:rsidRPr="000B0108">
        <w:t xml:space="preserve"> на 585 души в държавите от ЕС+ чрез подпомагане на 13 мисии за подбор и 3 мисии преди заминаване;</w:t>
      </w:r>
    </w:p>
    <w:p w:rsidR="00FC43F2" w:rsidRPr="000B0108" w:rsidRDefault="00FC43F2" w:rsidP="00FC43F2">
      <w:pPr>
        <w:pStyle w:val="NormalHanging12a"/>
      </w:pPr>
      <w:r w:rsidRPr="000B0108">
        <w:t>8.</w:t>
      </w:r>
      <w:r w:rsidRPr="000B0108">
        <w:tab/>
        <w:t xml:space="preserve">подчертава, наред с други постижения за 2022 г., че Агенцията е създала около 3000 страници продукти, свързани с държави на произход, разгледала е над 1000 индивидуални медицински искания, свързани с медицинските дейности на Агенцията в областта на държавите на произход, провела е обучения за рекорден брой от общо 13000 участници и е публикувала и/или актуализирала ръководства по държави (относно Сомалия, Афганистан и Ирак); приветства Агенцията също така за подпомагането на държавите от Западните Балкани чрез осигуряване на изграждане на институционален капацитет, обучение и наставничество на работното място относно основните процедури за предоставяне на убежище в </w:t>
      </w:r>
      <w:r w:rsidRPr="000B0108">
        <w:lastRenderedPageBreak/>
        <w:t>Албания, Босна и Херцеговина, Косово, Черна гора, Северна Македония и Сърбия;</w:t>
      </w:r>
    </w:p>
    <w:p w:rsidR="00FC43F2" w:rsidRPr="000B0108" w:rsidRDefault="00FC43F2" w:rsidP="00FC43F2">
      <w:pPr>
        <w:pStyle w:val="NormalHanging12a"/>
        <w:rPr>
          <w:b/>
          <w:i/>
        </w:rPr>
      </w:pPr>
      <w:r w:rsidRPr="000B0108">
        <w:rPr>
          <w:b/>
          <w:i/>
        </w:rPr>
        <w:t>Ефикасност и успехи</w:t>
      </w:r>
    </w:p>
    <w:p w:rsidR="00FC43F2" w:rsidRPr="000B0108" w:rsidRDefault="00FC43F2" w:rsidP="00FC43F2">
      <w:pPr>
        <w:pStyle w:val="NormalHanging12a"/>
      </w:pPr>
      <w:r w:rsidRPr="000B0108">
        <w:t>9.</w:t>
      </w:r>
      <w:r w:rsidRPr="000B0108">
        <w:tab/>
        <w:t xml:space="preserve">отбелязва, че Агенцията си сътрудничи с няколко агенции в областта на правосъдието и вътрешните работи (напр. </w:t>
      </w:r>
      <w:proofErr w:type="spellStart"/>
      <w:r w:rsidRPr="000B0108">
        <w:t>Frontex</w:t>
      </w:r>
      <w:proofErr w:type="spellEnd"/>
      <w:r w:rsidRPr="000B0108">
        <w:t xml:space="preserve">, </w:t>
      </w:r>
      <w:proofErr w:type="spellStart"/>
      <w:r w:rsidRPr="000B0108">
        <w:t>eu</w:t>
      </w:r>
      <w:proofErr w:type="spellEnd"/>
      <w:r w:rsidRPr="000B0108">
        <w:t xml:space="preserve">-LISA, FRA, CEPOL) във връзка с продукти за ситуационна осведоменост, подкрепа за посрещане на оперативните предизвикателства (включително разположения персонал), обучение и обмен на информация, както и обучение и изграждане на капацитет и др.; подчертава значението на сътрудничеството за правилното разпределение на ресурсите; отбелязва освен това, че въз основа на споразумение за нивото на обслужване </w:t>
      </w:r>
      <w:proofErr w:type="spellStart"/>
      <w:r w:rsidRPr="000B0108">
        <w:t>eu</w:t>
      </w:r>
      <w:proofErr w:type="spellEnd"/>
      <w:r w:rsidRPr="000B0108">
        <w:t xml:space="preserve">-LISA </w:t>
      </w:r>
      <w:proofErr w:type="spellStart"/>
      <w:r w:rsidRPr="000B0108">
        <w:t>хоства</w:t>
      </w:r>
      <w:proofErr w:type="spellEnd"/>
      <w:r w:rsidRPr="000B0108">
        <w:t xml:space="preserve"> сайта за възстановяване на логическата ИКТ инфраструктура и комуникациите на Агенцията; насърчава Агенцията да продължи да проучва начини за обмен на най-добри практики и възможности, в рамките на новия си мандат, за споделяне на ресурси и по-нататъшно развитие на полезните взаимодействия с други агенции в области от взаимен интерес с цел подобряване на ефективността;</w:t>
      </w:r>
    </w:p>
    <w:p w:rsidR="00FC43F2" w:rsidRPr="000B0108" w:rsidRDefault="00FC43F2" w:rsidP="00FC43F2">
      <w:pPr>
        <w:pStyle w:val="NormalHanging12a"/>
      </w:pPr>
      <w:r w:rsidRPr="000B0108">
        <w:t>10.</w:t>
      </w:r>
      <w:r w:rsidRPr="000B0108">
        <w:tab/>
        <w:t>приветства мерките на Агенцията, предприети през 2022 г. за повишаване на ефективността и опростяването, като например намаляване на процедурни стъпки, автоматизация на повтарящи се задачи и въвеждане на организационен модел за предоставяне на хоризонтални услуги, който доближава административния експертен опит до точката на ползване чрез дистанционно присъствие, присъствие на място или хибридно присъствие, като по този начин е от полза за операции на държавите в области като финансово иницииране на трансакции, подкрепа в областта на ИКТ, правна подкрепа и управление на съоръжения; приветства повишената ефективност на Агенцията да гарантира сигурността на персонала при операции в повече държави, като използва същите ресурси като през 2021 г.; отбелязва освен това, че Агенцията е осъществила няколко действия, насочени към подобряване на ефективността в областта на киберсигурността (напр. чрез автоматизиран работен процес за реагиране при инциденти), възлагането на обществени поръчки (чрез определяне на координационни звена за най-често закупуваните стоки и услуги, за да се повиши качеството и навременността на процедурите и да се предостави подкрепа от ранните етапи на възлагането на обществени поръчки), ИКТ (чрез предоставяне на потребителите на единна референтна точка относно статуса на техните искания) и човешки ресурси (чрез отваряне на първите модули SYSPER относно самоличността, организацията, полагащото грижи лице, личните данни и управлението на времето, наред с другото, както и система за регистрация на заявки за човешки ресурси за услуги за подкрепа, предоставяни на всички служители на Агенцията); приканва Агенцията да приложи изцяло инструмента на Комисията за управление на обществените поръчки; отбелязва въз основа на консолидирания отчет за дейността на Агенцията за 2022 г. („CAAR за 2022 г.“) подновено увеличение на дела на ресурсите, разпределени за оперативните дейности на Агенцията, което съответства на 79,13% през 2022 г. (в сравнение със 72,14% през 2021 г. и 68,68% през 2020 г.);</w:t>
      </w:r>
    </w:p>
    <w:p w:rsidR="00FC43F2" w:rsidRPr="000B0108" w:rsidRDefault="00FC43F2" w:rsidP="00FC43F2">
      <w:pPr>
        <w:pStyle w:val="NormalHanging12a"/>
      </w:pPr>
      <w:r w:rsidRPr="000B0108">
        <w:t>11.</w:t>
      </w:r>
      <w:r w:rsidRPr="000B0108">
        <w:tab/>
        <w:t xml:space="preserve">отбелязва със съжаление въз основа на доклада на Палатата, че Агенцията не е сред агенциите, които са изготвили корпоративни планове за подобряване на енергийната ефективност и неутралността по отношение на климата на своите </w:t>
      </w:r>
      <w:r w:rsidRPr="000B0108">
        <w:lastRenderedPageBreak/>
        <w:t>дейности, включили са някаква форма на докладване в областта на околната среда в своите годишни отчети за дейността и са получили регистрация по EMAS; въпреки това подчертава въз основа на отговорите на Агенцията на въпросите на Парламента с искане за писмен отговор, че през 2022 г. Агенцията е започнала първия етап от подготовката за разработването и прилагането на система за управление на околната среда и е предприела подготвителни действия за следващите етапи от нея; насърчава Агенцията да продължи да участва в дейности за изграждане на капацитет и да си сътрудничи с други агенции и институции на Съюза с цел ускоряване на процеса на сертифициране по EMAS на Агенцията; подчертава, че Агенцията включва екологични аспекти в техническите спецификации или критериите за възлагане, напр. за договори за строителство, услуги за хранене в стола, услуги по почистване и др.; призовава Агенцията също да обмисли разработването на своята политика за екологосъобразни обществени поръчки;</w:t>
      </w:r>
      <w:r w:rsidRPr="000B0108">
        <w:rPr>
          <w:b/>
          <w:i/>
        </w:rPr>
        <w:t> </w:t>
      </w:r>
      <w:r w:rsidRPr="000B0108">
        <w:t>приканва настоятелно Агенцията да обмисли прилагането на междинни устойчиви и енергийно ефективни решения както за своята инфраструктура, така и за вътрешните си процеси, като например засилено използване на цифрови инструменти и управление на документи;</w:t>
      </w:r>
    </w:p>
    <w:p w:rsidR="00FC43F2" w:rsidRPr="000B0108" w:rsidRDefault="00FC43F2" w:rsidP="00FC43F2">
      <w:pPr>
        <w:spacing w:after="240"/>
        <w:ind w:left="567" w:hanging="567"/>
        <w:rPr>
          <w:b/>
          <w:i/>
          <w:szCs w:val="24"/>
        </w:rPr>
      </w:pPr>
      <w:r w:rsidRPr="000B0108">
        <w:rPr>
          <w:b/>
          <w:i/>
        </w:rPr>
        <w:t>Политика относно персонала</w:t>
      </w:r>
    </w:p>
    <w:p w:rsidR="00FC43F2" w:rsidRPr="000B0108" w:rsidRDefault="00FC43F2" w:rsidP="00FC43F2">
      <w:pPr>
        <w:pStyle w:val="NormalHanging12a"/>
      </w:pPr>
      <w:r w:rsidRPr="000B0108">
        <w:t>12.</w:t>
      </w:r>
      <w:r w:rsidRPr="000B0108">
        <w:tab/>
        <w:t>отбелязва разпределението по пол в Агенцията – 9 мъже (69%) и 4 жени (31%) на висше и средно управленско равнище (същото разпределение, както през 2021 г.), 27 мъже (48%) и 29 жени (52%) в нейния управителен съвет (по-добро разпределение в сравнение с 2021 г.) и 203 мъже (39%) и 316 жени (61%) от общия брой служители (същото разпределение като през 2021 г.); припомня, че е важно да се осигури баланс между половете сред служителите, и призовава Агенцията да взема предвид този аспект при бъдещо набиране и назначаване на служители за висшето и средното си ръководство; отбелязва със задоволство ангажимента на Агенцията да включи в предстоящата си стратегия в областта на човешките ресурси действия, които ще дадат приоритет на насърчаването на представителството на половете и многообразието в Агенцията, и да насърчава програми за развитие на лидерството, съобразени с бъдещите ръководители; приканва Агенцията да докладва на органа по освобождаване от отговорност относно изпълнението на този ангажимент;</w:t>
      </w:r>
    </w:p>
    <w:p w:rsidR="00FC43F2" w:rsidRPr="000B0108" w:rsidRDefault="00FC43F2" w:rsidP="00FC43F2">
      <w:pPr>
        <w:pStyle w:val="NormalHanging12a"/>
        <w:rPr>
          <w:szCs w:val="24"/>
        </w:rPr>
      </w:pPr>
      <w:r w:rsidRPr="000B0108">
        <w:t>13.</w:t>
      </w:r>
      <w:r w:rsidRPr="000B0108">
        <w:tab/>
        <w:t>отбелязва, че към 31 декември 2022 г. щатното разписание е било изпълнено на 90% (87% през 2021 г.), като са били запълнени 333 от общо 371-те щатни позиции за срочно наети служители, разрешени в бюджета на Съюза, (спрямо 366 разрешени позиции през 2021 г.); приветства подновеното увеличение на процента на запълване на длъжностите на Агенцията; изразява съжаление относно увеличаването на текучеството в Агенцията от 4,1% през 2021 г. на 8,2% през 2022 г.; отбелязва, че освен това през 2022 г. за Агенцията са работили 184 договорно наети служители и 10 командировани национални експерти; подчертава, че в контекста на войната в Украйна и прилагането на Директивата за временната закрила Комисията предостави на Агенцията 90 краткосрочни позиции за договорно наети служители за период от две години; отбелязва, че през 2022 г. Агенцията е публикувала 29 свободни работни места и е публикувала 138 предложения за работа за срочно и договорно наети служители;</w:t>
      </w:r>
    </w:p>
    <w:p w:rsidR="00FC43F2" w:rsidRPr="000B0108" w:rsidRDefault="00FC43F2" w:rsidP="00FC43F2">
      <w:pPr>
        <w:pStyle w:val="NormalHanging12a"/>
      </w:pPr>
      <w:r w:rsidRPr="000B0108">
        <w:t>14.</w:t>
      </w:r>
      <w:r w:rsidRPr="000B0108">
        <w:tab/>
        <w:t xml:space="preserve">приветства политиката на Агенцията за защита на личното достойнство и предотвратяване на психическия и сексуалния тормоз, прилагането на правилата </w:t>
      </w:r>
      <w:r w:rsidRPr="000B0108">
        <w:lastRenderedPageBreak/>
        <w:t xml:space="preserve">на Комисията относно провеждането на административни разследвания и дисциплинарни производства и вътрешните насоки относно исканията за помощ съгласно член 24 от Правилника за длъжностните лица на Съюза; отбелязва въз основа на отговорите на Агенцията на въпросите на Парламента с искане за писмен отговор, че през 2022 г. Агенцията е получила сведения за три случая на тормоз, два от които са били отхвърлени, тъй като не е имало </w:t>
      </w:r>
      <w:proofErr w:type="spellStart"/>
      <w:r w:rsidRPr="000B0108">
        <w:t>prima</w:t>
      </w:r>
      <w:proofErr w:type="spellEnd"/>
      <w:r w:rsidRPr="000B0108">
        <w:t xml:space="preserve"> </w:t>
      </w:r>
      <w:proofErr w:type="spellStart"/>
      <w:r w:rsidRPr="000B0108">
        <w:t>facie</w:t>
      </w:r>
      <w:proofErr w:type="spellEnd"/>
      <w:r w:rsidRPr="000B0108">
        <w:t xml:space="preserve"> доказателства за тормоз, и приключени без по-нататъшни действия, докато в третия случай е започнато административно разследване; призовава Агенцията да информира редовно органа по освобождаване от отговорност относно резултата от това разследване; отбелязва със задоволство, че вследствие на препоръка, отправена от Службата за вътрешен одит на Комисията (IAS), през април 2023 г. Агенцията е приела насоки относно административните разследвания и дисциплинарните процедури; подчертава значението на наличието на стабилни рамки за борба с тормоза, особено в силно стресираща и трудна работна среда; приканва Агенцията да въведе схема за обучение по този въпрос както за </w:t>
      </w:r>
      <w:proofErr w:type="spellStart"/>
      <w:r w:rsidRPr="000B0108">
        <w:t>новопостъпилите</w:t>
      </w:r>
      <w:proofErr w:type="spellEnd"/>
      <w:r w:rsidRPr="000B0108">
        <w:t>, така и за действащите служители;</w:t>
      </w:r>
    </w:p>
    <w:p w:rsidR="00FC43F2" w:rsidRPr="000B0108" w:rsidRDefault="00FC43F2" w:rsidP="00FC43F2">
      <w:pPr>
        <w:pStyle w:val="NormalHanging12a"/>
      </w:pPr>
      <w:r w:rsidRPr="000B0108">
        <w:t>15.</w:t>
      </w:r>
      <w:r w:rsidRPr="000B0108">
        <w:tab/>
        <w:t>отбелязва въз основа на последващите действия на Агенцията във връзка с хоризонталните забележки на Парламента, направени по повод на процедурата по освобождаване от отговорност за изпълнението на бюджета за 2021 г., както и въз основа на доклада за последващите действия на Агенцията, че през последните години (от 2019 г.) Агенцията използва услугите на външна адвокатска кантора (специализирана в областта на правото на публичната служба на Съюза) при разглеждането на случаи на предполагаем тормоз (т.е. искания за помощ съгласно член 24 от Правилника за длъжностните лица на Съюза); отбелязва в този контекст, че отделът за правни услуги на Агенцията извършва оценка, за да определи дали е необходимо да се поиска подкрепа или съвет от външна адвокатска кантора, и че този отдел управлява съответната процедура и си сътрудничи с отдела за човешки ресурси на Агенцията във всички тези случаи;</w:t>
      </w:r>
    </w:p>
    <w:p w:rsidR="00FC43F2" w:rsidRPr="000B0108" w:rsidRDefault="00FC43F2" w:rsidP="00FC43F2">
      <w:pPr>
        <w:pStyle w:val="NormalHanging12a"/>
      </w:pPr>
      <w:r w:rsidRPr="000B0108">
        <w:t>16.</w:t>
      </w:r>
      <w:r w:rsidRPr="000B0108">
        <w:tab/>
        <w:t xml:space="preserve">припомня констатацията на Палатата, че през 2020 г. Агенцията е имала 16 свободни ръководни длъжности, като 10 от тях са били заети от изпълняващи длъжността лица в продължение на над една година, както и други проблеми в щатното разписание на Агенцията, като напр. изпълняващи длъжността ръководители да заемат две длъжности; отбелязва със задоволство въз основа на доклада за последващите действия на Агенцията действията за смекчаване на последиците, които тя е предприела с цел спазване на член 7, параграф 2 от Правилника за длъжностните лица на Съюза, първо чрез намаляване на броя на временно заемащите ръководни длъжности за повече от една година на двама души в края на 2022 г., а считано от 2023 г. – чрез пълно прекратяване, което означава, че вече няма лица, които временно заемат ръководни длъжности за повече от една година; приветства ангажимента на Агенцията да даде приоритет на набирането на лица за ръководни длъжности; приветства Агенцията за напредъка, постигнат през 2022 г. и 2023 г. по отношение на процедурите за набиране на персонал за различни средни и висши ръководни длъжности, включително тази на заместник изпълнителния директор, като има предвид, че според доклада за последващите действия на Агенцията две процедури за подбор са приключени, а девет процедури за подбор са в ход или не са приключени; на последно място отбелязва въз основа на уебсайта на Агенцията, че към 15 януари 2024 г. ръководителят на Административния център на Агенцията е лице на временна позиция, а ръководителят на Центъра за институционални и </w:t>
      </w:r>
      <w:r w:rsidRPr="000B0108">
        <w:lastRenderedPageBreak/>
        <w:t>хоризонтални въпроси на Агенцията е изпълняващ длъжността; отбелязва, че процедурата за подбор на ръководител на Административния център е в ход и се очаква да приключи през първото тримесечие на 2024 г.; отбелязва освен това, че процедурата за подбор на ръководител на Центъра за институционални и хоризонтални въпроси е в ход и се очаква да приключи през първото тримесечие на 2024 г.; призовава Агенцията да информира редовно органа по освобождаване от отговорност относно резултата от всички тези процедури;</w:t>
      </w:r>
    </w:p>
    <w:p w:rsidR="00FC43F2" w:rsidRPr="000B0108" w:rsidRDefault="00FC43F2" w:rsidP="00FC43F2">
      <w:pPr>
        <w:pStyle w:val="NormalHanging12a"/>
        <w:rPr>
          <w:szCs w:val="24"/>
        </w:rPr>
      </w:pPr>
      <w:r w:rsidRPr="000B0108">
        <w:t>17.</w:t>
      </w:r>
      <w:r w:rsidRPr="000B0108">
        <w:tab/>
        <w:t>подчертава, че действията за смекчаване на последиците, предприети от Агенцията с цел спазване на член 7, параграф 2 от Правилника за длъжностните лица на Съюза, мисията за установяване на фактите, проведена от Службата за вътрешен одит през октомври 2022 г., работата на място на Палатата за одита на финансовата 2022 година, съответните забележки на Парламента, отправени към Агенцията в резолюцията на Парламента за освобождаване от отговорност във връзка с изпълнението на бюджета за 2021 г., както и (продължаващото) разследване, започнато от Европейската служба за борба с измамите (OLAF) на 24 ноември 2022 г., също са вследствие на получено анонимно електронно писмо, което съдържа множество твърдения, наред с другото, за свързани с персонала нередности, причинени от целия висш ръководен екип на Агенцията; призовава за пълно сътрудничество на Агенцията с OLAF при текущото разследване; отбелязва въз основа на годишния доклад за дейността за 2022 г. заключенията на Палатата, че изчисляването на надбавките за степента на временно заемане на ръководни длъжности е законосъобразно и редовно, докато временното заемане на длъжности за над една година не е било правилно, без това да доведе до нередовни плащания; призовава Агенцията да информира органа по освобождаване от отговорност относно напредъка и етапите на разследването;</w:t>
      </w:r>
    </w:p>
    <w:p w:rsidR="00FC43F2" w:rsidRPr="000B0108" w:rsidRDefault="00FC43F2" w:rsidP="00FC43F2">
      <w:pPr>
        <w:pStyle w:val="NormalHanging12a"/>
      </w:pPr>
      <w:r w:rsidRPr="000B0108">
        <w:t>18.</w:t>
      </w:r>
      <w:r w:rsidRPr="000B0108">
        <w:tab/>
        <w:t xml:space="preserve">изразява загриженост относно вътрешното управление и вътрешните процедури на Агенцията, като се има предвид, че през 2022 г. OLAF започна разследване на политиките в областта на управлението и на персонала, с предполагаеми случаи на </w:t>
      </w:r>
      <w:proofErr w:type="spellStart"/>
      <w:r w:rsidRPr="000B0108">
        <w:t>непотизъм</w:t>
      </w:r>
      <w:proofErr w:type="spellEnd"/>
      <w:r w:rsidRPr="000B0108">
        <w:t xml:space="preserve">, както и разследване, свързано с неспазване на правата на човека; отново призовава Агенцията да сътрудничи изцяло на разследващия орган и своевременно да информира органа по освобождаване от отговорност относно резултатите и </w:t>
      </w:r>
      <w:proofErr w:type="spellStart"/>
      <w:r w:rsidRPr="000B0108">
        <w:t>корективните</w:t>
      </w:r>
      <w:proofErr w:type="spellEnd"/>
      <w:r w:rsidRPr="000B0108">
        <w:t xml:space="preserve"> мерки;</w:t>
      </w:r>
    </w:p>
    <w:p w:rsidR="00FC43F2" w:rsidRPr="000B0108" w:rsidRDefault="00FC43F2" w:rsidP="00FC43F2">
      <w:pPr>
        <w:spacing w:after="240"/>
        <w:ind w:left="567" w:hanging="567"/>
      </w:pPr>
      <w:r w:rsidRPr="000B0108">
        <w:t>19.</w:t>
      </w:r>
      <w:r w:rsidRPr="000B0108">
        <w:tab/>
        <w:t xml:space="preserve">припомня, че през 2018 г. OLAF приключи друго разследване, което доведе до констатации, свързани напр. с лошото управление на човешките ресурси, оставката на тогавашния изпълнителен директор на Агенцията и приемането от управителния съвет на Агенцията на план за действие за управление, насочен към възстановяване на доверието във вътрешен и външен план, укрепване на управленската структура и възстановяване на вътрешния капацитет; отбелязва, че в своя годишен доклад Палатата е приключила и е счела за разгледана констатацията относно големия брой незаети ръководни длъжности, както и проблемите, свързани с несигурността на равнището на ръководните длъжности, които може да са засегнали ръководството на Агенцията и нейната стратегическа приемственост; отчита, че съгласно член 41, параграф 1, буква у) от Регламента за Агенцията на Европейския съюз в областта на убежището управителният съвет взема всички решения относно създаването на вътрешните структури на Агенцията, а Комисията като член на управителния съвет на Агенцията редовно упражнява надзор върху реорганизациите на Агенцията; отбелязва при все това, че въпреки реорганизациите, извършени от Агенцията през последните години, </w:t>
      </w:r>
      <w:r w:rsidRPr="000B0108">
        <w:lastRenderedPageBreak/>
        <w:t xml:space="preserve">все още изглежда, че съществуват проблеми, както посочва анонимното писмо от януари 2023 г.; отбелязва заключенията на Палатата за финансовата 2022 година въз основа на </w:t>
      </w:r>
      <w:proofErr w:type="spellStart"/>
      <w:r w:rsidRPr="000B0108">
        <w:t>корективните</w:t>
      </w:r>
      <w:proofErr w:type="spellEnd"/>
      <w:r w:rsidRPr="000B0108">
        <w:t xml:space="preserve"> действия, предприети от Агенцията; в този контекст призовава Комисията да намери решения за извършването на независима оценка на неотдавнашните реорганизации на Агенцията и очаква текущият одит от IAS на управлението на човешките ресурси да предостави съответна оценка относно степента, в която настоящата организационна структура и разпределението на отговорностите между средните и висшите ръководни длъжности на Агенцията са изложени на риск от неефективност, лошо управление на човешките ресурси и липса на прозрачност (включително по отношение на управителния съвет на Агенцията), наред с другото;</w:t>
      </w:r>
    </w:p>
    <w:p w:rsidR="00FC43F2" w:rsidRPr="000B0108" w:rsidRDefault="00FC43F2" w:rsidP="00FC43F2">
      <w:pPr>
        <w:pStyle w:val="NormalHanging12a"/>
        <w:rPr>
          <w:szCs w:val="24"/>
        </w:rPr>
      </w:pPr>
      <w:r w:rsidRPr="000B0108">
        <w:t>20.</w:t>
      </w:r>
      <w:r w:rsidRPr="000B0108">
        <w:tab/>
        <w:t>отбелязва със загриженост, че Агенцията не е приела „Харта за многообразие и приобщаване“, нито е докладвала за мерки, предприети за интеграцията на хората с увреждания; припомня, че Хартата на основните права на Съюза забранява дискриминацията, основана на увреждане, и признава правото на хората с увреждания да се ползват от мерки, гарантиращи тяхната автономност, социалната и професионалната им интеграция и участието им в живота на общността; отбелязва обаче ангажимента на Агенцията да обърне внимание на тези области чрез мерки, които ще бъдат приложени след приемането на предстоящата стратегия за човешките ресурси; отбелязва освен това, че Агенцията е предприела инициативи и е въвела различни мерки за подобряване на благосъстоянието на своите служители на работното място и равновесието между професионалния и личния живот, като например целенасочени курсове за обучение, споразумения за нивото на обслужване с доставчиците на грижи за деца и училищата, служба за психологическа и социална подкрепа, кампании за повишаване на осведомеността, както и дейности в свободното време;</w:t>
      </w:r>
    </w:p>
    <w:p w:rsidR="00FC43F2" w:rsidRPr="000B0108" w:rsidRDefault="00FC43F2" w:rsidP="00FC43F2">
      <w:pPr>
        <w:pStyle w:val="NormalHanging12a"/>
        <w:rPr>
          <w:b/>
          <w:i/>
          <w:szCs w:val="24"/>
        </w:rPr>
      </w:pPr>
      <w:r w:rsidRPr="000B0108">
        <w:rPr>
          <w:b/>
          <w:i/>
        </w:rPr>
        <w:t>Обществени поръчки</w:t>
      </w:r>
    </w:p>
    <w:p w:rsidR="00FC43F2" w:rsidRPr="000B0108" w:rsidRDefault="00FC43F2" w:rsidP="00FC43F2">
      <w:pPr>
        <w:pStyle w:val="NormalHanging12a"/>
        <w:rPr>
          <w:szCs w:val="24"/>
        </w:rPr>
      </w:pPr>
      <w:r w:rsidRPr="000B0108">
        <w:t>21.</w:t>
      </w:r>
      <w:r w:rsidRPr="000B0108">
        <w:tab/>
        <w:t xml:space="preserve">припомня забележките на Палатата за финансовите години 2017 и 2020, според които процедурите за обществени поръчки за наем на помещения в Лесбос и Рим са нередовни поради недостатъчна конкуренция и неспазване на принципа на икономичност; отбелязва въз основа на доклада на Палатата, че всички последващи плащания, извършени във връзка с тези процедури, са нередовни, включително свързаните с тях плащания в размер на 281 095 EUR през 2022 г.; отбелязва със задоволство въз основа на доклада на Палатата </w:t>
      </w:r>
      <w:proofErr w:type="spellStart"/>
      <w:r w:rsidRPr="000B0108">
        <w:t>корективните</w:t>
      </w:r>
      <w:proofErr w:type="spellEnd"/>
      <w:r w:rsidRPr="000B0108">
        <w:t xml:space="preserve"> действия, предприети от Агенцията, съгласно които договорите за наем на помещенията в Лесбос и Рим изтичат съответно на 30 април 2023 г. и 31 юли 2023 г.; отбелязва въз основа на годишния доклад за дейността за 2022 г., че се търси устойчиво решение за наема в Лесбос в сътрудничество с гръцките органи;</w:t>
      </w:r>
    </w:p>
    <w:p w:rsidR="00FC43F2" w:rsidRPr="000B0108" w:rsidRDefault="00FC43F2" w:rsidP="00FC43F2">
      <w:pPr>
        <w:pStyle w:val="NormalHanging12a"/>
        <w:rPr>
          <w:szCs w:val="24"/>
        </w:rPr>
      </w:pPr>
      <w:r w:rsidRPr="000B0108">
        <w:t>22.</w:t>
      </w:r>
      <w:r w:rsidRPr="000B0108">
        <w:tab/>
        <w:t xml:space="preserve">отбелязва забележката от доклада на Палатата, че Агенцията е закупила ИТ оборудване от онлайн каталога на доставчик, вместо от предварително одобрения ценоразпис, включен във финансовите и техническите оферти, което води до по-висока с 44% покупна цена (равностойна на сумата от 49 224 EUR, която Палатата счита за нередовна), отколкото би била, ако беше базирана на предварително одобрения ценоразпис; отбелязва въз основа на отговора на Агенцията, че решението за закупуване на тези артикули е било наложено от оперативните нужди и неотложността, както и от ограничената наличност на пазара на ИТ консумативи, и че са били разработени подходящи проверки, за да се осигури </w:t>
      </w:r>
      <w:r w:rsidRPr="000B0108">
        <w:lastRenderedPageBreak/>
        <w:t>достатъчна увереност, че закупуването на заместващи артикули от онлайн каталога ще бъде ограничено до цената на съответния артикул, както е посочена в първоначалната оферта на изпълнителя;</w:t>
      </w:r>
    </w:p>
    <w:p w:rsidR="00FC43F2" w:rsidRPr="000B0108" w:rsidRDefault="00FC43F2" w:rsidP="00FC43F2">
      <w:pPr>
        <w:spacing w:after="240"/>
        <w:ind w:left="567" w:hanging="567"/>
        <w:rPr>
          <w:szCs w:val="24"/>
        </w:rPr>
      </w:pPr>
      <w:r w:rsidRPr="000B0108">
        <w:rPr>
          <w:b/>
          <w:i/>
        </w:rPr>
        <w:t>Предотвратяване и управление на конфликти на интереси и прозрачност</w:t>
      </w:r>
    </w:p>
    <w:p w:rsidR="00FC43F2" w:rsidRPr="000B0108" w:rsidRDefault="00FC43F2" w:rsidP="00FC43F2">
      <w:pPr>
        <w:pStyle w:val="NormalHanging12a"/>
        <w:rPr>
          <w:szCs w:val="24"/>
        </w:rPr>
      </w:pPr>
      <w:r w:rsidRPr="000B0108">
        <w:t>23.</w:t>
      </w:r>
      <w:r w:rsidRPr="000B0108">
        <w:tab/>
        <w:t>приветства напредъка, постигнат от Агенцията през 2022 г. в областта на управлението и предотвратяването на конфликти на интереси, и етичните насоки чрез подготвителна работа, довела до приемането през януари 2023 г. на едно решение, приложимо за членовете на управителния съвет на Агенцията и за организациите и компетентните органи, които са членове на консултативния форум на Агенцията, и две решения, приложими за персонала на Агенцията; приветства назначаването на кореспондент по етика на Агенцията, както и ангажимента на Агенцията да включва стандартни текстове относно декларациите за конфликти на интереси в поканите за заседания, които включват външни участници; отбелязва със задоволство, че Агенцията е разработила насоки относно правилата и процедурите след приключване на трудовите правоотношения, приложими за служителите, напускащи Агенцията;</w:t>
      </w:r>
    </w:p>
    <w:p w:rsidR="00FC43F2" w:rsidRPr="000B0108" w:rsidRDefault="00FC43F2" w:rsidP="00FC43F2">
      <w:pPr>
        <w:pStyle w:val="NormalHanging12a"/>
        <w:rPr>
          <w:szCs w:val="24"/>
        </w:rPr>
      </w:pPr>
      <w:r w:rsidRPr="000B0108">
        <w:t>24.</w:t>
      </w:r>
      <w:r w:rsidRPr="000B0108">
        <w:tab/>
        <w:t xml:space="preserve">отбелязва, че декларациите за интереси и автобиографиите на членовете на управителния съвет са публикувани на уебсайта на Агенцията, а така също и декларациите за интереси и автобиографиите на ръководния персонал на Агенцията; отбелязва обаче, че автобиографиите на вътрешните и външните експерти не са достъпни на уебсайта на Агенцията; отбелязва въз основа на отговорите на Агенцията на въпросите на Парламента с искане за писмен отговор, че през 2022 г. няма открити, приключени или текущи случаи на конфликт на интереси или подаване на сигнали за нередности на равнището на Агенцията; приветства Агенцията за поддържането на тесен диалог със съответните организации на гражданското общество, работещи в областта на убежището, чрез консултативния форум на Агенцията, който беше възстановен (116 членове) през юни 2022 г. с нов набор от правила, произтичащи от </w:t>
      </w:r>
      <w:r w:rsidRPr="000B0108">
        <w:rPr>
          <w:color w:val="000000" w:themeColor="text1"/>
        </w:rPr>
        <w:t>Регламент (ЕС) 2021/2303</w:t>
      </w:r>
      <w:r w:rsidRPr="000B0108">
        <w:t>;</w:t>
      </w:r>
    </w:p>
    <w:p w:rsidR="00FC43F2" w:rsidRPr="000B0108" w:rsidRDefault="00FC43F2" w:rsidP="00FC43F2">
      <w:pPr>
        <w:spacing w:after="240"/>
        <w:ind w:left="567" w:hanging="567"/>
        <w:rPr>
          <w:b/>
          <w:i/>
          <w:szCs w:val="24"/>
        </w:rPr>
      </w:pPr>
      <w:r w:rsidRPr="000B0108">
        <w:rPr>
          <w:b/>
          <w:i/>
        </w:rPr>
        <w:t>Вътрешен контрол</w:t>
      </w:r>
    </w:p>
    <w:p w:rsidR="00FC43F2" w:rsidRPr="000B0108" w:rsidRDefault="00FC43F2" w:rsidP="00FC43F2">
      <w:pPr>
        <w:pStyle w:val="NormalHanging12a"/>
        <w:rPr>
          <w:szCs w:val="24"/>
        </w:rPr>
      </w:pPr>
      <w:r w:rsidRPr="000B0108">
        <w:t>25.</w:t>
      </w:r>
      <w:r w:rsidRPr="000B0108">
        <w:tab/>
        <w:t>отбелязва забележката от доклада на Палатата, че три случая на вторично делегиране, които е трябвало да бъдат повторно потвърдени през април 2021 г., са били потвърдени едва през февруари 2022 г., когато положението е било коригирано, вследствие на което Агенцията е нарушила вътрешните си правила, в които се посочва, че вторичното делегиране на финансови органи трябва да бъде подновено веднага след назначаването на нов оправомощен разпоредител с бюджетни кредити;</w:t>
      </w:r>
    </w:p>
    <w:p w:rsidR="00FC43F2" w:rsidRPr="000B0108" w:rsidRDefault="00FC43F2" w:rsidP="00FC43F2">
      <w:pPr>
        <w:pStyle w:val="NormalHanging12a"/>
        <w:rPr>
          <w:szCs w:val="24"/>
        </w:rPr>
      </w:pPr>
      <w:r w:rsidRPr="000B0108">
        <w:t>26.</w:t>
      </w:r>
      <w:r w:rsidRPr="000B0108">
        <w:tab/>
        <w:t xml:space="preserve">приветства постигнатия от Агенцията напредък в изпълнението на препоръките, останали неприключени от предишни одити, извършени от Службата за вътрешен одит и Палатата; отбелязва въз основа на годишния доклад за дейността за 2022 г., че някои препоръки във връзка с одита на IAS от 2020 г. („Управление на човешките ресурси и етика в EASO“) и от 2021 г. („Управление на информационните технологии и управление на ИТ проекти“) все още не са приключени или са значително забавени; отбелязва освен това въз основа на доклада на Палатата, че три препоръки от предишни одити, извършени от Палатата, все още не са приключени: две препоръки по отношение на договорите </w:t>
      </w:r>
      <w:r w:rsidRPr="000B0108">
        <w:lastRenderedPageBreak/>
        <w:t>за наем на помещенията в Лесбос и Рим, за които Агенцията очаква да бъдат счетени за приключени от Палатата през 2024 г., след като през 2023 г. бяха извършени последните (нередовни) плащания, и една препоръка по отношение на установяването от Агенцията на ефективни последващи финансови проверки; в този контекст призовава Агенцията да ускори изпълнението на оставащите корективни действия и да информира органа по освобождаване от отговорност за постигнатия в това отношение напредък;</w:t>
      </w:r>
    </w:p>
    <w:p w:rsidR="00FC43F2" w:rsidRPr="000B0108" w:rsidRDefault="00FC43F2" w:rsidP="00FC43F2">
      <w:pPr>
        <w:pStyle w:val="NormalHanging12a"/>
        <w:rPr>
          <w:szCs w:val="24"/>
        </w:rPr>
      </w:pPr>
      <w:r w:rsidRPr="000B0108">
        <w:t>27.</w:t>
      </w:r>
      <w:r w:rsidRPr="000B0108">
        <w:tab/>
        <w:t>отбелязва, че Агенцията е извършила самооценка на своята система за вътрешен контрол (ICSA) за 2022 г., като е стигнала до заключението, че цялостният контрол функционира, както е предвидено, като 10 принципа са напълно ефективни, а 7 са ефективни, като се има предвид, че са необходими някои подобрения на равнището на компонентите „Контролна среда“, „Контролни дейности“ и „Дейности за мониторинг“; подчертава освен това, че през 2022 г. е била приложена основана на риска стратегия за последващ финансов контрол въз основа на извадки от трансакции и операции по възлагане на обществени поръчки, обхващащи две финансови години (2020 – 2021 г.); отбелязва въз основа на годишния доклад за дейността за 2022 г., че резултатите от тези проверки включват 44 забележки и 122 предложени корективни действия; отбелязва, че като част от дейността на ICSA за 2022 г. през първото тримесечие на 2023 г. Агенцията е извършила проверки на актуалното състояние на изпълнението на тези 122 (предварително договорени) корективни действия, от които само 45 корективни действия (40%) са били своевременно и адекватно изпълнени от съответните собственици на предприятия; призовава Агенцията да обърне внимание на всички неизпълнени корективни действия и да информира органа по освобождаване от отговорност за напредъка, постигнат по този въпрос; отбелязва със задоволство, че Агенцията представя по прозрачен начин (приложение IX към годишния доклад за дейността за 2022 г.) подробностите и актуалното състояние на установените недостатъци и договорените корективни действия, произтичащи от различни източници (управление на изключенията и случаите на неспазване, критерии за мониторинг на вътрешния контрол, системи за вътрешен контрол, предварителен и последващ финансов контрол, одитни доклади, управление на риска и др.);</w:t>
      </w:r>
    </w:p>
    <w:p w:rsidR="00FC43F2" w:rsidRPr="000B0108" w:rsidRDefault="00FC43F2" w:rsidP="00FC43F2">
      <w:pPr>
        <w:pStyle w:val="NormalHanging12a"/>
        <w:rPr>
          <w:szCs w:val="24"/>
        </w:rPr>
      </w:pPr>
      <w:r w:rsidRPr="000B0108">
        <w:t>28.</w:t>
      </w:r>
      <w:r w:rsidRPr="000B0108">
        <w:tab/>
        <w:t>припомня, че стратегията на Агенцията за борба с измамите за периода 2020 – 2022 г. беше приета през юли 2020 г. и установява 25 приоритетни мерки, наблюдавани чрез поредица от контролни дейности; отбелязва със задоволство, че през 2022 г. 93% от контролните дейности, свързани с изпълнението на тази стратегия, са били счетени за изпълнени; приветства усилията на Агенцията за повишаване на осведомеността по отношение на въпросите, свързани с борбата с измамите, като се има предвид, че 56,7% от редовните служители на Агенцията са участвали в обучения по предотвратяването на измами и установяването на риска от измами; отбелязва със задоволство, че Агенцията представя по прозрачен начин (приложение XII към годишния доклад за дейността за 2022 г.) подробностите и състоянието на контролните дейности по отношение на стратегията на Агенцията за борба с измамите;</w:t>
      </w:r>
    </w:p>
    <w:p w:rsidR="00FC43F2" w:rsidRPr="000B0108" w:rsidRDefault="00FC43F2" w:rsidP="00FC43F2">
      <w:pPr>
        <w:spacing w:after="240"/>
        <w:ind w:left="567" w:hanging="567"/>
        <w:rPr>
          <w:b/>
          <w:i/>
          <w:szCs w:val="24"/>
        </w:rPr>
      </w:pPr>
      <w:r w:rsidRPr="000B0108">
        <w:rPr>
          <w:b/>
          <w:i/>
        </w:rPr>
        <w:t>Други коментари</w:t>
      </w:r>
    </w:p>
    <w:p w:rsidR="00FC43F2" w:rsidRPr="000B0108" w:rsidRDefault="00FC43F2" w:rsidP="00FC43F2">
      <w:pPr>
        <w:spacing w:after="240"/>
        <w:ind w:left="567" w:hanging="567"/>
        <w:rPr>
          <w:szCs w:val="24"/>
        </w:rPr>
      </w:pPr>
      <w:r w:rsidRPr="000B0108">
        <w:t>29.</w:t>
      </w:r>
      <w:r w:rsidRPr="000B0108">
        <w:tab/>
        <w:t xml:space="preserve">отбелязва, че Агенцията е приложила различни мерки за увеличаване на обществената си видимост и присъствието си онлайн, например чрез стартиране </w:t>
      </w:r>
      <w:r w:rsidRPr="000B0108">
        <w:lastRenderedPageBreak/>
        <w:t>на актуализиран уебсайт и нова корпоративна визуална идентичност, актуализиране на своя портфейл от социални медии с акцент върху аудио-визуалните формати и приемане на студентски групи на посещения в своите помещения;</w:t>
      </w:r>
    </w:p>
    <w:p w:rsidR="00FC43F2" w:rsidRPr="000B0108" w:rsidRDefault="00FC43F2" w:rsidP="00FC43F2">
      <w:pPr>
        <w:pStyle w:val="NormalHanging12a"/>
      </w:pPr>
      <w:r w:rsidRPr="000B0108">
        <w:t>30.</w:t>
      </w:r>
      <w:r w:rsidRPr="000B0108">
        <w:tab/>
        <w:t>припомня ролята на Агенцията за предоставянето на подкрепа за обработването на молбите за международна закрила, както и за обучението на служителите, отговарящи за обработването на молбите за убежище; подчертава необходимостта Агенцията да продължи да предоставя подкрепа на държавите членки и трети държави при обработването на молби в областта на убежището и миграцията; призовава бюджетът да се съсредоточи върху допълнително набиране на персонал, ако това е необходимо да се помогне на държавите членки да гарантират справедливо и равнопоставено разглеждане на молбите за убежище за международна закрила, особено за набиране на устни преводачи и психолози за кандидатите, които принадлежат към уязвими групи;</w:t>
      </w:r>
    </w:p>
    <w:p w:rsidR="00FC43F2" w:rsidRPr="000B0108" w:rsidRDefault="00FC43F2" w:rsidP="00FC43F2">
      <w:pPr>
        <w:pStyle w:val="NormalCenter12a"/>
      </w:pPr>
      <w:r w:rsidRPr="000B0108">
        <w:t>°</w:t>
      </w:r>
    </w:p>
    <w:p w:rsidR="00FC43F2" w:rsidRPr="000B0108" w:rsidRDefault="00FC43F2" w:rsidP="00FC43F2">
      <w:pPr>
        <w:pStyle w:val="NormalCenter12a"/>
      </w:pPr>
      <w:r w:rsidRPr="000B0108">
        <w:t>°</w:t>
      </w:r>
      <w:r w:rsidRPr="000B0108">
        <w:tab/>
        <w:t>°</w:t>
      </w:r>
    </w:p>
    <w:p w:rsidR="00FC43F2" w:rsidRPr="000B0108" w:rsidRDefault="00FC43F2" w:rsidP="00FC43F2">
      <w:pPr>
        <w:pStyle w:val="NormalHanging12a"/>
      </w:pPr>
      <w:r w:rsidRPr="000B0108">
        <w:t>31.</w:t>
      </w:r>
      <w:r w:rsidRPr="000B0108">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B853AD">
        <w:t>11 април</w:t>
      </w:r>
      <w:r w:rsidRPr="000B0108">
        <w:t xml:space="preserve"> 2024 г.</w:t>
      </w:r>
      <w:r w:rsidRPr="000B0108">
        <w:rPr>
          <w:rStyle w:val="FootnoteReference"/>
        </w:rPr>
        <w:footnoteReference w:id="14"/>
      </w:r>
      <w:r w:rsidRPr="000B0108">
        <w:t xml:space="preserve"> относно резултатите от дейността, финансовото управление и контрола на агенциите.</w:t>
      </w:r>
    </w:p>
    <w:p w:rsidR="00FC43F2" w:rsidRPr="000B0108" w:rsidRDefault="00FC43F2" w:rsidP="00FC43F2"/>
    <w:p w:rsidR="00E365E1" w:rsidRPr="000B0108" w:rsidRDefault="00E365E1" w:rsidP="00FC43F2">
      <w:bookmarkStart w:id="13" w:name="TextBodyEnd"/>
      <w:bookmarkEnd w:id="13"/>
    </w:p>
    <w:sectPr w:rsidR="00E365E1" w:rsidRPr="000B0108" w:rsidSect="000B010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5A5" w:rsidRPr="000B0108" w:rsidRDefault="000955A5">
      <w:r w:rsidRPr="000B0108">
        <w:separator/>
      </w:r>
    </w:p>
  </w:endnote>
  <w:endnote w:type="continuationSeparator" w:id="0">
    <w:p w:rsidR="000955A5" w:rsidRPr="000B0108" w:rsidRDefault="000955A5">
      <w:r w:rsidRPr="000B01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F2" w:rsidRPr="000B0108" w:rsidRDefault="00FC43F2" w:rsidP="00D637B0">
    <w:pPr>
      <w:pStyle w:val="EPFooter"/>
    </w:pPr>
    <w:r w:rsidRPr="000B0108">
      <w:t>PE</w:t>
    </w:r>
    <w:r w:rsidRPr="000B0108">
      <w:rPr>
        <w:rStyle w:val="HideTWBExt"/>
      </w:rPr>
      <w:t>&lt;</w:t>
    </w:r>
    <w:proofErr w:type="spellStart"/>
    <w:r w:rsidRPr="000B0108">
      <w:rPr>
        <w:rStyle w:val="HideTWBExt"/>
      </w:rPr>
      <w:t>NoPE</w:t>
    </w:r>
    <w:proofErr w:type="spellEnd"/>
    <w:r w:rsidRPr="000B0108">
      <w:rPr>
        <w:rStyle w:val="HideTWBExt"/>
      </w:rPr>
      <w:t>&gt;</w:t>
    </w:r>
    <w:r w:rsidRPr="000B0108">
      <w:t>753.532</w:t>
    </w:r>
    <w:r w:rsidRPr="000B0108">
      <w:rPr>
        <w:rStyle w:val="HideTWBExt"/>
      </w:rPr>
      <w:t>&lt;/</w:t>
    </w:r>
    <w:proofErr w:type="spellStart"/>
    <w:r w:rsidRPr="000B0108">
      <w:rPr>
        <w:rStyle w:val="HideTWBExt"/>
      </w:rPr>
      <w:t>NoPE</w:t>
    </w:r>
    <w:proofErr w:type="spellEnd"/>
    <w:r w:rsidRPr="000B0108">
      <w:rPr>
        <w:rStyle w:val="HideTWBExt"/>
      </w:rPr>
      <w:t>&gt;&lt;Version&gt;</w:t>
    </w:r>
    <w:r w:rsidRPr="000B0108">
      <w:t>v03-00</w:t>
    </w:r>
    <w:r w:rsidRPr="000B0108">
      <w:rPr>
        <w:rStyle w:val="HideTWBExt"/>
      </w:rPr>
      <w:t>&lt;/</w:t>
    </w:r>
    <w:proofErr w:type="spellStart"/>
    <w:r w:rsidRPr="000B0108">
      <w:rPr>
        <w:rStyle w:val="HideTWBExt"/>
      </w:rPr>
      <w:t>Version</w:t>
    </w:r>
    <w:proofErr w:type="spellEnd"/>
    <w:r w:rsidRPr="000B0108">
      <w:rPr>
        <w:rStyle w:val="HideTWBExt"/>
      </w:rPr>
      <w:t>&gt;</w:t>
    </w:r>
    <w:r w:rsidRPr="000B0108">
      <w:tab/>
    </w:r>
    <w:r w:rsidRPr="000B0108">
      <w:fldChar w:fldCharType="begin"/>
    </w:r>
    <w:r w:rsidRPr="000B0108">
      <w:instrText xml:space="preserve"> PAGE  \* MERGEFORMAT </w:instrText>
    </w:r>
    <w:r w:rsidRPr="000B0108">
      <w:fldChar w:fldCharType="separate"/>
    </w:r>
    <w:r w:rsidR="000B0108" w:rsidRPr="000B0108">
      <w:rPr>
        <w:noProof/>
      </w:rPr>
      <w:t>4</w:t>
    </w:r>
    <w:r w:rsidRPr="000B0108">
      <w:fldChar w:fldCharType="end"/>
    </w:r>
    <w:r w:rsidRPr="000B0108">
      <w:t>/</w:t>
    </w:r>
    <w:fldSimple w:instr=" NUMPAGES  \* MERGEFORMAT ">
      <w:r w:rsidR="000B0108" w:rsidRPr="000B0108">
        <w:rPr>
          <w:noProof/>
        </w:rPr>
        <w:t>8</w:t>
      </w:r>
    </w:fldSimple>
    <w:r w:rsidRPr="000B0108">
      <w:tab/>
    </w:r>
    <w:r w:rsidRPr="000B0108">
      <w:rPr>
        <w:rStyle w:val="HideTWBExt"/>
      </w:rPr>
      <w:t>&lt;PathFdR&gt;</w:t>
    </w:r>
    <w:r w:rsidRPr="000B0108">
      <w:t>RR\1299515BG.docx</w:t>
    </w:r>
    <w:r w:rsidRPr="000B0108">
      <w:rPr>
        <w:rStyle w:val="HideTWBExt"/>
      </w:rPr>
      <w:t>&lt;/</w:t>
    </w:r>
    <w:proofErr w:type="spellStart"/>
    <w:r w:rsidRPr="000B0108">
      <w:rPr>
        <w:rStyle w:val="HideTWBExt"/>
      </w:rPr>
      <w:t>PathFdR</w:t>
    </w:r>
    <w:proofErr w:type="spellEnd"/>
    <w:r w:rsidRPr="000B0108">
      <w:rPr>
        <w:rStyle w:val="HideTWBExt"/>
      </w:rPr>
      <w:t>&gt;</w:t>
    </w:r>
  </w:p>
  <w:p w:rsidR="00FC43F2" w:rsidRPr="000B0108" w:rsidRDefault="00FC43F2" w:rsidP="00D637B0">
    <w:pPr>
      <w:pStyle w:val="EPFooter2"/>
    </w:pPr>
    <w:r w:rsidRPr="000B010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F2" w:rsidRPr="000B0108" w:rsidRDefault="00FC43F2" w:rsidP="00D637B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F2" w:rsidRPr="000B0108" w:rsidRDefault="00FC43F2" w:rsidP="00D637B0">
    <w:pPr>
      <w:pStyle w:val="EPFooter"/>
    </w:pPr>
    <w:r w:rsidRPr="000B0108">
      <w:rPr>
        <w:rStyle w:val="HideTWBExt"/>
      </w:rPr>
      <w:t>&lt;PathFdR&gt;</w:t>
    </w:r>
    <w:r w:rsidRPr="000B0108">
      <w:t>RR\1299515BG.docx</w:t>
    </w:r>
    <w:r w:rsidRPr="000B0108">
      <w:rPr>
        <w:rStyle w:val="HideTWBExt"/>
      </w:rPr>
      <w:t>&lt;/</w:t>
    </w:r>
    <w:proofErr w:type="spellStart"/>
    <w:r w:rsidRPr="000B0108">
      <w:rPr>
        <w:rStyle w:val="HideTWBExt"/>
      </w:rPr>
      <w:t>PathFdR</w:t>
    </w:r>
    <w:proofErr w:type="spellEnd"/>
    <w:r w:rsidRPr="000B0108">
      <w:rPr>
        <w:rStyle w:val="HideTWBExt"/>
      </w:rPr>
      <w:t>&gt;</w:t>
    </w:r>
    <w:r w:rsidRPr="000B0108">
      <w:tab/>
    </w:r>
    <w:r w:rsidRPr="000B0108">
      <w:tab/>
      <w:t>PE</w:t>
    </w:r>
    <w:r w:rsidRPr="000B0108">
      <w:rPr>
        <w:rStyle w:val="HideTWBExt"/>
      </w:rPr>
      <w:t>&lt;</w:t>
    </w:r>
    <w:proofErr w:type="spellStart"/>
    <w:r w:rsidRPr="000B0108">
      <w:rPr>
        <w:rStyle w:val="HideTWBExt"/>
      </w:rPr>
      <w:t>NoPE</w:t>
    </w:r>
    <w:proofErr w:type="spellEnd"/>
    <w:r w:rsidRPr="000B0108">
      <w:rPr>
        <w:rStyle w:val="HideTWBExt"/>
      </w:rPr>
      <w:t>&gt;</w:t>
    </w:r>
    <w:r w:rsidRPr="000B0108">
      <w:t>753.532</w:t>
    </w:r>
    <w:r w:rsidRPr="000B0108">
      <w:rPr>
        <w:rStyle w:val="HideTWBExt"/>
      </w:rPr>
      <w:t>&lt;/</w:t>
    </w:r>
    <w:proofErr w:type="spellStart"/>
    <w:r w:rsidRPr="000B0108">
      <w:rPr>
        <w:rStyle w:val="HideTWBExt"/>
      </w:rPr>
      <w:t>NoPE</w:t>
    </w:r>
    <w:proofErr w:type="spellEnd"/>
    <w:r w:rsidRPr="000B0108">
      <w:rPr>
        <w:rStyle w:val="HideTWBExt"/>
      </w:rPr>
      <w:t>&gt;&lt;Version&gt;</w:t>
    </w:r>
    <w:r w:rsidRPr="000B0108">
      <w:t>v03-00</w:t>
    </w:r>
    <w:r w:rsidRPr="000B0108">
      <w:rPr>
        <w:rStyle w:val="HideTWBExt"/>
      </w:rPr>
      <w:t>&lt;/</w:t>
    </w:r>
    <w:proofErr w:type="spellStart"/>
    <w:r w:rsidRPr="000B0108">
      <w:rPr>
        <w:rStyle w:val="HideTWBExt"/>
      </w:rPr>
      <w:t>Version</w:t>
    </w:r>
    <w:proofErr w:type="spellEnd"/>
    <w:r w:rsidRPr="000B0108">
      <w:rPr>
        <w:rStyle w:val="HideTWBExt"/>
      </w:rPr>
      <w:t>&gt;</w:t>
    </w:r>
  </w:p>
  <w:p w:rsidR="00FC43F2" w:rsidRPr="000B0108" w:rsidRDefault="00FC43F2" w:rsidP="00D637B0">
    <w:pPr>
      <w:pStyle w:val="EPFooter2"/>
    </w:pPr>
    <w:r w:rsidRPr="000B0108">
      <w:t>BG</w:t>
    </w:r>
    <w:r w:rsidRPr="000B0108">
      <w:tab/>
    </w:r>
    <w:r w:rsidRPr="000B0108">
      <w:rPr>
        <w:b w:val="0"/>
        <w:i/>
        <w:color w:val="C0C0C0"/>
        <w:sz w:val="22"/>
      </w:rPr>
      <w:t>Единство в многообразието</w:t>
    </w:r>
    <w:r w:rsidRPr="000B0108">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010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010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01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5A5" w:rsidRPr="000B0108" w:rsidRDefault="000955A5">
      <w:r w:rsidRPr="000B0108">
        <w:separator/>
      </w:r>
    </w:p>
  </w:footnote>
  <w:footnote w:type="continuationSeparator" w:id="0">
    <w:p w:rsidR="000955A5" w:rsidRPr="000B0108" w:rsidRDefault="000955A5">
      <w:r w:rsidRPr="000B0108">
        <w:continuationSeparator/>
      </w:r>
    </w:p>
  </w:footnote>
  <w:footnote w:id="1">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C, C/2023/594, 27.10.2023 г.</w:t>
      </w:r>
    </w:p>
  </w:footnote>
  <w:footnote w:id="2">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C, C/2023/112, 12.10.2023 г.</w:t>
      </w:r>
    </w:p>
  </w:footnote>
  <w:footnote w:id="3">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OВ L 193, 30.7.2018 г., стр. 1.</w:t>
      </w:r>
    </w:p>
  </w:footnote>
  <w:footnote w:id="4">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L 132, 29.5.2010 г., стр. 11.</w:t>
      </w:r>
    </w:p>
  </w:footnote>
  <w:footnote w:id="5">
    <w:p w:rsidR="00FC43F2" w:rsidRPr="000B0108" w:rsidRDefault="00FC43F2" w:rsidP="000B0108">
      <w:pPr>
        <w:pStyle w:val="FootnoteText"/>
        <w:ind w:left="567" w:hanging="567"/>
        <w:rPr>
          <w:sz w:val="24"/>
          <w:szCs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L 468, 30.12.2021 г., стр. 1.</w:t>
      </w:r>
    </w:p>
  </w:footnote>
  <w:footnote w:id="6">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L 122, 10.5.2019 г., стр. 1.</w:t>
      </w:r>
    </w:p>
  </w:footnote>
  <w:footnote w:id="7">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C, C/2023/594, 27.10.2023 г.</w:t>
      </w:r>
    </w:p>
  </w:footnote>
  <w:footnote w:id="8">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C, C/2023/112, 12.10.2023 г.</w:t>
      </w:r>
    </w:p>
  </w:footnote>
  <w:footnote w:id="9">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OВ L 193, 30.7.2018 г., стр. 1.</w:t>
      </w:r>
    </w:p>
  </w:footnote>
  <w:footnote w:id="10">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L 132, 29.5.2010 г., стр. 11.</w:t>
      </w:r>
    </w:p>
  </w:footnote>
  <w:footnote w:id="11">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L 468, 30.12.2021 г., стр. 1.</w:t>
      </w:r>
    </w:p>
  </w:footnote>
  <w:footnote w:id="12">
    <w:p w:rsidR="00FC43F2" w:rsidRPr="000B0108" w:rsidRDefault="00FC43F2" w:rsidP="000B0108">
      <w:pPr>
        <w:pStyle w:val="FootnoteText"/>
        <w:ind w:left="567" w:hanging="567"/>
        <w:rPr>
          <w:sz w:val="24"/>
          <w:szCs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ОВ L 122, 10.5.2019 г., стр. 1.</w:t>
      </w:r>
    </w:p>
  </w:footnote>
  <w:footnote w:id="13">
    <w:p w:rsidR="00FC43F2" w:rsidRPr="000B0108" w:rsidRDefault="00FC43F2" w:rsidP="000B0108">
      <w:pPr>
        <w:pStyle w:val="FootnoteText"/>
        <w:ind w:left="567" w:hanging="567"/>
        <w:rPr>
          <w:sz w:val="24"/>
          <w:lang w:val="bg-BG"/>
        </w:rPr>
      </w:pPr>
      <w:r w:rsidRPr="000B0108">
        <w:rPr>
          <w:sz w:val="24"/>
          <w:vertAlign w:val="superscript"/>
          <w:lang w:val="bg-BG"/>
        </w:rPr>
        <w:footnoteRef/>
      </w:r>
      <w:r w:rsidR="000B0108" w:rsidRPr="000B0108">
        <w:rPr>
          <w:sz w:val="24"/>
          <w:lang w:val="bg-BG"/>
        </w:rPr>
        <w:t xml:space="preserve"> </w:t>
      </w:r>
      <w:r w:rsidR="000B0108" w:rsidRPr="000B0108">
        <w:rPr>
          <w:sz w:val="24"/>
          <w:lang w:val="bg-BG"/>
        </w:rPr>
        <w:tab/>
      </w:r>
      <w:r w:rsidRPr="000B0108">
        <w:rPr>
          <w:sz w:val="24"/>
          <w:lang w:val="bg-BG"/>
        </w:rPr>
        <w:t>ОВ C 38, 31.1.2023 г., стр. 180.</w:t>
      </w:r>
    </w:p>
  </w:footnote>
  <w:footnote w:id="14">
    <w:p w:rsidR="00FC43F2" w:rsidRPr="000B0108" w:rsidRDefault="00FC43F2" w:rsidP="000B0108">
      <w:pPr>
        <w:pStyle w:val="FootnoteText"/>
        <w:ind w:left="567" w:hanging="567"/>
        <w:rPr>
          <w:sz w:val="24"/>
          <w:lang w:val="bg-BG"/>
        </w:rPr>
      </w:pPr>
      <w:r w:rsidRPr="000B0108">
        <w:rPr>
          <w:rStyle w:val="FootnoteReference"/>
          <w:sz w:val="24"/>
          <w:lang w:val="bg-BG"/>
        </w:rPr>
        <w:footnoteRef/>
      </w:r>
      <w:r w:rsidR="000B0108" w:rsidRPr="000B0108">
        <w:rPr>
          <w:sz w:val="24"/>
          <w:lang w:val="bg-BG"/>
        </w:rPr>
        <w:t xml:space="preserve"> </w:t>
      </w:r>
      <w:r w:rsidR="000B0108" w:rsidRPr="000B0108">
        <w:rPr>
          <w:sz w:val="24"/>
          <w:lang w:val="bg-BG"/>
        </w:rPr>
        <w:tab/>
      </w:r>
      <w:r w:rsidRPr="000B0108">
        <w:rPr>
          <w:sz w:val="24"/>
          <w:lang w:val="bg-BG"/>
        </w:rPr>
        <w:t>Приети текстове, P9_TA(2024)</w:t>
      </w:r>
      <w:r w:rsidR="00D20FD8" w:rsidRPr="00635445">
        <w:rPr>
          <w:sz w:val="24"/>
          <w:lang w:val="bg-BG"/>
        </w:rPr>
        <w:t>0</w:t>
      </w:r>
      <w:r w:rsidR="00D20FD8">
        <w:rPr>
          <w:sz w:val="24"/>
          <w:lang w:val="en-GB"/>
        </w:rPr>
        <w:t>28</w:t>
      </w:r>
      <w:r w:rsidR="00D20FD8" w:rsidRPr="00635445">
        <w:rPr>
          <w:sz w:val="24"/>
          <w:lang w:val="bg-BG"/>
        </w:rPr>
        <w:t>0</w:t>
      </w:r>
      <w:r w:rsidRPr="000B010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F2" w:rsidRPr="000B0108" w:rsidRDefault="00FC4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F2" w:rsidRPr="000B0108" w:rsidRDefault="00FC43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F2" w:rsidRPr="000B0108" w:rsidRDefault="00FC43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010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010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01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BG"/>
    <w:docVar w:name="dvnumam" w:val="0"/>
    <w:docVar w:name="dvpe" w:val="753.532"/>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на Европейския съюз в областта на убежището (преди 19.1.2022 г. Европейска служба за подкрепа в областта на убежището) за финансовата 2022 година(2023/2164(DEC))"/>
  </w:docVars>
  <w:rsids>
    <w:rsidRoot w:val="000955A5"/>
    <w:rsid w:val="00002272"/>
    <w:rsid w:val="00064002"/>
    <w:rsid w:val="000677B9"/>
    <w:rsid w:val="000831BA"/>
    <w:rsid w:val="000955A5"/>
    <w:rsid w:val="000A42CC"/>
    <w:rsid w:val="000B010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DF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3AD"/>
    <w:rsid w:val="00BD48FE"/>
    <w:rsid w:val="00BD7BD8"/>
    <w:rsid w:val="00BE6ADC"/>
    <w:rsid w:val="00C05BFE"/>
    <w:rsid w:val="00C23CD4"/>
    <w:rsid w:val="00C61C0C"/>
    <w:rsid w:val="00C65BCB"/>
    <w:rsid w:val="00C941CB"/>
    <w:rsid w:val="00CC2357"/>
    <w:rsid w:val="00CF071A"/>
    <w:rsid w:val="00D058B8"/>
    <w:rsid w:val="00D20FD8"/>
    <w:rsid w:val="00D56C11"/>
    <w:rsid w:val="00D834A0"/>
    <w:rsid w:val="00D872DF"/>
    <w:rsid w:val="00D91E21"/>
    <w:rsid w:val="00DA469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3F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D2711"/>
  <w15:chartTrackingRefBased/>
  <w15:docId w15:val="{9E9EFE52-13DE-4286-A148-688BD92D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43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43F2"/>
    <w:pPr>
      <w:spacing w:before="480" w:after="240"/>
    </w:pPr>
  </w:style>
  <w:style w:type="paragraph" w:customStyle="1" w:styleId="PageHeading">
    <w:name w:val="PageHeading"/>
    <w:basedOn w:val="Normal"/>
    <w:rsid w:val="00FC43F2"/>
    <w:pPr>
      <w:keepNext/>
      <w:spacing w:after="480"/>
      <w:jc w:val="center"/>
    </w:pPr>
    <w:rPr>
      <w:rFonts w:ascii="Arial" w:hAnsi="Arial" w:cs="Arial"/>
      <w:b/>
    </w:rPr>
  </w:style>
  <w:style w:type="paragraph" w:customStyle="1" w:styleId="NormalBold">
    <w:name w:val="NormalBold"/>
    <w:basedOn w:val="Normal"/>
    <w:rsid w:val="00FC43F2"/>
    <w:rPr>
      <w:b/>
    </w:rPr>
  </w:style>
  <w:style w:type="paragraph" w:customStyle="1" w:styleId="NormalHanging12a">
    <w:name w:val="NormalHanging12a"/>
    <w:basedOn w:val="Normal"/>
    <w:link w:val="NormalHanging12aChar"/>
    <w:rsid w:val="00FC43F2"/>
    <w:pPr>
      <w:spacing w:after="240"/>
      <w:ind w:left="567" w:hanging="567"/>
    </w:pPr>
  </w:style>
  <w:style w:type="paragraph" w:customStyle="1" w:styleId="NormalCenter12a">
    <w:name w:val="NormalCenter12a"/>
    <w:basedOn w:val="Normal"/>
    <w:rsid w:val="00FC43F2"/>
    <w:pPr>
      <w:spacing w:after="240"/>
      <w:jc w:val="center"/>
    </w:pPr>
  </w:style>
  <w:style w:type="paragraph" w:styleId="Header">
    <w:name w:val="header"/>
    <w:basedOn w:val="Normal"/>
    <w:link w:val="HeaderChar"/>
    <w:rsid w:val="00FC43F2"/>
    <w:pPr>
      <w:tabs>
        <w:tab w:val="center" w:pos="4513"/>
        <w:tab w:val="right" w:pos="9026"/>
      </w:tabs>
    </w:pPr>
  </w:style>
  <w:style w:type="character" w:customStyle="1" w:styleId="HeaderChar">
    <w:name w:val="Header Char"/>
    <w:basedOn w:val="DefaultParagraphFont"/>
    <w:link w:val="Header"/>
    <w:rsid w:val="00FC43F2"/>
    <w:rPr>
      <w:sz w:val="24"/>
      <w:lang w:val="bg-BG"/>
    </w:rPr>
  </w:style>
  <w:style w:type="paragraph" w:customStyle="1" w:styleId="EPFooter">
    <w:name w:val="EPFooter"/>
    <w:basedOn w:val="Normal"/>
    <w:rsid w:val="00FC43F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FC43F2"/>
    <w:rPr>
      <w:sz w:val="24"/>
      <w:lang w:val="bg-BG"/>
    </w:rPr>
  </w:style>
  <w:style w:type="character" w:customStyle="1" w:styleId="Normal12HangingChar">
    <w:name w:val="Normal12Hanging Char"/>
    <w:link w:val="Normal12Hanging"/>
    <w:locked/>
    <w:rsid w:val="00FC43F2"/>
    <w:rPr>
      <w:sz w:val="24"/>
    </w:rPr>
  </w:style>
  <w:style w:type="paragraph" w:customStyle="1" w:styleId="Normal12Hanging">
    <w:name w:val="Normal12Hanging"/>
    <w:basedOn w:val="Normal"/>
    <w:link w:val="Normal12HangingChar"/>
    <w:rsid w:val="00FC43F2"/>
    <w:pPr>
      <w:spacing w:after="240"/>
      <w:ind w:left="567" w:hanging="567"/>
    </w:pPr>
    <w:rPr>
      <w:lang w:val="en-GB"/>
    </w:rPr>
  </w:style>
  <w:style w:type="paragraph" w:styleId="BalloonText">
    <w:name w:val="Balloon Text"/>
    <w:basedOn w:val="Normal"/>
    <w:link w:val="BalloonTextChar"/>
    <w:rsid w:val="00B853AD"/>
    <w:rPr>
      <w:rFonts w:ascii="Segoe UI" w:hAnsi="Segoe UI" w:cs="Segoe UI"/>
      <w:sz w:val="18"/>
      <w:szCs w:val="18"/>
    </w:rPr>
  </w:style>
  <w:style w:type="character" w:customStyle="1" w:styleId="BalloonTextChar">
    <w:name w:val="Balloon Text Char"/>
    <w:basedOn w:val="DefaultParagraphFont"/>
    <w:link w:val="BalloonText"/>
    <w:rsid w:val="00B853A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EE7D8-4F4E-4CFE-BBD6-CFBB0A40A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6058</Words>
  <Characters>34756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2024-04-11T11:16:00Z</dcterms:created>
  <dcterms:modified xsi:type="dcterms:W3CDTF">2024-04-11T11:16:00Z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A9-0106/2024</vt:lpwstr>
  </property>
  <property fmtid="{D5CDD505-2E9C-101B-9397-08002B2CF9AE}" pid="4" name="&lt;Type&gt;">
    <vt:lpwstr>RR</vt:lpwstr>
  </property>
</Properties>
</file>