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10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1055" w:rsidRDefault="00BE7713" w:rsidP="0010095E">
            <w:pPr>
              <w:pStyle w:val="EPName"/>
            </w:pPr>
            <w:r w:rsidRPr="00941055">
              <w:t>Evropský parlament</w:t>
            </w:r>
          </w:p>
          <w:p w:rsidR="00751A4A" w:rsidRPr="009410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10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41055" w:rsidRDefault="00187494" w:rsidP="0010095E">
            <w:pPr>
              <w:pStyle w:val="EPLogo"/>
            </w:pPr>
            <w:r w:rsidRPr="009410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1055" w:rsidRDefault="00D058B8" w:rsidP="004C5D52">
      <w:pPr>
        <w:pStyle w:val="LineTop"/>
      </w:pPr>
    </w:p>
    <w:p w:rsidR="00680577" w:rsidRPr="00941055" w:rsidRDefault="00BE7713" w:rsidP="00680577">
      <w:pPr>
        <w:pStyle w:val="EPBodyTA1"/>
      </w:pPr>
      <w:r w:rsidRPr="00941055">
        <w:t>PŘIJATÉ TEXTY</w:t>
      </w:r>
    </w:p>
    <w:p w:rsidR="00D058B8" w:rsidRPr="00941055" w:rsidRDefault="00D058B8" w:rsidP="00D058B8">
      <w:pPr>
        <w:pStyle w:val="LineBottom"/>
      </w:pPr>
    </w:p>
    <w:p w:rsidR="00BE7713" w:rsidRPr="00941055" w:rsidRDefault="00BE7713" w:rsidP="00BE7713">
      <w:pPr>
        <w:pStyle w:val="ATHeading1"/>
      </w:pPr>
      <w:bookmarkStart w:id="0" w:name="TANumber"/>
      <w:r w:rsidRPr="00941055">
        <w:t>P9_TA(2024)0</w:t>
      </w:r>
      <w:r w:rsidR="005351EB">
        <w:t>268</w:t>
      </w:r>
      <w:bookmarkEnd w:id="0"/>
    </w:p>
    <w:p w:rsidR="00BE7713" w:rsidRPr="00941055" w:rsidRDefault="00BE7713" w:rsidP="00BE7713">
      <w:pPr>
        <w:pStyle w:val="ATHeading2"/>
      </w:pPr>
      <w:bookmarkStart w:id="1" w:name="title"/>
      <w:r w:rsidRPr="00941055">
        <w:t>Udělení absolutoria za rok 2022: Agentura Evropské unie pro otázky azylu (před 19. lednem 2022: Evropský podpůrný úřad pro otázky azylu)</w:t>
      </w:r>
      <w:bookmarkEnd w:id="1"/>
    </w:p>
    <w:p w:rsidR="00BE7713" w:rsidRPr="00941055" w:rsidRDefault="00BE7713" w:rsidP="00BE7713">
      <w:pPr>
        <w:rPr>
          <w:i/>
          <w:vanish/>
        </w:rPr>
      </w:pPr>
      <w:r w:rsidRPr="00941055">
        <w:rPr>
          <w:i/>
        </w:rPr>
        <w:fldChar w:fldCharType="begin"/>
      </w:r>
      <w:r w:rsidRPr="00941055">
        <w:rPr>
          <w:i/>
        </w:rPr>
        <w:instrText xml:space="preserve"> TC"(</w:instrText>
      </w:r>
      <w:bookmarkStart w:id="2" w:name="DocNumber"/>
      <w:r w:rsidRPr="00941055">
        <w:rPr>
          <w:i/>
        </w:rPr>
        <w:instrText>A9-0106/2024</w:instrText>
      </w:r>
      <w:bookmarkEnd w:id="2"/>
      <w:r w:rsidRPr="00941055">
        <w:rPr>
          <w:i/>
        </w:rPr>
        <w:instrText xml:space="preserve"> - Zpravodaj: Petri Sarvamaa)"\l3 \n&gt; \* MERGEFORMAT </w:instrText>
      </w:r>
      <w:r w:rsidRPr="00941055">
        <w:rPr>
          <w:i/>
        </w:rPr>
        <w:fldChar w:fldCharType="end"/>
      </w:r>
    </w:p>
    <w:p w:rsidR="00BE7713" w:rsidRPr="00941055" w:rsidRDefault="00BE7713" w:rsidP="00BE7713">
      <w:pPr>
        <w:rPr>
          <w:vanish/>
        </w:rPr>
      </w:pPr>
      <w:bookmarkStart w:id="3" w:name="Commission"/>
      <w:r w:rsidRPr="00941055">
        <w:rPr>
          <w:vanish/>
        </w:rPr>
        <w:t>Výbor pro rozpočtovou kontrolu</w:t>
      </w:r>
      <w:bookmarkEnd w:id="3"/>
    </w:p>
    <w:p w:rsidR="00BE7713" w:rsidRPr="00941055" w:rsidRDefault="00BE7713" w:rsidP="00BE7713">
      <w:pPr>
        <w:rPr>
          <w:vanish/>
        </w:rPr>
      </w:pPr>
      <w:bookmarkStart w:id="4" w:name="PE"/>
      <w:r w:rsidRPr="00941055">
        <w:rPr>
          <w:vanish/>
        </w:rPr>
        <w:t>PE753.532</w:t>
      </w:r>
      <w:bookmarkEnd w:id="4"/>
    </w:p>
    <w:p w:rsidR="00BE7713" w:rsidRPr="00941055" w:rsidRDefault="00BE7713" w:rsidP="00BE7713">
      <w:pPr>
        <w:pStyle w:val="ATHeading3"/>
      </w:pPr>
      <w:bookmarkStart w:id="5" w:name="Sujet"/>
      <w:r w:rsidRPr="00941055">
        <w:t xml:space="preserve">1. Rozhodnutí Evropského parlamentu ze dne 11. dubna 2024 o udělení absolutoria za plnění rozpočtu Agentury Evropské </w:t>
      </w:r>
      <w:r w:rsidR="00067CD2">
        <w:t xml:space="preserve">unie pro otázky azylu (před </w:t>
      </w:r>
      <w:proofErr w:type="gramStart"/>
      <w:r w:rsidR="00067CD2">
        <w:t>19.</w:t>
      </w:r>
      <w:r w:rsidRPr="00941055">
        <w:t>1. 2022</w:t>
      </w:r>
      <w:proofErr w:type="gramEnd"/>
      <w:r w:rsidRPr="00941055">
        <w:t xml:space="preserve"> Evropský podpůrný úřad pro otázky azylu) na rozpočtový rok 2022</w:t>
      </w:r>
      <w:bookmarkEnd w:id="5"/>
      <w:r w:rsidRPr="00941055">
        <w:t xml:space="preserve"> </w:t>
      </w:r>
      <w:bookmarkStart w:id="6" w:name="References"/>
      <w:r w:rsidRPr="00941055">
        <w:t>(2023/2164(DEC))</w:t>
      </w:r>
      <w:bookmarkEnd w:id="6"/>
    </w:p>
    <w:p w:rsidR="00D95331" w:rsidRPr="00941055" w:rsidRDefault="00D95331" w:rsidP="00D95331">
      <w:pPr>
        <w:pStyle w:val="EPComma"/>
      </w:pPr>
      <w:bookmarkStart w:id="7" w:name="TextBodyBegin"/>
      <w:bookmarkEnd w:id="7"/>
      <w:r w:rsidRPr="00941055">
        <w:rPr>
          <w:i/>
        </w:rPr>
        <w:t>Evropský parlament</w:t>
      </w:r>
      <w:r w:rsidRPr="00941055">
        <w:t>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konečnou roční účetní závěrku Agentury Evropské unie pro otázky azylu za rozpočtový rok 2022,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výroční zprávu Účetního dvora o agenturách EU za rozpočtový rok 2022 spolu s odpověďmi agentur</w:t>
      </w:r>
      <w:r w:rsidRPr="00941055">
        <w:rPr>
          <w:rStyle w:val="FootnoteReference"/>
        </w:rPr>
        <w:footnoteReference w:id="1"/>
      </w:r>
      <w:r w:rsidRPr="00941055">
        <w:t>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prohlášení o věrohodnosti</w:t>
      </w:r>
      <w:r w:rsidRPr="00941055">
        <w:rPr>
          <w:rStyle w:val="FootnoteReference"/>
        </w:rPr>
        <w:footnoteReference w:id="2"/>
      </w:r>
      <w:r w:rsidRPr="00941055">
        <w:t xml:space="preserve"> účetnictví a o legalitě a správnosti uskutečněných operací, které předložil Účetní dvůr za rozpočtový rok 2022 podle článku 287 Smlouvy o fungování Evropské unie,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doporučení Rady ze dne 22. února 2024 o udělení absolutoria agentuře za plnění rozpočtu na rozpočtový rok 2022 (0</w:t>
      </w:r>
      <w:r w:rsidR="00424C51">
        <w:t>618</w:t>
      </w:r>
      <w:r w:rsidRPr="00941055">
        <w:t>0/2024 – C9</w:t>
      </w:r>
      <w:r w:rsidRPr="00941055">
        <w:noBreakHyphen/>
        <w:t>0</w:t>
      </w:r>
      <w:r w:rsidR="00424C51">
        <w:t>1</w:t>
      </w:r>
      <w:r w:rsidRPr="00941055">
        <w:t>0</w:t>
      </w:r>
      <w:r w:rsidR="00424C51">
        <w:t>2</w:t>
      </w:r>
      <w:r w:rsidRPr="00941055">
        <w:t>/2024),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článek 319 Smlouvy o fungování Evropské unie,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941055">
        <w:rPr>
          <w:rStyle w:val="FootnoteReference"/>
        </w:rPr>
        <w:footnoteReference w:id="3"/>
      </w:r>
      <w:r w:rsidRPr="00941055">
        <w:t>, a zejména článek 70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nařízení Evropského parlamentu a Rady (E</w:t>
      </w:r>
      <w:r w:rsidR="00665A31">
        <w:t>U</w:t>
      </w:r>
      <w:r w:rsidRPr="00941055">
        <w:t>) č. 439/2010 ze dne 19. května 2010 o zřízení Evropského podpůrného úřadu pro otázky azylu</w:t>
      </w:r>
      <w:r w:rsidRPr="00941055">
        <w:rPr>
          <w:rStyle w:val="FootnoteReference"/>
        </w:rPr>
        <w:footnoteReference w:id="4"/>
      </w:r>
      <w:r w:rsidRPr="00941055">
        <w:t>, a zejména na článek 36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 xml:space="preserve">s ohledem na nařízení Evropského parlamentu a Rady (EU) 2021/2303 ze dne </w:t>
      </w:r>
      <w:r w:rsidRPr="00941055">
        <w:lastRenderedPageBreak/>
        <w:t>15. prosince 2021 o zřízení Agentury Evropské unie pro otázky azylu a o zrušení nařízení (EU) č. 439/2010</w:t>
      </w:r>
      <w:r w:rsidRPr="00941055">
        <w:rPr>
          <w:rStyle w:val="FootnoteReference"/>
        </w:rPr>
        <w:footnoteReference w:id="5"/>
      </w:r>
      <w:r w:rsidRPr="00941055">
        <w:t>, a zejména na článek 55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nařízení Komise v přenesené pravomoci (EU) 2019/715 ze dne 18. prosince 2018 o rámcovém finančním nařízení pro subjekty zřízené podle S</w:t>
      </w:r>
      <w:r w:rsidR="00987D96">
        <w:t xml:space="preserve">mlouvy o fungování </w:t>
      </w:r>
      <w:r w:rsidRPr="00941055">
        <w:t>E</w:t>
      </w:r>
      <w:r w:rsidR="00987D96">
        <w:t>vropské unie</w:t>
      </w:r>
      <w:r w:rsidRPr="00941055">
        <w:t xml:space="preserve"> a Smlouvy o Euratomu a uvedené v článku 70 nařízení Evropského parlamentu a Rady (EU, Euratom) 2018/1046</w:t>
      </w:r>
      <w:r w:rsidRPr="00941055">
        <w:rPr>
          <w:rStyle w:val="FootnoteReference"/>
        </w:rPr>
        <w:footnoteReference w:id="6"/>
      </w:r>
      <w:r w:rsidRPr="00941055">
        <w:t>, a zejména na článek 105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článek 100 a přílohu V jednacího řádu,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stanovisko Výboru pro občanské svobody, spravedlnost a vnitřní věci,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zprávu Výboru pro rozpočtovou kontrolu (A9</w:t>
      </w:r>
      <w:r w:rsidRPr="00941055">
        <w:noBreakHyphen/>
        <w:t>0106/2024),</w:t>
      </w:r>
    </w:p>
    <w:p w:rsidR="00D95331" w:rsidRPr="00941055" w:rsidRDefault="00D95331" w:rsidP="00235AA5">
      <w:pPr>
        <w:pStyle w:val="NormalHanging12a"/>
      </w:pPr>
      <w:r w:rsidRPr="00941055">
        <w:t>1.</w:t>
      </w:r>
      <w:r w:rsidRPr="00941055">
        <w:tab/>
        <w:t>uděluje absolutorium výkonné ředitelce Agentury Evropské unie pro otázky azylu za plnění rozpočtu agentury na rozpočtový rok 2022;</w:t>
      </w:r>
    </w:p>
    <w:p w:rsidR="00D95331" w:rsidRPr="00941055" w:rsidRDefault="00D95331" w:rsidP="00235AA5">
      <w:pPr>
        <w:pStyle w:val="NormalHanging12a"/>
      </w:pPr>
      <w:r w:rsidRPr="00941055">
        <w:t>2.</w:t>
      </w:r>
      <w:r w:rsidRPr="00941055">
        <w:tab/>
        <w:t>předkládá své připomínky v níže uvedeném usnesení;</w:t>
      </w:r>
    </w:p>
    <w:p w:rsidR="00D95331" w:rsidRPr="00941055" w:rsidRDefault="00D95331" w:rsidP="00235AA5">
      <w:pPr>
        <w:pStyle w:val="NormalHanging12a"/>
      </w:pPr>
      <w:r w:rsidRPr="00941055">
        <w:t>3.</w:t>
      </w:r>
      <w:r w:rsidRPr="00941055">
        <w:tab/>
        <w:t>pověřuje svou předsedkyni, aby předala toto rozhodnutí a usnesení, které je jeho nedílnou součástí, výkonné ředitelce Agentury Evropské unie pro otázky azylu, Radě, Komisi a Účetnímu dvoru a aby zajistila jejich zveřejnění v </w:t>
      </w:r>
      <w:r w:rsidRPr="00941055">
        <w:rPr>
          <w:i/>
        </w:rPr>
        <w:t>Úředním věstníku Evropské unie</w:t>
      </w:r>
      <w:r w:rsidRPr="00941055">
        <w:t xml:space="preserve"> (řada L).</w:t>
      </w:r>
    </w:p>
    <w:p w:rsidR="00D95331" w:rsidRPr="00941055" w:rsidRDefault="00D95331" w:rsidP="00D95331"/>
    <w:p w:rsidR="00D95331" w:rsidRPr="00941055" w:rsidRDefault="00D95331" w:rsidP="00D95331">
      <w:pPr>
        <w:widowControl/>
        <w:rPr>
          <w:rFonts w:ascii="Arial" w:hAnsi="Arial" w:cs="Arial"/>
          <w:b/>
        </w:rPr>
        <w:sectPr w:rsidR="00D95331" w:rsidRPr="00941055" w:rsidSect="00941055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D95331" w:rsidRPr="00941055" w:rsidRDefault="00D95331" w:rsidP="00235AA5">
      <w:pPr>
        <w:pStyle w:val="ATHeading3"/>
      </w:pPr>
      <w:bookmarkStart w:id="8" w:name="_Toc146792446"/>
      <w:bookmarkStart w:id="9" w:name="_Toc161993035"/>
      <w:r w:rsidRPr="00941055">
        <w:lastRenderedPageBreak/>
        <w:t xml:space="preserve">2. </w:t>
      </w:r>
      <w:r w:rsidR="00235AA5" w:rsidRPr="00941055">
        <w:t>Rozhodnutí Evropského parlamentu</w:t>
      </w:r>
      <w:bookmarkEnd w:id="8"/>
      <w:bookmarkEnd w:id="9"/>
      <w:r w:rsidR="00235AA5">
        <w:t xml:space="preserve"> </w:t>
      </w:r>
      <w:r w:rsidR="00987D96" w:rsidRPr="00941055">
        <w:t xml:space="preserve">ze dne 11. dubna 2024 </w:t>
      </w:r>
      <w:r w:rsidRPr="00941055">
        <w:t xml:space="preserve">o uzavření účtů Agentury Evropské </w:t>
      </w:r>
      <w:r w:rsidR="00067CD2">
        <w:t xml:space="preserve">unie pro otázky azylu (před </w:t>
      </w:r>
      <w:proofErr w:type="gramStart"/>
      <w:r w:rsidR="00067CD2">
        <w:t>19.</w:t>
      </w:r>
      <w:r w:rsidRPr="00941055">
        <w:t>1. 2022</w:t>
      </w:r>
      <w:proofErr w:type="gramEnd"/>
      <w:r w:rsidRPr="00941055">
        <w:t xml:space="preserve"> Evropský podpůrný úřad pro otázky azylu) na rozpočtový rok 2022</w:t>
      </w:r>
      <w:r w:rsidR="00235AA5">
        <w:t xml:space="preserve"> </w:t>
      </w:r>
      <w:r w:rsidRPr="00941055">
        <w:t>(2023/2164(DEC))</w:t>
      </w:r>
    </w:p>
    <w:p w:rsidR="00D95331" w:rsidRPr="00941055" w:rsidRDefault="00D95331" w:rsidP="00D95331">
      <w:pPr>
        <w:pStyle w:val="EPComma"/>
      </w:pPr>
      <w:r w:rsidRPr="00941055">
        <w:rPr>
          <w:i/>
        </w:rPr>
        <w:t>Evropský parlament</w:t>
      </w:r>
      <w:r w:rsidRPr="00941055">
        <w:t>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konečnou roční účetní závěrku Agentury Evropské unie pro otázky azylu za rozpočtový rok 2022,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výroční zprávu Účetního dvora o agenturách EU za rozpočtový rok 2022 spolu s odpověďmi agentur</w:t>
      </w:r>
      <w:r w:rsidRPr="00941055">
        <w:rPr>
          <w:rStyle w:val="FootnoteReference"/>
        </w:rPr>
        <w:footnoteReference w:id="7"/>
      </w:r>
      <w:r w:rsidRPr="00941055">
        <w:t>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prohlášení o věrohodnosti</w:t>
      </w:r>
      <w:r w:rsidRPr="00941055">
        <w:rPr>
          <w:rStyle w:val="FootnoteReference"/>
        </w:rPr>
        <w:footnoteReference w:id="8"/>
      </w:r>
      <w:r w:rsidRPr="00941055">
        <w:t xml:space="preserve"> účetnictví a o legalitě a správnosti uskutečněných operací, které předložil Účetní dvůr za rozpočtový rok 2022 podle článku 287 Smlouvy o fungování Evropské unie,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doporučení Rady ze dne 22. února 2024 o udělení absolutoria agentuře za plnění rozpočtu na rozpočtový rok 2022 (0</w:t>
      </w:r>
      <w:r w:rsidR="00424C51">
        <w:t>618</w:t>
      </w:r>
      <w:r w:rsidRPr="00941055">
        <w:t>0/2024 – C9</w:t>
      </w:r>
      <w:r w:rsidRPr="00941055">
        <w:noBreakHyphen/>
        <w:t>0</w:t>
      </w:r>
      <w:r w:rsidR="00424C51">
        <w:t>1</w:t>
      </w:r>
      <w:r w:rsidRPr="00941055">
        <w:t>0</w:t>
      </w:r>
      <w:r w:rsidR="00424C51">
        <w:t>2</w:t>
      </w:r>
      <w:r w:rsidRPr="00941055">
        <w:t>/2024),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článek 319 Smlouvy o fungování Evropské unie,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941055">
        <w:rPr>
          <w:rStyle w:val="FootnoteReference"/>
        </w:rPr>
        <w:footnoteReference w:id="9"/>
      </w:r>
      <w:r w:rsidRPr="00941055">
        <w:t>, a zejména článek 70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nařízení Evropského parlamentu a Rady (E</w:t>
      </w:r>
      <w:r w:rsidR="00665A31">
        <w:t>U</w:t>
      </w:r>
      <w:r w:rsidRPr="00941055">
        <w:t>) č. 439/2010 ze dne 19. května 2010 o zřízení Evropského podpůrného úřadu pro otázky azylu</w:t>
      </w:r>
      <w:r w:rsidRPr="00941055">
        <w:rPr>
          <w:rStyle w:val="FootnoteReference"/>
        </w:rPr>
        <w:footnoteReference w:id="10"/>
      </w:r>
      <w:r w:rsidRPr="00941055">
        <w:t>, a zejména na článek 36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 ohledem na nařízení Evropského parlamentu a Rady (EU) 2021/2303 ze dne 15. prosince 2021 o zřízení Agentury Evropské unie pro otázky azylu a o zrušení nařízení (EU) č. 439/2010</w:t>
      </w:r>
      <w:r w:rsidRPr="00941055">
        <w:rPr>
          <w:rStyle w:val="FootnoteReference"/>
        </w:rPr>
        <w:footnoteReference w:id="11"/>
      </w:r>
      <w:r w:rsidRPr="00941055">
        <w:t>, a zejména na článek 55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nařízení Komise v přenesené pravomoci (EU) 2019/715 ze dne 18. prosince 2018 o rámcovém finančním nařízení pro subjekty zřízené podle S</w:t>
      </w:r>
      <w:r w:rsidR="00987D96">
        <w:t xml:space="preserve">mlouvy o fungování </w:t>
      </w:r>
      <w:r w:rsidRPr="00941055">
        <w:t>E</w:t>
      </w:r>
      <w:r w:rsidR="00987D96">
        <w:t>vropské unie</w:t>
      </w:r>
      <w:r w:rsidRPr="00941055">
        <w:t xml:space="preserve"> a Smlouvy o Euratomu a uvedené v článku 70 nařízení Evropského parlamentu a Rady (EU, Euratom) 2018/1046</w:t>
      </w:r>
      <w:r w:rsidRPr="00941055">
        <w:rPr>
          <w:rStyle w:val="FootnoteReference"/>
        </w:rPr>
        <w:footnoteReference w:id="12"/>
      </w:r>
      <w:r w:rsidRPr="00941055">
        <w:t>, a zejména na článek 105 tohoto nařízení,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článek 100 a přílohu V jednacího řádu,</w:t>
      </w:r>
    </w:p>
    <w:p w:rsidR="00D95331" w:rsidRPr="00941055" w:rsidRDefault="00D95331" w:rsidP="00235AA5">
      <w:pPr>
        <w:pStyle w:val="NormalHanging12a"/>
      </w:pPr>
      <w:r w:rsidRPr="00941055">
        <w:lastRenderedPageBreak/>
        <w:t>–</w:t>
      </w:r>
      <w:r w:rsidRPr="00941055">
        <w:tab/>
        <w:t>s ohledem na stanovisko Výboru pro občanské svobody, spravedlnost a vnitřní věci,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zprávu Výboru pro rozpočtovou kontrolu (A9</w:t>
      </w:r>
      <w:r w:rsidRPr="00941055">
        <w:noBreakHyphen/>
        <w:t>0106/2024),</w:t>
      </w:r>
    </w:p>
    <w:p w:rsidR="00D95331" w:rsidRPr="00941055" w:rsidRDefault="00D95331" w:rsidP="00235AA5">
      <w:pPr>
        <w:pStyle w:val="NormalHanging12a"/>
      </w:pPr>
      <w:r w:rsidRPr="00941055">
        <w:t>1.</w:t>
      </w:r>
      <w:r w:rsidRPr="00941055">
        <w:tab/>
        <w:t>schvaluje uzavření účtů Agentury Evropské unie pro otázky azylu za rozpočtový rok 2022;</w:t>
      </w:r>
    </w:p>
    <w:p w:rsidR="00D95331" w:rsidRPr="00941055" w:rsidRDefault="00D95331" w:rsidP="00235AA5">
      <w:pPr>
        <w:pStyle w:val="NormalHanging12a"/>
      </w:pPr>
      <w:r w:rsidRPr="00941055">
        <w:t>2.</w:t>
      </w:r>
      <w:r w:rsidRPr="00941055">
        <w:tab/>
        <w:t>pověřuje svou předsedkyni, aby předala toto rozhodnutí výkonné ředitelce Agentury Evropské unie pro otázky azylu, Radě, Komisi a Účetnímu dvoru a aby zajistila jeho zveřejnění v </w:t>
      </w:r>
      <w:r w:rsidRPr="00941055">
        <w:rPr>
          <w:i/>
        </w:rPr>
        <w:t>Úředním věstníku Evropské unie</w:t>
      </w:r>
      <w:r w:rsidRPr="00941055">
        <w:t xml:space="preserve"> (řada L).</w:t>
      </w:r>
    </w:p>
    <w:p w:rsidR="00D95331" w:rsidRPr="00941055" w:rsidRDefault="00D95331" w:rsidP="00D95331"/>
    <w:p w:rsidR="00D95331" w:rsidRPr="00941055" w:rsidRDefault="00D95331" w:rsidP="00D95331">
      <w:pPr>
        <w:widowControl/>
        <w:rPr>
          <w:rFonts w:ascii="Arial" w:hAnsi="Arial" w:cs="Arial"/>
          <w:b/>
        </w:rPr>
        <w:sectPr w:rsidR="00D95331" w:rsidRPr="00941055" w:rsidSect="00941055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D95331" w:rsidRPr="00941055" w:rsidRDefault="00D95331" w:rsidP="00235AA5">
      <w:pPr>
        <w:pStyle w:val="ATHeading3"/>
      </w:pPr>
      <w:bookmarkStart w:id="10" w:name="_Toc146792447"/>
      <w:bookmarkStart w:id="11" w:name="_Toc161993036"/>
      <w:r w:rsidRPr="00941055">
        <w:lastRenderedPageBreak/>
        <w:t xml:space="preserve">3. </w:t>
      </w:r>
      <w:r w:rsidR="00235AA5" w:rsidRPr="00941055">
        <w:t>Usnesení Evropského parlamentu</w:t>
      </w:r>
      <w:bookmarkEnd w:id="10"/>
      <w:bookmarkEnd w:id="11"/>
      <w:r w:rsidR="00235AA5">
        <w:t xml:space="preserve"> </w:t>
      </w:r>
      <w:r w:rsidR="00987D96" w:rsidRPr="00941055">
        <w:t xml:space="preserve">ze dne 11. dubna 2024 </w:t>
      </w:r>
      <w:r w:rsidRPr="00941055">
        <w:t xml:space="preserve">obsahující připomínky, které jsou nedílnou součástí rozhodnutí o udělení absolutoria za plnění rozpočtu Agentury Evropské </w:t>
      </w:r>
      <w:r w:rsidR="00067CD2">
        <w:t xml:space="preserve">unie pro otázky azylu (před </w:t>
      </w:r>
      <w:proofErr w:type="gramStart"/>
      <w:r w:rsidR="00067CD2">
        <w:t>19.</w:t>
      </w:r>
      <w:bookmarkStart w:id="12" w:name="_GoBack"/>
      <w:bookmarkEnd w:id="12"/>
      <w:r w:rsidRPr="00941055">
        <w:t>1. 2022</w:t>
      </w:r>
      <w:proofErr w:type="gramEnd"/>
      <w:r w:rsidRPr="00941055">
        <w:t xml:space="preserve"> Evropský podpůrný úřad pro otázky azylu) na rozpočtový rok 2022</w:t>
      </w:r>
      <w:r w:rsidR="00235AA5">
        <w:t xml:space="preserve"> </w:t>
      </w:r>
      <w:r w:rsidRPr="00941055">
        <w:t>(2023/2164(DEC))</w:t>
      </w:r>
    </w:p>
    <w:p w:rsidR="00D95331" w:rsidRPr="00941055" w:rsidRDefault="00D95331" w:rsidP="00D95331">
      <w:pPr>
        <w:pStyle w:val="EPComma"/>
      </w:pPr>
      <w:r w:rsidRPr="00941055">
        <w:rPr>
          <w:i/>
        </w:rPr>
        <w:t>Evropský parlament</w:t>
      </w:r>
      <w:r w:rsidRPr="00941055">
        <w:t>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své rozhodnutí o udělení absolutoria za plnění rozpočtu Agentury Evropské unie pro otázky azylu na rozpočtový rok 2022,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článek 100 a přílohu V jednacího řádu,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stanovisko Výboru pro občanské svobody, spravedlnost a vnitřní věci,</w:t>
      </w:r>
    </w:p>
    <w:p w:rsidR="00D95331" w:rsidRPr="00941055" w:rsidRDefault="00D95331" w:rsidP="00235AA5">
      <w:pPr>
        <w:pStyle w:val="NormalHanging12a"/>
      </w:pPr>
      <w:r w:rsidRPr="00941055">
        <w:t>–</w:t>
      </w:r>
      <w:r w:rsidRPr="00941055">
        <w:tab/>
        <w:t>s ohledem na zprávu Výboru pro rozpočtovou kontrolu (A9</w:t>
      </w:r>
      <w:r w:rsidRPr="00941055">
        <w:noBreakHyphen/>
        <w:t>0106/2024),</w:t>
      </w:r>
    </w:p>
    <w:p w:rsidR="00D95331" w:rsidRPr="00941055" w:rsidRDefault="00D95331" w:rsidP="00235AA5">
      <w:pPr>
        <w:pStyle w:val="Normal12Hanging"/>
        <w:rPr>
          <w:color w:val="000000" w:themeColor="text1"/>
          <w:szCs w:val="24"/>
          <w:lang w:val="cs-CZ"/>
        </w:rPr>
      </w:pPr>
      <w:r w:rsidRPr="00941055">
        <w:rPr>
          <w:lang w:val="cs-CZ"/>
        </w:rPr>
        <w:t>A.</w:t>
      </w:r>
      <w:r w:rsidRPr="00941055">
        <w:rPr>
          <w:lang w:val="cs-CZ"/>
        </w:rPr>
        <w:tab/>
      </w:r>
      <w:r w:rsidRPr="00941055">
        <w:rPr>
          <w:color w:val="000000" w:themeColor="text1"/>
          <w:lang w:val="cs-CZ"/>
        </w:rPr>
        <w:t>vzhledem k tomu, že konečný rozpočet Agentury Evropské unie pro otázky azylu (dále jen „agentura“) na rok 2022 činil podle jejího výkazu příjmů a výdajů</w:t>
      </w:r>
      <w:r w:rsidRPr="00941055">
        <w:rPr>
          <w:rStyle w:val="FootnoteReference"/>
          <w:color w:val="000000" w:themeColor="text1"/>
          <w:szCs w:val="24"/>
          <w:lang w:val="cs-CZ"/>
        </w:rPr>
        <w:footnoteReference w:id="13"/>
      </w:r>
      <w:r w:rsidRPr="00941055">
        <w:rPr>
          <w:color w:val="000000" w:themeColor="text1"/>
          <w:lang w:val="cs-CZ"/>
        </w:rPr>
        <w:t xml:space="preserve"> 186 842 192 EUR, což ve srovnání s rokem 2021 představuje navýšení o 12,46 %; vzhledem k tomu, že rozpočet agentury se odvíjí převážně od rozpočtu Unie;</w:t>
      </w:r>
    </w:p>
    <w:p w:rsidR="00D95331" w:rsidRPr="00941055" w:rsidRDefault="00D95331" w:rsidP="00235AA5">
      <w:pPr>
        <w:pStyle w:val="Normal12Hanging"/>
        <w:rPr>
          <w:color w:val="000000" w:themeColor="text1"/>
          <w:szCs w:val="24"/>
          <w:lang w:val="cs-CZ"/>
        </w:rPr>
      </w:pPr>
      <w:r w:rsidRPr="00941055">
        <w:rPr>
          <w:color w:val="000000" w:themeColor="text1"/>
          <w:lang w:val="cs-CZ"/>
        </w:rPr>
        <w:t>B.</w:t>
      </w:r>
      <w:r w:rsidRPr="00941055">
        <w:rPr>
          <w:color w:val="000000" w:themeColor="text1"/>
          <w:lang w:val="cs-CZ"/>
        </w:rPr>
        <w:tab/>
        <w:t>vzhledem k tomu, že v červnu 2022 podepsala agentura s Komisí dohodu o přiznání příspěvku na provádění fáze III nástroje předvstupní pomoci (NPP) nazvané Regionální podpora EU systémům řízení migrace zohledňujícím potřebu ochrany na západním Balkáně, fáze III, smlouva 2 (dále jen „NPP III – západní Balkán“) v celkové hodnotě 6 milionů EUR a s dobou provádění 47 měsíců;</w:t>
      </w:r>
    </w:p>
    <w:p w:rsidR="00D95331" w:rsidRPr="00941055" w:rsidRDefault="00D95331" w:rsidP="00235AA5">
      <w:pPr>
        <w:pStyle w:val="Normal12Hanging"/>
        <w:rPr>
          <w:color w:val="000000" w:themeColor="text1"/>
          <w:szCs w:val="24"/>
          <w:lang w:val="cs-CZ"/>
        </w:rPr>
      </w:pPr>
      <w:r w:rsidRPr="00941055">
        <w:rPr>
          <w:color w:val="000000" w:themeColor="text1"/>
          <w:lang w:val="cs-CZ"/>
        </w:rPr>
        <w:t>C.</w:t>
      </w:r>
      <w:r w:rsidRPr="00941055">
        <w:rPr>
          <w:color w:val="000000" w:themeColor="text1"/>
          <w:lang w:val="cs-CZ"/>
        </w:rPr>
        <w:tab/>
        <w:t>vzhledem k tomu, že v roce 2022 došlo k výraznému navýšení rozpočtu agentury v důsledku rozšíření úkolů podle nařízení (EU) 2021/2303, jehož cílem je, aby se agentura stala centrem odborných znalostí pro otázky azylu;</w:t>
      </w:r>
    </w:p>
    <w:p w:rsidR="00D95331" w:rsidRPr="00941055" w:rsidRDefault="00D95331" w:rsidP="00235AA5">
      <w:pPr>
        <w:pStyle w:val="Normal12Hanging"/>
        <w:rPr>
          <w:color w:val="000000" w:themeColor="text1"/>
          <w:szCs w:val="24"/>
          <w:lang w:val="cs-CZ"/>
        </w:rPr>
      </w:pPr>
      <w:r w:rsidRPr="00941055">
        <w:rPr>
          <w:color w:val="000000" w:themeColor="text1"/>
          <w:lang w:val="cs-CZ"/>
        </w:rPr>
        <w:t>D.</w:t>
      </w:r>
      <w:r w:rsidRPr="00941055">
        <w:rPr>
          <w:color w:val="000000" w:themeColor="text1"/>
          <w:lang w:val="cs-CZ"/>
        </w:rPr>
        <w:tab/>
        <w:t>vzhledem k tomu, že v roce 2022 bylo v Unii téměř 1 milion žadatelů o azyl a přibližně 4 miliony osob požívajících dočasné ochrany;</w:t>
      </w:r>
    </w:p>
    <w:p w:rsidR="00D95331" w:rsidRPr="00941055" w:rsidRDefault="00D95331" w:rsidP="00235AA5">
      <w:pPr>
        <w:spacing w:after="240"/>
        <w:ind w:left="567" w:hanging="567"/>
        <w:rPr>
          <w:color w:val="000000" w:themeColor="text1"/>
          <w:szCs w:val="24"/>
        </w:rPr>
      </w:pPr>
      <w:r w:rsidRPr="00941055">
        <w:rPr>
          <w:color w:val="000000" w:themeColor="text1"/>
        </w:rPr>
        <w:t>E.</w:t>
      </w:r>
      <w:r w:rsidRPr="00941055">
        <w:rPr>
          <w:color w:val="000000" w:themeColor="text1"/>
        </w:rPr>
        <w:tab/>
      </w:r>
      <w:r w:rsidRPr="00941055">
        <w:t>vzhledem k tomu, že Účetní dvůr ve své zprávě o roční účetní závěrce agentury za rozpočtový rok 2022 (dále jen „zpráva Účetního dvora“) uvedl, že získal přiměřenou jistotu, že účetní závěrka agentury je spolehlivá a že uskutečněné operace jsou legální a správné;</w:t>
      </w:r>
    </w:p>
    <w:p w:rsidR="00D95331" w:rsidRPr="00941055" w:rsidRDefault="00D95331" w:rsidP="00235AA5">
      <w:pPr>
        <w:spacing w:after="240"/>
        <w:ind w:left="567" w:hanging="567"/>
        <w:rPr>
          <w:b/>
          <w:i/>
          <w:szCs w:val="24"/>
        </w:rPr>
      </w:pPr>
      <w:r w:rsidRPr="00941055">
        <w:rPr>
          <w:b/>
          <w:i/>
        </w:rPr>
        <w:t>Rozpočtové a finanční řízení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1.</w:t>
      </w:r>
      <w:r w:rsidRPr="00941055">
        <w:tab/>
        <w:t>bere na vědomí, že díky monitorování rozpočtu v rozpočtovém roce 2022 dosáhla míra plnění u prostředků na závazky v běžném roce 96,23 %, což ve srovnání s rokem 2021 (96,67 %) představuje mírný pokles o 0,44 %; bere na vědomí, že míra čerpání prostředků na platby v běžném roce činila 89,55 %, což ve srovnání s předchozím rokem 2021 (90,91 %) představuje pokles o 1,36 %; se znepokojením bere na vědomí poměrně vysokou míru zrušení (15 %) prostředků přenesených z roku 2021 do roku 2022, čímž agentura nedosáhla cílové roční míry nižší než 10 %;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lastRenderedPageBreak/>
        <w:t>2.</w:t>
      </w:r>
      <w:r w:rsidRPr="00941055">
        <w:tab/>
        <w:t>upozorňuje, že v roce 2022 přijala správní rada agentury dvě změny rozpočtu; v této souvislosti bere na vědomí, že agentura provedla přezkum v polovině roku svého rozpočtu na rok 2022, na jehož základě rozhodla, že požádá Komisi o dodatečnou dotaci ve výši 12 milionů EUR na prostředky na závazky a 6 milionů EUR na prostředky na platby, aby mohla řešit dodatečné úkoly vyplývající z humanitární krize vyvolané nezákonnou a nevyprovokovanou invazí Ruska na Ukrajinu; konstatuje, že tyto částky byly zahrnuty do první změny rozpočtu agentury přijaté v září 2022; vyjadřuje však politování nad tím, že podzimní přezkum rozpočtu a plánování agentury upozornil na nepředvídaná zpoždění v provádění operačních plánů souvisejících s krizí na Ukrajině, což vedlo k záporné (druhé) změně rozpočtu, kterou přijala správní rada v listopadu 2022 a která znamenala snížení prostředků na platby o 12 milionů EUR; poznamenává rovněž, že ve změnách rozpočtu agentury se projevil také dobrovolný příspěvek Dánska (druhá splátka ve výši 94 063 EUR) na provádění „plánu spolupráce mezi úřadem EASO a Egyptem“ a první předběžné financování (ve výši 2 968 129 EUR) pro NPP III – západní Balkán;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3.</w:t>
      </w:r>
      <w:r w:rsidRPr="00941055">
        <w:tab/>
        <w:t xml:space="preserve">bere na vědomí připomínku ze zprávy Účetního dvora týkající se příspěvků zemí přidružených k </w:t>
      </w:r>
      <w:proofErr w:type="spellStart"/>
      <w:r w:rsidRPr="00941055">
        <w:t>Schengenu</w:t>
      </w:r>
      <w:proofErr w:type="spellEnd"/>
      <w:r w:rsidRPr="00941055">
        <w:t xml:space="preserve"> do rozpočtu agentury, že ujednání uzavřená mezi Unií a těmito zeměmi, která slouží jako právní základ pro výpočet jejich příspěvků, jsou nejasná a umožňují různý výklad, což má za následek, že příspěvky jednotlivých zemí přidružených k </w:t>
      </w:r>
      <w:proofErr w:type="spellStart"/>
      <w:r w:rsidRPr="00941055">
        <w:t>Schengenu</w:t>
      </w:r>
      <w:proofErr w:type="spellEnd"/>
      <w:r w:rsidRPr="00941055">
        <w:t xml:space="preserve"> (do rozpočtu agentury) jsou nižší přibližně o 0,7 milionu EUR (7 %), a to v důsledku použití vzorce pro výpočet, který Účetní dvůr považuje za chybný, neboť poměr příspěvků je vynásoben částkou, která odráží pouze dotaci z rozpočtu Unie na dotčené činnosti agentury, zatímco podle Účetního dvora by tato částka měla zahrnovat i podíl zemí přidružených k </w:t>
      </w:r>
      <w:proofErr w:type="spellStart"/>
      <w:r w:rsidRPr="00941055">
        <w:t>Schengenu</w:t>
      </w:r>
      <w:proofErr w:type="spellEnd"/>
      <w:r w:rsidRPr="00941055">
        <w:t xml:space="preserve">; vyzývá Komisi, aby se touto otázkou zabývala v nadcházejících jednáních se zeměmi přidruženými k </w:t>
      </w:r>
      <w:proofErr w:type="spellStart"/>
      <w:r w:rsidRPr="00941055">
        <w:t>Schengenu</w:t>
      </w:r>
      <w:proofErr w:type="spellEnd"/>
      <w:r w:rsidRPr="00941055">
        <w:t xml:space="preserve"> o nových dohodách, které budou zahrnovat účast zemí přidružených k </w:t>
      </w:r>
      <w:proofErr w:type="spellStart"/>
      <w:r w:rsidRPr="00941055">
        <w:t>Schengenu</w:t>
      </w:r>
      <w:proofErr w:type="spellEnd"/>
      <w:r w:rsidRPr="00941055">
        <w:t xml:space="preserve"> na činnosti agentury, a zajistí tak větší jasnost;</w:t>
      </w:r>
    </w:p>
    <w:p w:rsidR="00D95331" w:rsidRPr="00941055" w:rsidRDefault="00D95331" w:rsidP="00235AA5">
      <w:pPr>
        <w:spacing w:after="240"/>
        <w:ind w:left="567" w:hanging="567"/>
        <w:rPr>
          <w:szCs w:val="24"/>
        </w:rPr>
      </w:pPr>
      <w:r w:rsidRPr="00941055">
        <w:rPr>
          <w:b/>
          <w:i/>
        </w:rPr>
        <w:t>Výkonnost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4.</w:t>
      </w:r>
      <w:r w:rsidRPr="00941055">
        <w:tab/>
        <w:t>poznamenává, že pro rok 2022 byla výkonnost agentury měřena na základě 204 ročních cílů, z nichž 48 % bylo překročeno, 26 % dosaženo, 10 % téměř dosaženo, 12 % zpožděno a 4 % se neuplatňují;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5.</w:t>
      </w:r>
      <w:r w:rsidRPr="00941055">
        <w:tab/>
        <w:t>vyjadřuje uznání agentuře za významný pokrok, kterého dosáhla v roce 2022 při plném provádění nových ustanovení nařízení (EU) 2021/2033; bere zejména na vědomí, že – jak vyplývá z monitorovací zprávy agentury o udělení absolutoria za rok 2021 (dále jen „monitorovací zpráva“) – agentura zřídila poradní fórum, jakož i rezervní skupinu pro otázky azylu, kterou v polovině června 2023 tvořilo již 360 schválených odborníků z členských států (z celkového počtu 500, jak vyžaduje uvedené nařízení), a provedla nábor svého úředníka pro základní práva, který se ujal funkce v květnu 2023, stejně jako konzultace se zúčastněnými stranami s cílem vypracovat a přijmout mechanismus řešení stížností; v souvislosti s monitorovacím mechanismem poznamenává, že metodika a program jsou ve fázi vývoje a jejich přijetí je plánováno na první čtvrtletí roku 2024, po němž bude následovat pilotní monitorování;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6.</w:t>
      </w:r>
      <w:r w:rsidRPr="00941055">
        <w:tab/>
        <w:t xml:space="preserve">s ohledem na oblast činnosti týkající se vysílání styčných úředníků do členských států a třetích zemí bere na vědomí, že omezení lidských zdrojů vedlo agenturu ke sdružování členských států do skupin, přičemž jeden styčný úředník pokrývá až čtyři členské státy, a také bylo příčinou toho, že nebyl vypracován časový plán pro rozvoj styčných </w:t>
      </w:r>
      <w:r w:rsidRPr="00941055">
        <w:lastRenderedPageBreak/>
        <w:t>úředníků ve třetích zemích; uznává, že agentura potřebuje další zdroje, aby mohla v této oblasti provést veškeré požadavky nařízení (EU) 2021/2303, a znovu vyzývá Komisi, aby při rozhodování o budoucích plánech pracovních míst lépe zohlednila provozní potřeby agentury;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7.</w:t>
      </w:r>
      <w:r w:rsidRPr="00941055">
        <w:tab/>
        <w:t>uznává, že v roce 2022 agentura čelila novým úkolům a četným výzvám v důsledku nezákonné invaze Ruska na Ukrajinu; v této souvislosti konstatuje, že na žádost příslušných vnitrostátních orgánů agentura rozšířila svou činnost do dalších šesti členských států, takže operační plány nyní zahrnují celkem 14 členských států; oceňuje agenturu za to, že rovněž pomáhá těmto členským státům při provádění směrnice o dočasné ochraně; dále bere na vědomí, že agentura podpořila program dobrovolného přemístění, který pomáhá osobám prchajícím z Ukrajiny přemístit se v rámci Unie a požádat o dočasnou ochranu, poskytovala školení v oblasti dočasné ochrany vnitrostátním správním orgánům, vytvořila komunikační produkty pro jednotlivé země (brožury, letáky a plakáty) s informacemi o dočasné ochraně přizpůsobenými konkrétním podmínkám, zvýšila počet vypracovaných situačních analýz a poprvé vyslala své pracovníky do třetí země (Moldavsko); dále oceňuje silné zapojení agentury do vnějšího rozměru společného evropského azylového systému, který podporuje země EU+ s přesídlením 2 585 osob prostřednictvím podpory v rámci 13 výběrových a 3 předodjezdových misí;</w:t>
      </w:r>
    </w:p>
    <w:p w:rsidR="00D95331" w:rsidRPr="00941055" w:rsidRDefault="00D95331" w:rsidP="00235AA5">
      <w:pPr>
        <w:pStyle w:val="NormalHanging12a"/>
      </w:pPr>
      <w:r w:rsidRPr="00941055">
        <w:t>8.</w:t>
      </w:r>
      <w:r w:rsidRPr="00941055">
        <w:tab/>
        <w:t>poukazuje na to, že v roce 2022 agentura, kromě jiných dosažených úspěchů, vypracovala produkty týkající se zemí původu v rozsahu přibližně 3 000 stran, vyřídila více než 1 000 individuálních žádostí o informace souvisejících s činnostmi agentury v oblasti lékařské péče a zdravotnictví v příslušných zemích původu, poskytovala školení, kterých se celkem zúčastnil rekordní počet 13 000 účastníků, a zveřejnila a/nebo aktualizovala návodné pokyny agentury k určité zemi (Somálsko, Afghánistán a Irák); vyjadřuje rovněž agentuře uznání za pomoc poskytnutou zemím západního Balkánu prostřednictvím budování institucionálních kapacit, odborné přípravy a školení při práci v oblasti základních azylových řízení v Albánii, Bosně a Hercegovině, Kosovu, Černé Hoře, Severní Makedonii a Srbsku;</w:t>
      </w:r>
    </w:p>
    <w:p w:rsidR="00D95331" w:rsidRPr="00941055" w:rsidRDefault="00D95331" w:rsidP="00235AA5">
      <w:pPr>
        <w:pStyle w:val="NormalHanging12a"/>
        <w:rPr>
          <w:b/>
          <w:i/>
        </w:rPr>
      </w:pPr>
      <w:r w:rsidRPr="00941055">
        <w:rPr>
          <w:b/>
          <w:i/>
        </w:rPr>
        <w:t>Účinnost a přínosy</w:t>
      </w:r>
    </w:p>
    <w:p w:rsidR="00D95331" w:rsidRPr="00941055" w:rsidRDefault="00D95331" w:rsidP="00235AA5">
      <w:pPr>
        <w:pStyle w:val="NormalHanging12a"/>
      </w:pPr>
      <w:r w:rsidRPr="00941055">
        <w:t>9.</w:t>
      </w:r>
      <w:r w:rsidRPr="00941055">
        <w:tab/>
        <w:t xml:space="preserve">bere na vědomí, že agentura spolupracuje s několika agenturami působícími v oblasti spravedlnosti a vnitřních věcí (např. </w:t>
      </w:r>
      <w:proofErr w:type="spellStart"/>
      <w:r w:rsidRPr="00941055">
        <w:t>Frontex</w:t>
      </w:r>
      <w:proofErr w:type="spellEnd"/>
      <w:r w:rsidRPr="00941055">
        <w:t xml:space="preserve">, </w:t>
      </w:r>
      <w:proofErr w:type="spellStart"/>
      <w:r w:rsidRPr="00941055">
        <w:t>eu</w:t>
      </w:r>
      <w:proofErr w:type="spellEnd"/>
      <w:r w:rsidRPr="00941055">
        <w:t xml:space="preserve">-LISA, FRA, CEPOL), mimo jiné pokud jde o produkty situační orientace, podporu při řešení operačních úkolů (včetně nasazených pracovníků), učení a výměnu informací, stejně jako odbornou přípravu a budování kapacit; zdůrazňuje význam spolupráce pro správné rozdělení zdrojů; dále bere na vědomí, že agentura </w:t>
      </w:r>
      <w:proofErr w:type="spellStart"/>
      <w:r w:rsidRPr="00941055">
        <w:t>eu</w:t>
      </w:r>
      <w:proofErr w:type="spellEnd"/>
      <w:r w:rsidRPr="00941055">
        <w:t xml:space="preserve">-LISA na základě dohody o úrovni služeb poskytuje agentuře </w:t>
      </w:r>
      <w:proofErr w:type="spellStart"/>
      <w:r w:rsidRPr="00941055">
        <w:t>hosting</w:t>
      </w:r>
      <w:proofErr w:type="spellEnd"/>
      <w:r w:rsidRPr="00941055">
        <w:t xml:space="preserve"> internetových stránek pro obnovení provozu po havárii pro logickou infrastrukturu IKT a komunikace agentury; vybízí agenturu, aby v rámci svého nového mandátu pokračovala v hledání způsobů výměny osvědčených postupů a příležitostí za účelem sdílení zdrojů a dalšího rozvoje součinnosti v oblastech společného zájmu s ostatními agenturami v zájmu zlepšení účinnosti;</w:t>
      </w:r>
    </w:p>
    <w:p w:rsidR="00D95331" w:rsidRPr="00941055" w:rsidRDefault="00D95331" w:rsidP="00235AA5">
      <w:pPr>
        <w:pStyle w:val="NormalHanging12a"/>
      </w:pPr>
      <w:r w:rsidRPr="00941055">
        <w:t>10.</w:t>
      </w:r>
      <w:r w:rsidRPr="00941055">
        <w:tab/>
        <w:t xml:space="preserve">vítá opatření, která agentura přijala v roce 2022 za účelem zvýšení účinnosti a zjednodušení, jako je snížení počtu procesních kroků, automatizace opakujících se úkolů a zavedení organizačního modelu pro poskytování horizontálních služeb, který přibližuje administrativní odbornost k místu použití prostřednictvím přítomnosti na dálku, přítomnosti na místě nebo hybridní přítomnosti, a to ve prospěch operací v </w:t>
      </w:r>
      <w:r w:rsidRPr="00941055">
        <w:lastRenderedPageBreak/>
        <w:t>jednotlivých zemích v oblastech, jako je finanční zahájení transakce, podpora v oblasti informačních a komunikačních technologií, právní podpora či správa infrastruktury; oceňuje zvýšenou efektivitu, kterou agentura prokázala zajišťováním bezpečnosti zaměstnanců ve více operacích a zemích se stejnými zdroji jako v roce 2021; dále bere na vědomí, že agentura provedla několik opatření zaměřených na větší účinnost v oblasti kybernetické bezpečnosti (např. prostřednictvím automatizovaného pracovního postupu pro reakci na incidenty), zadávání veřejných zakázek (prostřednictvím stanovení kontaktních míst pro nejčastěji pořizované zboží a služby s cílem zvýšit kvalitu a včasnost postupů a poskytnout podporu od počátečních fází zadávání veřejných zakázek), informačních a komunikačních technologií (tím, že uživatelům nabídla jednotný zdroj informací o stavu jejich žádostí) a lidských zdrojů (mimo jiné otevřením prvních modulů systému SYSPER zahrnujících totožnost, organizaci, profesní dráhu, osobní údaje a organizaci času, a prostřednictvím systému kartotéky útvarů lidských zdrojů pro podpůrné služby poskytované všem zaměstnancům agentury); vyzývá agenturu, aby plně provedla nástroj Komise pro řízení veřejných zakázek; bere na vědomí, že – jak vyplývá z konsolidované výroční zprávy o činnosti agentury za rok 2022 – podíl zdrojů přidělených na provozní činnosti agentury se v roce 2022 opět zvýšil a dosahoval 79,13 % (ve srovnání s</w:t>
      </w:r>
      <w:r w:rsidR="00987D96">
        <w:t>e</w:t>
      </w:r>
      <w:r w:rsidRPr="00941055">
        <w:t> 72,14 % v roce 2021 a 68,68 % v roce 2020);</w:t>
      </w:r>
    </w:p>
    <w:p w:rsidR="00D95331" w:rsidRPr="00941055" w:rsidRDefault="00D95331" w:rsidP="00235AA5">
      <w:pPr>
        <w:pStyle w:val="NormalHanging12a"/>
      </w:pPr>
      <w:r w:rsidRPr="00941055">
        <w:t>11.</w:t>
      </w:r>
      <w:r w:rsidRPr="00941055">
        <w:tab/>
        <w:t>s politováním konstatuje, že – jak vyplývá ze zprávy Účetního dvora – agentura nepatří k organizacím, které zavedly vlastní plány, jak zlepšit energetickou účinnost a klimatickou neutralitu svých činností, v rámci svých výročních zpráv o činnosti však v určité podobě podává zprávy v oblasti životního prostředí a získala registraci v systému EMAS; upozorňuje však, že – jak vyplývá z odpovědí agentury na písemné dotazy Parlamentu – v roce 2022 agentura zahájila první fázi přípravy návrhu a zavedení systému environmentálního řízení a podnikla přípravná opatření pro jeho další fáze; vybízí agenturu, aby pokračovala v činnostech zaměřených na budování kapacit a spolupracovala s dalšími agenturami a orgány Unie s cílem urychlit proces certifikace agentury v rámci systému EMAS; zdůrazňuje, že agentura zahrnuje environmentální aspekty do technických specifikací nebo kritérií pro zadání zakázky, např. u zakázek na budovy, stravovací služby, úklidové služby a další; vyzývá agenturu, aby rovněž zvážila vypracování vlastní politiky zadávání zelených veřejných zakázek;</w:t>
      </w:r>
      <w:r w:rsidRPr="00941055">
        <w:rPr>
          <w:b/>
          <w:i/>
        </w:rPr>
        <w:t> </w:t>
      </w:r>
      <w:r w:rsidRPr="00941055">
        <w:t>naléhavě vyzývá agenturu, aby zvážila zavedení středně udržitelných a energeticky účinných řešení jak ve své infrastruktuře, tak ve vnitřních procesech, jako je zvýšené využívání digitálních nástrojů a správa dokumentů;</w:t>
      </w:r>
    </w:p>
    <w:p w:rsidR="00D95331" w:rsidRPr="00941055" w:rsidRDefault="00D95331" w:rsidP="00235AA5">
      <w:pPr>
        <w:spacing w:after="240"/>
        <w:ind w:left="567" w:hanging="567"/>
        <w:rPr>
          <w:b/>
          <w:i/>
          <w:szCs w:val="24"/>
        </w:rPr>
      </w:pPr>
      <w:r w:rsidRPr="00941055">
        <w:rPr>
          <w:b/>
          <w:i/>
        </w:rPr>
        <w:t>Personální politika</w:t>
      </w:r>
    </w:p>
    <w:p w:rsidR="00D95331" w:rsidRPr="00941055" w:rsidRDefault="00D95331" w:rsidP="00235AA5">
      <w:pPr>
        <w:pStyle w:val="NormalHanging12a"/>
      </w:pPr>
      <w:r w:rsidRPr="00941055">
        <w:t>12.</w:t>
      </w:r>
      <w:r w:rsidRPr="00941055">
        <w:tab/>
        <w:t>bere na vědomí genderové složení ve vyšších a středních úrovních vedení agentury, které tvoří 9 mužů (69 %) a 4 ženy (31 %) (stejné složení jako v roce 2021), přičemž správní rada je složena z 27 mužů (48 %) a 29 žen (52 %) (lepší rozdělení než v roce 2021) a mezi zaměstnanci celkem je 203 mužů (39 %) a 316 žen (61 %) (stejné rozdělení jako v roce 2021); připomíná, že je důležité zajistit, aby zastoupení žen a mužů bylo vyvážené, a vyzývá agenturu, aby tento zájem zohlednila v budoucím náboru zaměstnanců i při jmenování členů svého vrcholného vedení a správní rady; s uznáním sleduje odhodlání agentury zahrnout do své připravované strategie lidských zdrojů opatření, která budou prioritně podporovat genderovou vyváženost a rozmanitost v agentuře a podporovat programy rozvoje manažerských schopností přizpůsobené začínajícím vedoucím pracovníkům; vyzývá agenturu, aby orgánu příslušnému pro udělení absolutoria předložila zprávu o plnění tohoto závazku;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lastRenderedPageBreak/>
        <w:t>13.</w:t>
      </w:r>
      <w:r w:rsidRPr="00941055">
        <w:tab/>
        <w:t>bere na vědomí, že ke dni 31. prosince 2022 byl plán pracovních míst naplněn z 90 % (v roce 2021 to bylo z 87 %), přičemž z 371 míst dočasných zaměstnanců povolených v rozpočtu Unie (ve srovnání s 366 povolenými místy v roce 2021) jich bylo obsazeno 333; vítá opětovné zvýšení míry obsazenosti agentury; vyjadřuje politování nad tím, že došlo ke zvýšení fluktuace v rámci agentury ze 4,1 % v roce 2021 na 8,2 % v roce 2022; konstatuje, že v roce 2022 pro agenturu dále pracovalo 184 smluvních zaměstnanců a deset vyslaných národních odborníků; zdůrazňuje, že v souvislosti s válkou na Ukrajině a prováděním směrnice o dočasné ochraně poskytla Komise agentuře 90 krátkodobých pracovních míst pro smluvní zaměstnance na dobu dvou let; poznamenává, že v roce 2022 agentura zveřejnila 29 oznámení o volných pracovních místech a zveřejnila 138 nabídek práce pro dočasné a smluvní zaměstnance;</w:t>
      </w:r>
    </w:p>
    <w:p w:rsidR="00D95331" w:rsidRPr="00941055" w:rsidRDefault="00D95331" w:rsidP="00235AA5">
      <w:pPr>
        <w:pStyle w:val="NormalHanging12a"/>
      </w:pPr>
      <w:r w:rsidRPr="00941055">
        <w:t>14.</w:t>
      </w:r>
      <w:r w:rsidRPr="00941055">
        <w:tab/>
        <w:t>vítá politiku agentury týkající se ochrany důstojnosti osoby a předcházení psychickému a sexuálnímu obtěžování, provádění pravidel Komise pro vedení správních šetření a kárných řízení a interní pokyny týkající se žádostí o pomoc podle článku 24 služebního řádu úředníků; bere na vědomí, že – jak vyplývá z odpovědí agentury na písemné otázky Parlamentu – v roce 2022 byly agentuře nahlášeny tři případy obtěžování, z nichž dva byly zamítnuty, neboť nebyly předloženy žádné přímé důkazy o obtěžování, a uzavřeny bez dalších opatření, zatímco ve třetím případě bylo zahájeno správní šetření; vyzývá agenturu, aby orgán příslušný k udělení absolutoria o výsledku tohoto šetření informovala; s uspokojením konstatuje, že na základě doporučení Útvaru interního auditu Komise přijala agentura v dubnu 2023 pokyny pro správní vyšetřování a kárné řízení; zdůrazňuje, že je důležité mít zavedeny spolehlivé rámce proti obtěžování, zejména ve vysoce stresovém a náročném pracovním prostředí; vyzývá agenturu, aby zavedla systém odborné přípravy v této oblasti jak pro nově příchozí, tak pro stávající zaměstnance;</w:t>
      </w:r>
    </w:p>
    <w:p w:rsidR="00D95331" w:rsidRPr="00941055" w:rsidRDefault="00D95331" w:rsidP="00235AA5">
      <w:pPr>
        <w:pStyle w:val="NormalHanging12a"/>
      </w:pPr>
      <w:r w:rsidRPr="00941055">
        <w:t>15.</w:t>
      </w:r>
      <w:r w:rsidRPr="00941055">
        <w:tab/>
        <w:t>bere na vědomí, že – jak vyplývá z opatření agentury přijatých v návaznosti na horizontální připomínky Parlamentu v souvislosti s postupem udělování absolutoria za rok 2021, stejně jako z monitorovací zprávy agentury – agentura v posledních letech (od roku 2019) využívá při řešení případů údajného obtěžování (tj. v případě žádostí o pomoc podle článku 24 služebního řádu) služeb externí právní kanceláře (která se specializuje na právo Unie v oblasti veřejné služby); v této souvislosti poznamenává, že oddělení právních služeb agentury provádí hodnocení, zda je třeba požádat o podporu nebo poradenství externí právní kancelář, a že toto oddělení řídí příslušný postup a ve všech těchto případech spolupracuje s oddělením lidských zdrojů agentury;</w:t>
      </w:r>
    </w:p>
    <w:p w:rsidR="00D95331" w:rsidRPr="00941055" w:rsidRDefault="00D95331" w:rsidP="00235AA5">
      <w:pPr>
        <w:pStyle w:val="NormalHanging12a"/>
      </w:pPr>
      <w:r w:rsidRPr="00941055">
        <w:t>16.</w:t>
      </w:r>
      <w:r w:rsidRPr="00941055">
        <w:tab/>
        <w:t xml:space="preserve">připomíná zjištění Účetního dvora, že v roce 2020 měla agentura v plánu pracovních míst 16 neobsazených vedoucích míst, přičemž 10 z nich bylo obsazeno pracovníky, kteří vykonávali funkci dočasně déle než jeden rok, jakož i další problémy, jako je zastávání dvou funkcí zastupujícími vedoucími pracovníky; s uspokojením bere na vědomí – na základě monitorovací zprávy agentury – následná zmírňující opatření, která agentura přijala s cílem dodržet čl. 7 odst. 2 služebního řádu, a to nejprve tím, že na konci roku 2022 snížila počet dočasných jmenování vedoucích pracovníků na dobu delší než jeden rok na dvě, a následně je od roku 2023 zcela zrušila, takže nyní už na dočasné vedoucí pozici není žádný zaměstnanec déle než jeden rok; oceňuje zájem agentury o stanovení priorit pro nábor vedoucích pracovníků; oceňuje agenturu za pokrok dosažený v letech 2022 a 2023, pokud jde o postupy přijímání zaměstnanců na různé vedoucí pozice na střední a vyšší úrovni, včetně pozice zástupce výkonného ředitele, přičemž, jak vyplývá z monitorovací zprávy agentury, dvě výběrová řízení byla dokončena a devět výběrových řízení probíhalo nebo nebylo dokončeno; poznamenává, </w:t>
      </w:r>
      <w:r w:rsidRPr="00941055">
        <w:lastRenderedPageBreak/>
        <w:t>že – jak vyplývá z internetových stránek agentury – k 15. lednu 2024 je vedoucí administrativního střediska agentury jmenován dočasně a vedoucí střediska pro institucionální a horizontální záležitosti agentury vykonává funkci jako zastupující vedoucí; konstatuje, že výběrové řízení na pozici vedoucího administrativního střediska probíhá a očekává se, že bude dokončeno v prvním čtvrtletí 2024; dále konstatuje, že probíhá výběrové řízení na pozici vedoucího střediska pro institucionální a horizontální záležitosti a očekává se, že bude dokončeno v prvním čtvrtletí 2024; vyzývá agenturu, aby orgán příslušný k udělení absolutoria informovala o výsledcích všech těchto postupů;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17.</w:t>
      </w:r>
      <w:r w:rsidRPr="00941055">
        <w:tab/>
        <w:t>zdůrazňuje, že zmírňující opatření, která agentura přijala s cílem dodržet čl. 7 odst. 2 služebního řádu, zjišťovací mise provedená Útvarem interního auditu v říjnu 2022, činnost Účetního dvora v terénu v rámci auditu za rozpočtový rok 2022, příslušné připomínky Parlamentu určené agentuře v usnesení Parlamentu o udělení absolutoria za rok 2021, jakož i (probíhající) vyšetřování, které zahájil Evropský úřad pro boj proti podvodům (OLAF) dne 24. listopadu 2022, jsou částečně výsledkem anonymního e-mailu, který obsahoval četná obvinění mimo jiné z nesrovnalostí týkajících se zaměstnanců, jež způsobil celý tým vrcholného vedení agentury; vyzývá agenturu k plné spolupráci s úřadem OLAF při probíhajícím vyšetřování; bere na vědomí, že – jak vyplývá z konsolidované výroční zprávy o činnosti agentury za rok 2022 – výpočet příplatků za dočasné obsazení vedoucích pracovních míst byl legální a správný, zatímco dočasné obsazení pracovních míst na dobu delší než jeden rok nebylo v souladu s předpisy, nevedlo však k neoprávněným platbám; vyzývá agenturu, aby informoval orgán příslušný k udělení absolutoria o průběhu a fázích vyšetřování;</w:t>
      </w:r>
    </w:p>
    <w:p w:rsidR="00D95331" w:rsidRPr="00941055" w:rsidRDefault="00D95331" w:rsidP="00235AA5">
      <w:pPr>
        <w:pStyle w:val="NormalHanging12a"/>
      </w:pPr>
      <w:r w:rsidRPr="00941055">
        <w:t>18.</w:t>
      </w:r>
      <w:r w:rsidRPr="00941055">
        <w:tab/>
        <w:t>je znepokojen vnitřním řízením a postupy agentury vzhledem k tomu, že v roce 2022 zahájil úřad OLAF jedno vyšetřování týkající se řídících a personálních politik, které údajně zahrnovalo nepotismus, a také vyšetřování nedostatečného dodržování lidských práv; znovu vyzývá agenturu, aby plně spolupracovala s vyšetřovacím orgánem a včas informovala orgán příslušný k udělení absolutoria o výsledcích a nápravných opatřeních;</w:t>
      </w:r>
    </w:p>
    <w:p w:rsidR="00D95331" w:rsidRPr="00941055" w:rsidRDefault="00D95331" w:rsidP="00235AA5">
      <w:pPr>
        <w:spacing w:after="240"/>
        <w:ind w:left="567" w:hanging="567"/>
      </w:pPr>
      <w:r w:rsidRPr="00941055">
        <w:t>19.</w:t>
      </w:r>
      <w:r w:rsidRPr="00941055">
        <w:tab/>
        <w:t xml:space="preserve">připomíná, že v roce 2018 úřad OLAF ukončil další vyšetřování, které vedlo ke zjištěním spojeným např. s pochybeními při řízení lidských zdrojů, k odstoupení tehdejšího výkonného ředitele agentury a k přijetí akčního plánu řízení ze strany správní rady agentury, který měl za cíl obnovit důvěru v rámci agentury i vůči veřejnosti, posílit strukturu řízení a obnovit vnitřní kapacitu; konstatuje, že Účetní dvůr ve své výroční zprávě uzavřel a považoval za vyřešenou připomínku týkající se vysokého počtu neobsazených vedoucích pozic, jakož i problémů souvisejících s nejistotou na úrovni vedoucích pozic, které mohly narušit vedení agentury a její strategickou kontinuitu; uznává, že podle čl. 41 odst. 1 písm. t) nařízení o agentuře EUAA přijímá správní rada veškerá rozhodnutí o zřízení vnitřních struktur agentury, zatímco Komise jako člen správní rady agentury pravidelně dohlíží na reorganizaci agentury; konstatuje nicméně, že navzdory reorganizaci, kterou agentura provedla v posledních letech, se zdá, že stále existují problémy, jak uvádí anonymní dopis z ledna 2023; bere na vědomí závěry Účetního dvora za rozpočtový rok 2022 na základě nápravných opatření přijatých agenturou; v této souvislosti vyzývá Komisi, aby nalezla řešení pro provedení nezávislého posouzení nedávné reorganizace agentury, a očekává, že probíhající audit interního útvaru týkající se řízení lidských zdrojů poskytne relevantní hodnocení o tom, do jaké míry vykazuje současné organizační schéma agentury a rozdělení odpovědnosti mezi vedoucími pracovníky agentury na střední a vyšší úrovni náchylnost k rizikům </w:t>
      </w:r>
      <w:r w:rsidRPr="00941055">
        <w:lastRenderedPageBreak/>
        <w:t>neefektivity, pochybením při řízení lidských zdrojů a nedostatečné transparentnosti (mimo jiné i vůči správní radě agentury);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20.</w:t>
      </w:r>
      <w:r w:rsidRPr="00941055">
        <w:tab/>
        <w:t>se znepokojením konstatuje, že agentura nepřijala Chartu rozmanitosti a začleňování a ani nepodala zprávu o opatřeních přijatých za účelem integrace osob se zdravotním postižením; připomíná, že Listina základních práv Unie zakazuje diskriminaci na základě zdravotního postižení a uznává právo osob se zdravotním postižením využívat opatření zajišťující jejich nezávislost, začlenění do společnosti a zaměstnání a účast na životě společnosti; bere však na vědomí závazek agentury řešit tyto oblasti prostřednictvím opatření, která budou provedena, jakmile bude přijata připravovaná strategie v oblasti lidských zdrojů; dále poznamenává, že agentura přijala iniciativy a zavedla různá opatření za účelem zlepšení dobrých pracovních podmínek a rovnováhy mezi pracovním a soukromým životem svých zaměstnanců, jako jsou cílené vzdělávací kurzy, dohody o poskytování služeb s poskytovateli péče o děti a školami, služba psychologické a sociální podpory, osvětové kampaně a volnočasové aktivity;</w:t>
      </w:r>
    </w:p>
    <w:p w:rsidR="00D95331" w:rsidRPr="00941055" w:rsidRDefault="00D95331" w:rsidP="00235AA5">
      <w:pPr>
        <w:pStyle w:val="NormalHanging12a"/>
        <w:rPr>
          <w:b/>
          <w:i/>
          <w:szCs w:val="24"/>
        </w:rPr>
      </w:pPr>
      <w:r w:rsidRPr="00941055">
        <w:rPr>
          <w:b/>
          <w:i/>
        </w:rPr>
        <w:t>Zadávání veřejných zakázek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21.</w:t>
      </w:r>
      <w:r w:rsidRPr="00941055">
        <w:tab/>
        <w:t>znovu poukazuje na připomínky Účetního dvora za rozpočtové roky 2017 a 2020, podle nichž byla zadávací řízení na pronájem prostor na ostrově Lesbos a v Římě nesprávná z důvodu nedostatečného zajištění podmínek hospodářské soutěže a nedodržení zásady hospodárnosti; bere na vědomí, že – jak vyplývá ze zprávy Účetního dvora – všechny následné platby provedené v souvislosti s těmito řízeními jsou neoprávněné, včetně souvisejících plateb ve výši 281 095 EUR, které byly provedeny v roce 2022; s uspokojením bere na vědomí – na základě zprávy Účetního dvora – nápravná opatření přijatá agenturou, v jejichž důsledku skončila nájemní smlouva na prostory na ostrově Lesbos dne 30. dubna 2023 a na prostory v Římě dne 31. července 2023; bere na vědomí, že – jak vyplývá z konsolidované výroční zprávy o činnosti agentury za rok 2022 – se ve spolupráci s řeckými orgány hledá udržitelné řešení na pronájem prostor na ostrově Lesbos;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22.</w:t>
      </w:r>
      <w:r w:rsidRPr="00941055">
        <w:tab/>
        <w:t>bere na vědomí připomínku ze zprávy Účetního dvora, že agentura zakoupila vybavení IT z on-line katalogu poskytovatele, a nikoli z předem schváleného ceníku s finančními a technickými nabídkami, což mělo za následek, že kupní cena byla o 44 % (ekvivalent částky 49 224 EUR, kterou Účetní dvůr považoval za neoprávněnou platbu) vyšší, než kdyby vycházela z předem schváleného ceníku; bere na vědomí, že z odpovědi agentury vyplývá, že rozhodnutí o nákupu těchto položek vycházelo z provozních potřeb a bylo ovlivněno naléhavostí, jakož i omezenou dostupností vybavení IT na trhu, a že byly stanoveny vhodné kontrolní mechanismy, které poskytují přiměřenou jistotu, že v budoucnu budou nákupy náhradních položek z on-line katalogu omezeny na cenu odpovídající položky uvedené v původní nabídce dodavatele;</w:t>
      </w:r>
    </w:p>
    <w:p w:rsidR="00D95331" w:rsidRPr="00941055" w:rsidRDefault="00D95331" w:rsidP="00235AA5">
      <w:pPr>
        <w:spacing w:after="240"/>
        <w:ind w:left="567" w:hanging="567"/>
        <w:rPr>
          <w:szCs w:val="24"/>
        </w:rPr>
      </w:pPr>
      <w:r w:rsidRPr="00941055">
        <w:rPr>
          <w:b/>
          <w:i/>
        </w:rPr>
        <w:t>Prevence a řešení střetů zájmů a transparentnost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23.</w:t>
      </w:r>
      <w:r w:rsidRPr="00941055">
        <w:tab/>
        <w:t xml:space="preserve">oceňuje pokrok, kterého agentura v roce 2022 dosáhla v oblasti předcházení střetu zájmů a jeho řešení a etického poradenství prostřednictvím přípravných prací, které vedly k tomu, že v lednu 2023 bylo přijato jedno rozhodnutí vztahující se na členy správní rady agentury, jakož i na organizace a příslušné orgány, které jsou členy poradního fóra agentury, a dvě rozhodnutí vztahující se na zaměstnance agentury; vítá jmenování etického zpravodaje agentury, stejně jako závazek agentury uvádět na pozvánkách na schůze, kterých se účastní externí subjekty, standardní formulace </w:t>
      </w:r>
      <w:r w:rsidRPr="00941055">
        <w:lastRenderedPageBreak/>
        <w:t>týkající se prohlášení o střetu zájmů; s uspokojením konstatuje, že agentura vypracovala pokyny týkající se pravidel a postupů po skončení pracovního poměru, které se vztahují na zaměstnance odcházející z agentury;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24.</w:t>
      </w:r>
      <w:r w:rsidRPr="00941055">
        <w:tab/>
        <w:t xml:space="preserve">bere na vědomí, že prohlášení o zájmech a životopisy členů správní rady jsou zveřejňovány na internetových stránkách agentury, stejně jako prohlášení o zájmech a životopisy vedoucích pracovníků agentury; podotýká však, že životopisy interních a externích odborníků na internetových stránkách agentury k dispozici nejsou; z odpovědí agentury na písemné otázky Parlamentu vyplývá, že v roce 2022 nebyly na úrovni agentury zaznamenány žádné otevřené, uzavřené ani probíhající případy střetu zájmů nebo </w:t>
      </w:r>
      <w:proofErr w:type="spellStart"/>
      <w:r w:rsidRPr="00941055">
        <w:t>whistleblowingu</w:t>
      </w:r>
      <w:proofErr w:type="spellEnd"/>
      <w:r w:rsidRPr="00941055">
        <w:t>; oceňuje agenturu za to, že udržuje úzký dialog s příslušnými organizacemi občanské společnosti působícími v oblasti azylu prostřednictvím poradního fóra agentury, které bylo v červnu 2022 obnoveno (116 členů) na základě nového souboru pravidel vyplývajících z nařízení (EU) 2021/2303;</w:t>
      </w:r>
    </w:p>
    <w:p w:rsidR="00D95331" w:rsidRPr="00941055" w:rsidRDefault="00D95331" w:rsidP="00235AA5">
      <w:pPr>
        <w:spacing w:after="240"/>
        <w:ind w:left="567" w:hanging="567"/>
        <w:rPr>
          <w:b/>
          <w:i/>
          <w:szCs w:val="24"/>
        </w:rPr>
      </w:pPr>
      <w:r w:rsidRPr="00941055">
        <w:rPr>
          <w:b/>
          <w:i/>
        </w:rPr>
        <w:t>Interní audit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25.</w:t>
      </w:r>
      <w:r w:rsidRPr="00941055">
        <w:tab/>
        <w:t>bere na vědomí zjištění ze zprávy Účetního dvora, že tři případy dalšího pověření, které vyžadovaly opětovné potvrzení v dubnu 2021, byly znovu potvrzeny až v únoru 2022, kdy byla situace napravena, v důsledku čehož agentura porušila svá vnitřní pravidla, podle nichž mají být dále pověřené finanční pravomoci obnoveny, jakmile je jmenována nová pověřená schvalující osoba;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26.</w:t>
      </w:r>
      <w:r w:rsidRPr="00941055">
        <w:tab/>
        <w:t xml:space="preserve">vítá pokrok, kterého agentura dosáhla při řešení doporučení, která zůstala otevřená po předchozích auditech provedených Útvarem interního auditu a Účetním dvorem; bere na vědomí, že – jak vyplývá z konsolidované výroční zprávy o činnosti agentury za rok 2022 – některá doporučení v souvislosti s auditem Útvaru interního auditu z roku 2020 (Řízení lidských zdrojů a etika v úřadu EASO) a z roku 2021 (Správa informačních technologií a řízení projektů v oblasti informačních technologií) stále probíhají nebo jsou značně opožděná; dále bere na vědomí, že – jak vyplývá ze zprávy Účetního dvora – tři doporučení z minulých auditů provedených Účetním dvorem jsou stále otevřená: dvě doporučení týkající se nájemních smluv na prostory na ostrově Lesbos a v Římě, u nichž agentura očekává, že je Účetní dvůr uzná za uzavřené v roce 2024 poté, co byly v roce 2023 provedeny poslední související (neoprávněné) platby, a jedno doporučení týkající se zavedení účinných finančních kontrol </w:t>
      </w:r>
      <w:r w:rsidRPr="00941055">
        <w:rPr>
          <w:i/>
        </w:rPr>
        <w:t>ex post</w:t>
      </w:r>
      <w:r w:rsidRPr="00941055">
        <w:t xml:space="preserve"> ze strany agentury; v této souvislosti vyzývá agenturu, aby urychlila provádění nevyřešených nápravných opatření a průběžně informovala orgán příslušný k udělení absolutoria o pokroku dosaženém v tomto ohledu;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27.</w:t>
      </w:r>
      <w:r w:rsidRPr="00941055">
        <w:tab/>
        <w:t xml:space="preserve">bere na vědomí, že agentura provedla sebehodnocení svého systému vnitřní kontroly (ICSA) pro rok 2022 a dospěla k závěru, že celkově zavedené kontroly fungují tak, jak mají, přičemž 10 zásad je plně účinných a 7 je účinných, zatímco na úrovni složek Kontrolní prostředí, Kontrolní činnosti a Monitorovací činnosti je třeba provést určitá zlepšení; dále zdůrazňuje, že v roce 2022 byla zavedena strategie pro finanční kontroly </w:t>
      </w:r>
      <w:r w:rsidRPr="00941055">
        <w:rPr>
          <w:i/>
        </w:rPr>
        <w:t>ex post</w:t>
      </w:r>
      <w:r w:rsidRPr="00941055">
        <w:t xml:space="preserve"> založená na rizicích, která prověřovala vybraný vzorek transakcí a operací zadávání veřejných zakázek a pokrývala dva rozpočtové roky (2020 a 2021); bere na vědomí, že – jak vyplývá z konsolidované výroční zprávy o činnosti agentury za rok 2022 – výsledky těchto kontrol zahrnovaly 44 připomínek a 122 návrhů nápravných opatření; bere na vědomí, že v rámci provádění svého systému vnitřní kontroly pro rok 2022 provedla agentura v prvním čtvrtletí roku 2023 kontroly stavu provádění těchto 122 (předem dohodnutých) nápravných opatření, z nichž pouze 45 nápravných opatření </w:t>
      </w:r>
      <w:r w:rsidRPr="00941055">
        <w:lastRenderedPageBreak/>
        <w:t xml:space="preserve">(40 %) bylo příslušnými vlastníky podniků provedeno včas a odpovídajícím způsobem; vyzývá agenturu, aby řešila veškerá nápravná opatření, která jsou nadále otevřená, a průběžně informovala orgán příslušný k udělení absolutoria o pokroku dosaženém v tomto ohledu; s uznáním poznamenává, že agentura transparentně informuje (příloha IX konsolidované výroční zprávy o činnosti agentury za rok 2022) o podrobnostech a aktuálním stavu zjištěných nedostatků a dohodnutých nápravných opatření, které vycházejí z různých zdrojů (řízení výjimek a případů nesouladu, kritéria monitorování vnitřní kontroly, systému vnitřní kontroly agentury, finanční kontroly </w:t>
      </w:r>
      <w:r w:rsidRPr="00941055">
        <w:rPr>
          <w:i/>
        </w:rPr>
        <w:t>ex ante</w:t>
      </w:r>
      <w:r w:rsidRPr="00941055">
        <w:t xml:space="preserve"> a </w:t>
      </w:r>
      <w:r w:rsidRPr="00941055">
        <w:rPr>
          <w:i/>
        </w:rPr>
        <w:t>ex post</w:t>
      </w:r>
      <w:r w:rsidRPr="00941055">
        <w:t>, zprávy o auditu, řízení rizik atd.);</w:t>
      </w:r>
    </w:p>
    <w:p w:rsidR="00D95331" w:rsidRPr="00941055" w:rsidRDefault="00D95331" w:rsidP="00235AA5">
      <w:pPr>
        <w:pStyle w:val="NormalHanging12a"/>
        <w:rPr>
          <w:szCs w:val="24"/>
        </w:rPr>
      </w:pPr>
      <w:r w:rsidRPr="00941055">
        <w:t>28.</w:t>
      </w:r>
      <w:r w:rsidRPr="00941055">
        <w:tab/>
        <w:t>připomíná, že v červenci 2020 byla přijata strategie agentury pro boj proti podvodům na období 2020–2022, která stanoví 25 prioritních opatření sledovaných prostřednictvím řady kontrolních činností; s uspokojením bere na vědomí, že v roce 2022 bylo 93 % kontrolních činností souvisejících s prováděním této strategie považováno za provedené; vítá úsilí agentury o zvyšování povědomí o záležitostech souvisejících s bojem proti podvodům, přičemž 56,7 % statutárních zaměstnanců agentury se zúčastnilo školení o prevenci podvodů a identifikaci rizik podvodů; s uspokojením bere na vědomí, že agentura transparentně informuje (příloha XII konsolidované výroční zprávy o činnosti agentury za rok 2022) o podrobnostech a stavu kontrolních činností v rámci své strategie boje proti podvodům;</w:t>
      </w:r>
    </w:p>
    <w:p w:rsidR="00D95331" w:rsidRPr="00941055" w:rsidRDefault="00D95331" w:rsidP="00235AA5">
      <w:pPr>
        <w:spacing w:after="240"/>
        <w:ind w:left="567" w:hanging="567"/>
        <w:rPr>
          <w:b/>
          <w:i/>
          <w:szCs w:val="24"/>
        </w:rPr>
      </w:pPr>
      <w:r w:rsidRPr="00941055">
        <w:rPr>
          <w:b/>
          <w:i/>
        </w:rPr>
        <w:t>Další připomínky</w:t>
      </w:r>
    </w:p>
    <w:p w:rsidR="00D95331" w:rsidRPr="00941055" w:rsidRDefault="00D95331" w:rsidP="00235AA5">
      <w:pPr>
        <w:spacing w:after="240"/>
        <w:ind w:left="567" w:hanging="567"/>
        <w:rPr>
          <w:szCs w:val="24"/>
        </w:rPr>
      </w:pPr>
      <w:r w:rsidRPr="00941055">
        <w:t>29.</w:t>
      </w:r>
      <w:r w:rsidRPr="00941055">
        <w:tab/>
        <w:t>bere na vědomí, že agentura zavedla různá opatření za účelem posílení povědomí o přínosu u veřejnosti a posílení přítomnosti na internetu, např. spustila modernizované internetové stránky a zavedla novou vizuální identitu, zmodernizovala své portfolio sociálních médií se zaměřením na audiovizuální formáty a ve svých prostorách uvítala studentské skupiny;</w:t>
      </w:r>
    </w:p>
    <w:p w:rsidR="00D95331" w:rsidRPr="00941055" w:rsidRDefault="00D95331" w:rsidP="00235AA5">
      <w:pPr>
        <w:pStyle w:val="NormalHanging12a"/>
      </w:pPr>
      <w:r w:rsidRPr="00941055">
        <w:t>30.</w:t>
      </w:r>
      <w:r w:rsidRPr="00941055">
        <w:tab/>
        <w:t>připomíná úlohu agentury, pokud jde o poskytování podpory při vyřizování žádostí o mezinárodní ochranu a odbornou přípravu pracovníků odpovědných za vyřizování žádostí o azyl; uvádí, že je třeba, aby agentura i nadále poskytovala podporu členským státům a třetím zemím při řešení žádostí týkajících se azylu a přistěhovalectví; vyzývá k tomu, aby byl rozpočet zaměřen na další nábor zaměstnanců, pokud je to třeba k tomu, aby se členským státům poskytla pomoc při zajišťování spravedlivého posuzování žádostí o azyl o mezinárodní ochranu, zejména na nábor tlumočníků a psychologů pro žadatele, kteří patří do zranitelných skupin;</w:t>
      </w:r>
    </w:p>
    <w:p w:rsidR="00235AA5" w:rsidRDefault="00235AA5" w:rsidP="00235AA5">
      <w:pPr>
        <w:pStyle w:val="NormalCenter12a"/>
        <w:widowControl/>
      </w:pPr>
      <w:r>
        <w:t>°</w:t>
      </w:r>
    </w:p>
    <w:p w:rsidR="00235AA5" w:rsidRDefault="00235AA5" w:rsidP="00235AA5">
      <w:pPr>
        <w:pStyle w:val="NormalCenter12a"/>
        <w:widowControl/>
      </w:pPr>
      <w:r>
        <w:t>°     °</w:t>
      </w:r>
    </w:p>
    <w:p w:rsidR="00E365E1" w:rsidRPr="00941055" w:rsidRDefault="00D95331" w:rsidP="00235AA5">
      <w:pPr>
        <w:spacing w:after="240"/>
        <w:ind w:left="567" w:hanging="567"/>
      </w:pPr>
      <w:r w:rsidRPr="00941055">
        <w:t>31.</w:t>
      </w:r>
      <w:r w:rsidRPr="00941055">
        <w:tab/>
        <w:t xml:space="preserve">pokud jde o další připomínky, které jsou připojeny k rozhodnutí o udělení absolutoria a jsou horizontální povahy, odkazuje na své usnesení ze dne </w:t>
      </w:r>
      <w:r w:rsidR="00235AA5">
        <w:t>11. dubna</w:t>
      </w:r>
      <w:r w:rsidRPr="00941055">
        <w:t xml:space="preserve"> 2024</w:t>
      </w:r>
      <w:r w:rsidRPr="00941055">
        <w:rPr>
          <w:rStyle w:val="FootnoteReference"/>
        </w:rPr>
        <w:footnoteReference w:id="14"/>
      </w:r>
      <w:r w:rsidRPr="00941055">
        <w:t xml:space="preserve"> o výkonnosti, finančním řízení a kontrole agentur.</w:t>
      </w:r>
      <w:bookmarkStart w:id="13" w:name="TextBodyEnd"/>
      <w:bookmarkEnd w:id="13"/>
    </w:p>
    <w:sectPr w:rsidR="00E365E1" w:rsidRPr="00941055" w:rsidSect="009410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713" w:rsidRPr="00941055" w:rsidRDefault="00BE7713">
      <w:r w:rsidRPr="00941055">
        <w:separator/>
      </w:r>
    </w:p>
  </w:endnote>
  <w:endnote w:type="continuationSeparator" w:id="0">
    <w:p w:rsidR="00BE7713" w:rsidRPr="00941055" w:rsidRDefault="00BE7713">
      <w:r w:rsidRPr="009410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331" w:rsidRPr="00941055" w:rsidRDefault="00D95331" w:rsidP="006D6309">
    <w:pPr>
      <w:pStyle w:val="EPFooter"/>
    </w:pPr>
    <w:r w:rsidRPr="00941055">
      <w:t>PE</w:t>
    </w:r>
    <w:r w:rsidRPr="00941055">
      <w:rPr>
        <w:rStyle w:val="HideTWBExt"/>
      </w:rPr>
      <w:t>&lt;NoPE&gt;</w:t>
    </w:r>
    <w:r w:rsidRPr="00941055">
      <w:t>753.532</w:t>
    </w:r>
    <w:r w:rsidRPr="00941055">
      <w:rPr>
        <w:rStyle w:val="HideTWBExt"/>
      </w:rPr>
      <w:t>&lt;/NoPE&gt;&lt;Version&gt;</w:t>
    </w:r>
    <w:r w:rsidRPr="00941055">
      <w:t>v03-00</w:t>
    </w:r>
    <w:r w:rsidRPr="00941055">
      <w:rPr>
        <w:rStyle w:val="HideTWBExt"/>
      </w:rPr>
      <w:t>&lt;/Version&gt;</w:t>
    </w:r>
    <w:r w:rsidRPr="00941055">
      <w:tab/>
    </w:r>
    <w:r w:rsidRPr="00941055">
      <w:fldChar w:fldCharType="begin"/>
    </w:r>
    <w:r w:rsidRPr="00941055">
      <w:instrText xml:space="preserve"> PAGE  \* MERGEFORMAT </w:instrText>
    </w:r>
    <w:r w:rsidRPr="00941055">
      <w:fldChar w:fldCharType="separate"/>
    </w:r>
    <w:r w:rsidR="00941055" w:rsidRPr="00941055">
      <w:rPr>
        <w:noProof/>
      </w:rPr>
      <w:t>2</w:t>
    </w:r>
    <w:r w:rsidRPr="00941055">
      <w:fldChar w:fldCharType="end"/>
    </w:r>
    <w:r w:rsidRPr="00941055">
      <w:t>/</w:t>
    </w:r>
    <w:fldSimple w:instr=" NUMPAGES  \* MERGEFORMAT ">
      <w:r w:rsidR="00941055" w:rsidRPr="00941055">
        <w:rPr>
          <w:noProof/>
        </w:rPr>
        <w:t>13</w:t>
      </w:r>
    </w:fldSimple>
    <w:r w:rsidRPr="00941055">
      <w:tab/>
    </w:r>
    <w:r w:rsidRPr="00941055">
      <w:rPr>
        <w:rStyle w:val="HideTWBExt"/>
      </w:rPr>
      <w:t>&lt;PathFdR&gt;</w:t>
    </w:r>
    <w:r w:rsidRPr="00941055">
      <w:t>RR\1299515CS.docx</w:t>
    </w:r>
    <w:r w:rsidRPr="00941055">
      <w:rPr>
        <w:rStyle w:val="HideTWBExt"/>
      </w:rPr>
      <w:t>&lt;/PathFdR&gt;</w:t>
    </w:r>
  </w:p>
  <w:p w:rsidR="00D95331" w:rsidRPr="00941055" w:rsidRDefault="00D95331" w:rsidP="006D6309">
    <w:pPr>
      <w:pStyle w:val="EPFooter2"/>
    </w:pPr>
    <w:r w:rsidRPr="0094105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331" w:rsidRPr="00941055" w:rsidRDefault="00D95331" w:rsidP="006D6309">
    <w:pPr>
      <w:pStyle w:val="EPFooter"/>
    </w:pPr>
    <w:r w:rsidRPr="00941055">
      <w:rPr>
        <w:rStyle w:val="HideTWBExt"/>
      </w:rPr>
      <w:t>&lt;PathFdR&gt;</w:t>
    </w:r>
    <w:r w:rsidRPr="00941055">
      <w:t>RR\1299515CS.docx</w:t>
    </w:r>
    <w:r w:rsidRPr="00941055">
      <w:rPr>
        <w:rStyle w:val="HideTWBExt"/>
      </w:rPr>
      <w:t>&lt;/PathFdR&gt;</w:t>
    </w:r>
    <w:r w:rsidRPr="00941055">
      <w:tab/>
    </w:r>
    <w:r w:rsidRPr="00941055">
      <w:tab/>
      <w:t>PE</w:t>
    </w:r>
    <w:r w:rsidRPr="00941055">
      <w:rPr>
        <w:rStyle w:val="HideTWBExt"/>
      </w:rPr>
      <w:t>&lt;NoPE&gt;</w:t>
    </w:r>
    <w:r w:rsidRPr="00941055">
      <w:t>753.532</w:t>
    </w:r>
    <w:r w:rsidRPr="00941055">
      <w:rPr>
        <w:rStyle w:val="HideTWBExt"/>
      </w:rPr>
      <w:t>&lt;/NoPE&gt;&lt;Version&gt;</w:t>
    </w:r>
    <w:r w:rsidRPr="00941055">
      <w:t>v03-00</w:t>
    </w:r>
    <w:r w:rsidRPr="00941055">
      <w:rPr>
        <w:rStyle w:val="HideTWBExt"/>
      </w:rPr>
      <w:t>&lt;/Version&gt;</w:t>
    </w:r>
  </w:p>
  <w:p w:rsidR="00D95331" w:rsidRPr="00941055" w:rsidRDefault="00D95331" w:rsidP="006D6309">
    <w:pPr>
      <w:pStyle w:val="EPFooter2"/>
    </w:pPr>
    <w:r w:rsidRPr="00941055">
      <w:t>CS</w:t>
    </w:r>
    <w:r w:rsidRPr="00941055">
      <w:tab/>
    </w:r>
    <w:r w:rsidRPr="00941055">
      <w:rPr>
        <w:b w:val="0"/>
        <w:i/>
        <w:color w:val="C0C0C0"/>
        <w:sz w:val="22"/>
      </w:rPr>
      <w:t>Jednotná v rozmanitosti</w:t>
    </w:r>
    <w:r w:rsidRPr="0094105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105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105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10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713" w:rsidRPr="00941055" w:rsidRDefault="00BE7713">
      <w:r w:rsidRPr="00941055">
        <w:separator/>
      </w:r>
    </w:p>
  </w:footnote>
  <w:footnote w:type="continuationSeparator" w:id="0">
    <w:p w:rsidR="00BE7713" w:rsidRPr="00941055" w:rsidRDefault="00BE7713">
      <w:r w:rsidRPr="00941055">
        <w:continuationSeparator/>
      </w:r>
    </w:p>
  </w:footnote>
  <w:footnote w:id="1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C, C/2023/594, </w:t>
      </w:r>
      <w:proofErr w:type="gramStart"/>
      <w:r w:rsidRPr="00941055">
        <w:rPr>
          <w:sz w:val="24"/>
          <w:lang w:val="cs-CZ"/>
        </w:rPr>
        <w:t>27.10.2023</w:t>
      </w:r>
      <w:proofErr w:type="gramEnd"/>
      <w:r w:rsidRPr="00941055">
        <w:rPr>
          <w:sz w:val="24"/>
          <w:lang w:val="cs-CZ"/>
        </w:rPr>
        <w:t>.</w:t>
      </w:r>
    </w:p>
  </w:footnote>
  <w:footnote w:id="2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C, C/2023/112, </w:t>
      </w:r>
      <w:proofErr w:type="gramStart"/>
      <w:r w:rsidRPr="00941055">
        <w:rPr>
          <w:sz w:val="24"/>
          <w:lang w:val="cs-CZ"/>
        </w:rPr>
        <w:t>12.10.2023</w:t>
      </w:r>
      <w:proofErr w:type="gramEnd"/>
      <w:r w:rsidRPr="00941055">
        <w:rPr>
          <w:sz w:val="24"/>
          <w:lang w:val="cs-CZ"/>
        </w:rPr>
        <w:t>.</w:t>
      </w:r>
    </w:p>
  </w:footnote>
  <w:footnote w:id="3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193, </w:t>
      </w:r>
      <w:proofErr w:type="gramStart"/>
      <w:r w:rsidRPr="00941055">
        <w:rPr>
          <w:sz w:val="24"/>
          <w:lang w:val="cs-CZ"/>
        </w:rPr>
        <w:t>30.7.2018</w:t>
      </w:r>
      <w:proofErr w:type="gramEnd"/>
      <w:r w:rsidRPr="00941055">
        <w:rPr>
          <w:sz w:val="24"/>
          <w:lang w:val="cs-CZ"/>
        </w:rPr>
        <w:t>, s. 1.</w:t>
      </w:r>
    </w:p>
  </w:footnote>
  <w:footnote w:id="4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132, </w:t>
      </w:r>
      <w:proofErr w:type="gramStart"/>
      <w:r w:rsidRPr="00941055">
        <w:rPr>
          <w:sz w:val="24"/>
          <w:lang w:val="cs-CZ"/>
        </w:rPr>
        <w:t>29.5.2010</w:t>
      </w:r>
      <w:proofErr w:type="gramEnd"/>
      <w:r w:rsidRPr="00941055">
        <w:rPr>
          <w:sz w:val="24"/>
          <w:lang w:val="cs-CZ"/>
        </w:rPr>
        <w:t>, s. 11.</w:t>
      </w:r>
    </w:p>
  </w:footnote>
  <w:footnote w:id="5">
    <w:p w:rsidR="00D95331" w:rsidRPr="00941055" w:rsidRDefault="00D95331" w:rsidP="00941055">
      <w:pPr>
        <w:pStyle w:val="FootnoteText"/>
        <w:ind w:left="567" w:hanging="567"/>
        <w:rPr>
          <w:sz w:val="24"/>
          <w:szCs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468, </w:t>
      </w:r>
      <w:proofErr w:type="gramStart"/>
      <w:r w:rsidRPr="00941055">
        <w:rPr>
          <w:sz w:val="24"/>
          <w:lang w:val="cs-CZ"/>
        </w:rPr>
        <w:t>30.12.2021</w:t>
      </w:r>
      <w:proofErr w:type="gramEnd"/>
      <w:r w:rsidRPr="00941055">
        <w:rPr>
          <w:sz w:val="24"/>
          <w:lang w:val="cs-CZ"/>
        </w:rPr>
        <w:t>, s. 1.</w:t>
      </w:r>
    </w:p>
  </w:footnote>
  <w:footnote w:id="6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122, </w:t>
      </w:r>
      <w:proofErr w:type="gramStart"/>
      <w:r w:rsidRPr="00941055">
        <w:rPr>
          <w:sz w:val="24"/>
          <w:lang w:val="cs-CZ"/>
        </w:rPr>
        <w:t>10.5.2019</w:t>
      </w:r>
      <w:proofErr w:type="gramEnd"/>
      <w:r w:rsidRPr="00941055">
        <w:rPr>
          <w:sz w:val="24"/>
          <w:lang w:val="cs-CZ"/>
        </w:rPr>
        <w:t>, s. 1.</w:t>
      </w:r>
    </w:p>
  </w:footnote>
  <w:footnote w:id="7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C, C/2023/594, </w:t>
      </w:r>
      <w:proofErr w:type="gramStart"/>
      <w:r w:rsidRPr="00941055">
        <w:rPr>
          <w:sz w:val="24"/>
          <w:lang w:val="cs-CZ"/>
        </w:rPr>
        <w:t>27.10.2023</w:t>
      </w:r>
      <w:proofErr w:type="gramEnd"/>
      <w:r w:rsidRPr="00941055">
        <w:rPr>
          <w:sz w:val="24"/>
          <w:lang w:val="cs-CZ"/>
        </w:rPr>
        <w:t>.</w:t>
      </w:r>
    </w:p>
  </w:footnote>
  <w:footnote w:id="8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C, C/2023/112, </w:t>
      </w:r>
      <w:proofErr w:type="gramStart"/>
      <w:r w:rsidRPr="00941055">
        <w:rPr>
          <w:sz w:val="24"/>
          <w:lang w:val="cs-CZ"/>
        </w:rPr>
        <w:t>12.10.2023</w:t>
      </w:r>
      <w:proofErr w:type="gramEnd"/>
      <w:r w:rsidRPr="00941055">
        <w:rPr>
          <w:sz w:val="24"/>
          <w:lang w:val="cs-CZ"/>
        </w:rPr>
        <w:t>.</w:t>
      </w:r>
    </w:p>
  </w:footnote>
  <w:footnote w:id="9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193, </w:t>
      </w:r>
      <w:proofErr w:type="gramStart"/>
      <w:r w:rsidRPr="00941055">
        <w:rPr>
          <w:sz w:val="24"/>
          <w:lang w:val="cs-CZ"/>
        </w:rPr>
        <w:t>30.7.2018</w:t>
      </w:r>
      <w:proofErr w:type="gramEnd"/>
      <w:r w:rsidRPr="00941055">
        <w:rPr>
          <w:sz w:val="24"/>
          <w:lang w:val="cs-CZ"/>
        </w:rPr>
        <w:t>, s. 1.</w:t>
      </w:r>
    </w:p>
  </w:footnote>
  <w:footnote w:id="10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132, </w:t>
      </w:r>
      <w:proofErr w:type="gramStart"/>
      <w:r w:rsidRPr="00941055">
        <w:rPr>
          <w:sz w:val="24"/>
          <w:lang w:val="cs-CZ"/>
        </w:rPr>
        <w:t>29.5.2010</w:t>
      </w:r>
      <w:proofErr w:type="gramEnd"/>
      <w:r w:rsidRPr="00941055">
        <w:rPr>
          <w:sz w:val="24"/>
          <w:lang w:val="cs-CZ"/>
        </w:rPr>
        <w:t>, s. 11.</w:t>
      </w:r>
    </w:p>
  </w:footnote>
  <w:footnote w:id="11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468, </w:t>
      </w:r>
      <w:proofErr w:type="gramStart"/>
      <w:r w:rsidRPr="00941055">
        <w:rPr>
          <w:sz w:val="24"/>
          <w:lang w:val="cs-CZ"/>
        </w:rPr>
        <w:t>30.12.2021</w:t>
      </w:r>
      <w:proofErr w:type="gramEnd"/>
      <w:r w:rsidRPr="00941055">
        <w:rPr>
          <w:sz w:val="24"/>
          <w:lang w:val="cs-CZ"/>
        </w:rPr>
        <w:t>, s. 1.</w:t>
      </w:r>
    </w:p>
  </w:footnote>
  <w:footnote w:id="12">
    <w:p w:rsidR="00D95331" w:rsidRPr="00941055" w:rsidRDefault="00D95331" w:rsidP="00941055">
      <w:pPr>
        <w:pStyle w:val="FootnoteText"/>
        <w:ind w:left="567" w:hanging="567"/>
        <w:rPr>
          <w:sz w:val="24"/>
          <w:szCs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L 122, </w:t>
      </w:r>
      <w:proofErr w:type="gramStart"/>
      <w:r w:rsidRPr="00941055">
        <w:rPr>
          <w:sz w:val="24"/>
          <w:lang w:val="cs-CZ"/>
        </w:rPr>
        <w:t>10.5.2019</w:t>
      </w:r>
      <w:proofErr w:type="gramEnd"/>
      <w:r w:rsidRPr="00941055">
        <w:rPr>
          <w:sz w:val="24"/>
          <w:lang w:val="cs-CZ"/>
        </w:rPr>
        <w:t>, s. 1.</w:t>
      </w:r>
    </w:p>
  </w:footnote>
  <w:footnote w:id="13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sz w:val="24"/>
          <w:vertAlign w:val="superscript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proofErr w:type="spellStart"/>
      <w:r w:rsidRPr="00941055">
        <w:rPr>
          <w:sz w:val="24"/>
          <w:lang w:val="cs-CZ"/>
        </w:rPr>
        <w:t>Úř</w:t>
      </w:r>
      <w:proofErr w:type="spellEnd"/>
      <w:r w:rsidRPr="00941055">
        <w:rPr>
          <w:sz w:val="24"/>
          <w:lang w:val="cs-CZ"/>
        </w:rPr>
        <w:t xml:space="preserve">. </w:t>
      </w:r>
      <w:proofErr w:type="spellStart"/>
      <w:proofErr w:type="gramStart"/>
      <w:r w:rsidRPr="00941055">
        <w:rPr>
          <w:sz w:val="24"/>
          <w:lang w:val="cs-CZ"/>
        </w:rPr>
        <w:t>věst</w:t>
      </w:r>
      <w:proofErr w:type="spellEnd"/>
      <w:proofErr w:type="gramEnd"/>
      <w:r w:rsidRPr="00941055">
        <w:rPr>
          <w:sz w:val="24"/>
          <w:lang w:val="cs-CZ"/>
        </w:rPr>
        <w:t xml:space="preserve">. C 38, </w:t>
      </w:r>
      <w:proofErr w:type="gramStart"/>
      <w:r w:rsidRPr="00941055">
        <w:rPr>
          <w:sz w:val="24"/>
          <w:lang w:val="cs-CZ"/>
        </w:rPr>
        <w:t>31.1.2023</w:t>
      </w:r>
      <w:proofErr w:type="gramEnd"/>
      <w:r w:rsidRPr="00941055">
        <w:rPr>
          <w:sz w:val="24"/>
          <w:lang w:val="cs-CZ"/>
        </w:rPr>
        <w:t>, s.</w:t>
      </w:r>
      <w:r w:rsidR="00665A31">
        <w:rPr>
          <w:sz w:val="24"/>
          <w:lang w:val="cs-CZ"/>
        </w:rPr>
        <w:t xml:space="preserve"> </w:t>
      </w:r>
      <w:r w:rsidRPr="00941055">
        <w:rPr>
          <w:sz w:val="24"/>
          <w:lang w:val="cs-CZ"/>
        </w:rPr>
        <w:t>180.</w:t>
      </w:r>
    </w:p>
  </w:footnote>
  <w:footnote w:id="14">
    <w:p w:rsidR="00D95331" w:rsidRPr="00941055" w:rsidRDefault="00D95331" w:rsidP="00941055">
      <w:pPr>
        <w:pStyle w:val="FootnoteText"/>
        <w:ind w:left="567" w:hanging="567"/>
        <w:rPr>
          <w:sz w:val="24"/>
          <w:lang w:val="cs-CZ"/>
        </w:rPr>
      </w:pPr>
      <w:r w:rsidRPr="00941055">
        <w:rPr>
          <w:rStyle w:val="FootnoteReference"/>
          <w:sz w:val="24"/>
          <w:lang w:val="cs-CZ"/>
        </w:rPr>
        <w:footnoteRef/>
      </w:r>
      <w:r w:rsidR="00941055" w:rsidRPr="00941055">
        <w:rPr>
          <w:sz w:val="24"/>
          <w:lang w:val="cs-CZ"/>
        </w:rPr>
        <w:t xml:space="preserve"> </w:t>
      </w:r>
      <w:r w:rsidR="00941055" w:rsidRPr="00941055">
        <w:rPr>
          <w:sz w:val="24"/>
          <w:lang w:val="cs-CZ"/>
        </w:rPr>
        <w:tab/>
      </w:r>
      <w:r w:rsidRPr="00941055">
        <w:rPr>
          <w:sz w:val="24"/>
          <w:lang w:val="cs-CZ"/>
        </w:rPr>
        <w:t>Přijaté texty, P9_TA(2024)0</w:t>
      </w:r>
      <w:r w:rsidR="005351EB">
        <w:rPr>
          <w:sz w:val="24"/>
          <w:lang w:val="cs-CZ"/>
        </w:rPr>
        <w:t>28</w:t>
      </w:r>
      <w:r w:rsidRPr="00941055">
        <w:rPr>
          <w:sz w:val="24"/>
          <w:lang w:val="cs-CZ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10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10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10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6/2024"/>
    <w:docVar w:name="dvlangue" w:val="CS"/>
    <w:docVar w:name="dvnumam" w:val="0"/>
    <w:docVar w:name="dvpe" w:val="753.532"/>
    <w:docVar w:name="dvrapporteur" w:val="Zpravodaj: "/>
    <w:docVar w:name="dvtitre" w:val="1. Rozhodnutí Evropského parlamentu ze dne 11. dubna 2024 o udělení absolutoria za plnění rozpočtu Agentury Evropské unie pro otázky azylu (před 19. 1. 2022 Evropský podpůrný úřad pro otázky azylu) na rozpočtový rok 2022(2023/2164(DEC))"/>
  </w:docVars>
  <w:rsids>
    <w:rsidRoot w:val="00BE7713"/>
    <w:rsid w:val="00002272"/>
    <w:rsid w:val="00064002"/>
    <w:rsid w:val="000677B9"/>
    <w:rsid w:val="00067CD2"/>
    <w:rsid w:val="000831BA"/>
    <w:rsid w:val="000A42CC"/>
    <w:rsid w:val="000E7DD9"/>
    <w:rsid w:val="0010095E"/>
    <w:rsid w:val="00125B37"/>
    <w:rsid w:val="00187494"/>
    <w:rsid w:val="001F32AE"/>
    <w:rsid w:val="00235AA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C51"/>
    <w:rsid w:val="00471C19"/>
    <w:rsid w:val="004867E3"/>
    <w:rsid w:val="00494A28"/>
    <w:rsid w:val="004C0004"/>
    <w:rsid w:val="004C5D52"/>
    <w:rsid w:val="0050519A"/>
    <w:rsid w:val="005072A1"/>
    <w:rsid w:val="00514517"/>
    <w:rsid w:val="005351EB"/>
    <w:rsid w:val="00545827"/>
    <w:rsid w:val="00560270"/>
    <w:rsid w:val="005C2568"/>
    <w:rsid w:val="006037C0"/>
    <w:rsid w:val="006631B6"/>
    <w:rsid w:val="00665A3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055"/>
    <w:rsid w:val="009509D8"/>
    <w:rsid w:val="00950B64"/>
    <w:rsid w:val="00981893"/>
    <w:rsid w:val="00987D9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71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331"/>
    <w:rsid w:val="00DA7FCD"/>
    <w:rsid w:val="00E365E1"/>
    <w:rsid w:val="00E820A4"/>
    <w:rsid w:val="00EB006A"/>
    <w:rsid w:val="00EB4772"/>
    <w:rsid w:val="00ED169E"/>
    <w:rsid w:val="00ED4235"/>
    <w:rsid w:val="00EF17C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EDB9"/>
  <w15:chartTrackingRefBased/>
  <w15:docId w15:val="{F6C37E75-9A13-4F2F-BB16-98BC926A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9533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95331"/>
    <w:pPr>
      <w:spacing w:before="480" w:after="240"/>
    </w:pPr>
  </w:style>
  <w:style w:type="paragraph" w:customStyle="1" w:styleId="PageHeading">
    <w:name w:val="PageHeading"/>
    <w:basedOn w:val="Normal"/>
    <w:rsid w:val="00D953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95331"/>
    <w:rPr>
      <w:b/>
    </w:rPr>
  </w:style>
  <w:style w:type="paragraph" w:customStyle="1" w:styleId="NormalHanging12a">
    <w:name w:val="NormalHanging12a"/>
    <w:basedOn w:val="Normal"/>
    <w:link w:val="NormalHanging12aChar"/>
    <w:rsid w:val="00D9533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95331"/>
    <w:pPr>
      <w:spacing w:after="240"/>
      <w:jc w:val="center"/>
    </w:pPr>
  </w:style>
  <w:style w:type="paragraph" w:styleId="Header">
    <w:name w:val="header"/>
    <w:basedOn w:val="Normal"/>
    <w:link w:val="HeaderChar"/>
    <w:rsid w:val="00D953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5331"/>
    <w:rPr>
      <w:sz w:val="24"/>
      <w:lang w:val="cs-CZ"/>
    </w:rPr>
  </w:style>
  <w:style w:type="paragraph" w:customStyle="1" w:styleId="EPFooter">
    <w:name w:val="EPFooter"/>
    <w:basedOn w:val="Normal"/>
    <w:rsid w:val="00D9533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D95331"/>
    <w:rPr>
      <w:sz w:val="24"/>
      <w:lang w:val="cs-CZ"/>
    </w:rPr>
  </w:style>
  <w:style w:type="character" w:customStyle="1" w:styleId="Normal12HangingChar">
    <w:name w:val="Normal12Hanging Char"/>
    <w:link w:val="Normal12Hanging"/>
    <w:locked/>
    <w:rsid w:val="00D95331"/>
    <w:rPr>
      <w:sz w:val="24"/>
    </w:rPr>
  </w:style>
  <w:style w:type="paragraph" w:customStyle="1" w:styleId="Normal12Hanging">
    <w:name w:val="Normal12Hanging"/>
    <w:basedOn w:val="Normal"/>
    <w:link w:val="Normal12HangingChar"/>
    <w:rsid w:val="00D95331"/>
    <w:pPr>
      <w:spacing w:after="240"/>
      <w:ind w:left="567" w:hanging="567"/>
    </w:pPr>
    <w:rPr>
      <w:lang w:val="en-GB"/>
    </w:rPr>
  </w:style>
  <w:style w:type="paragraph" w:styleId="Footer">
    <w:name w:val="footer"/>
    <w:basedOn w:val="Normal"/>
    <w:link w:val="FooterChar"/>
    <w:rsid w:val="00235A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5AA5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8EBAE-43FB-4AA6-8D16-57128C7C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5409</Words>
  <Characters>31312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Karina Pesa</cp:lastModifiedBy>
  <cp:revision>3</cp:revision>
  <cp:lastPrinted>2004-11-19T15:42:00Z</cp:lastPrinted>
  <dcterms:created xsi:type="dcterms:W3CDTF">2024-05-15T11:59:00Z</dcterms:created>
  <dcterms:modified xsi:type="dcterms:W3CDTF">2024-10-30T17:18:00Z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P9_TA(2024)0268_</vt:lpwstr>
  </property>
  <property fmtid="{D5CDD505-2E9C-101B-9397-08002B2CF9AE}" pid="4" name="&lt;Type&gt;">
    <vt:lpwstr>RR</vt:lpwstr>
  </property>
</Properties>
</file>