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21B37" w14:paraId="38F974FE" w14:textId="77777777" w:rsidTr="0010095E">
        <w:trPr>
          <w:trHeight w:hRule="exact" w:val="1418"/>
        </w:trPr>
        <w:tc>
          <w:tcPr>
            <w:tcW w:w="6804" w:type="dxa"/>
            <w:shd w:val="clear" w:color="auto" w:fill="auto"/>
            <w:vAlign w:val="center"/>
          </w:tcPr>
          <w:p w14:paraId="4CEB8BC1" w14:textId="77777777" w:rsidR="00751A4A" w:rsidRPr="00A21B37" w:rsidRDefault="001F5C97" w:rsidP="0010095E">
            <w:pPr>
              <w:pStyle w:val="EPName"/>
            </w:pPr>
            <w:r w:rsidRPr="00A21B37">
              <w:t>Europa-Parlamentet</w:t>
            </w:r>
          </w:p>
          <w:p w14:paraId="035D524B" w14:textId="77777777" w:rsidR="00751A4A" w:rsidRPr="00A21B37" w:rsidRDefault="00817416" w:rsidP="00756632">
            <w:pPr>
              <w:pStyle w:val="EPTerm"/>
              <w:rPr>
                <w:rStyle w:val="HideTWBExt"/>
                <w:noProof w:val="0"/>
                <w:vanish w:val="0"/>
                <w:color w:val="auto"/>
              </w:rPr>
            </w:pPr>
            <w:r w:rsidRPr="00A21B37">
              <w:t>2019-2024</w:t>
            </w:r>
          </w:p>
        </w:tc>
        <w:tc>
          <w:tcPr>
            <w:tcW w:w="2268" w:type="dxa"/>
            <w:shd w:val="clear" w:color="auto" w:fill="auto"/>
          </w:tcPr>
          <w:p w14:paraId="2E2ABF4B" w14:textId="77777777" w:rsidR="00751A4A" w:rsidRPr="00A21B37" w:rsidRDefault="00187494" w:rsidP="0010095E">
            <w:pPr>
              <w:pStyle w:val="EPLogo"/>
            </w:pPr>
            <w:r w:rsidRPr="00A21B37">
              <w:rPr>
                <w:noProof/>
                <w:lang w:eastAsia="da-DK"/>
              </w:rPr>
              <w:drawing>
                <wp:inline distT="0" distB="0" distL="0" distR="0" wp14:anchorId="6AFBF7CC" wp14:editId="5F5E4C0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509F875" w14:textId="77777777" w:rsidR="00D058B8" w:rsidRPr="00A21B37" w:rsidRDefault="00D058B8" w:rsidP="004C5D52">
      <w:pPr>
        <w:pStyle w:val="LineTop"/>
      </w:pPr>
    </w:p>
    <w:p w14:paraId="7A8D8594" w14:textId="77777777" w:rsidR="00680577" w:rsidRPr="00A21B37" w:rsidRDefault="001F5C97" w:rsidP="00680577">
      <w:pPr>
        <w:pStyle w:val="EPBodyTA1"/>
      </w:pPr>
      <w:r w:rsidRPr="00A21B37">
        <w:t>VEDTAGNE TEKSTER</w:t>
      </w:r>
    </w:p>
    <w:p w14:paraId="224A803E" w14:textId="77777777" w:rsidR="00D058B8" w:rsidRPr="00A21B37" w:rsidRDefault="00D058B8" w:rsidP="00D058B8">
      <w:pPr>
        <w:pStyle w:val="LineBottom"/>
      </w:pPr>
    </w:p>
    <w:p w14:paraId="1F269F92" w14:textId="5408A04F" w:rsidR="001F5C97" w:rsidRPr="00A21B37" w:rsidRDefault="001F5C97" w:rsidP="001F5C97">
      <w:pPr>
        <w:pStyle w:val="ATHeading1"/>
      </w:pPr>
      <w:bookmarkStart w:id="0" w:name="TANumber"/>
      <w:r w:rsidRPr="00A21B37">
        <w:t>P9_TA(2024)0</w:t>
      </w:r>
      <w:bookmarkEnd w:id="0"/>
      <w:r w:rsidR="00455F5D">
        <w:t>268</w:t>
      </w:r>
    </w:p>
    <w:p w14:paraId="27C45DBC" w14:textId="77777777" w:rsidR="001F5C97" w:rsidRPr="00A21B37" w:rsidRDefault="00665D29" w:rsidP="001F5C97">
      <w:pPr>
        <w:pStyle w:val="ATHeading2"/>
      </w:pPr>
      <w:r w:rsidRPr="00665D29">
        <w:t>Decharge 2022: Den Europæiske Unions Asylagentur (før 19.1.2022 Det Europæiske Asylstøttekontor)</w:t>
      </w:r>
    </w:p>
    <w:p w14:paraId="334CC9E4" w14:textId="77777777" w:rsidR="001F5C97" w:rsidRPr="00A21B37" w:rsidRDefault="001F5C97" w:rsidP="001F5C97">
      <w:pPr>
        <w:rPr>
          <w:i/>
          <w:vanish/>
        </w:rPr>
      </w:pPr>
      <w:r w:rsidRPr="00A21B37">
        <w:rPr>
          <w:i/>
        </w:rPr>
        <w:fldChar w:fldCharType="begin"/>
      </w:r>
      <w:r w:rsidRPr="00A21B37">
        <w:rPr>
          <w:i/>
        </w:rPr>
        <w:instrText xml:space="preserve"> TC"(</w:instrText>
      </w:r>
      <w:bookmarkStart w:id="1" w:name="DocNumber"/>
      <w:r w:rsidRPr="00A21B37">
        <w:rPr>
          <w:i/>
        </w:rPr>
        <w:instrText>A9-0106/2024</w:instrText>
      </w:r>
      <w:bookmarkEnd w:id="1"/>
      <w:r w:rsidRPr="00A21B37">
        <w:rPr>
          <w:i/>
        </w:rPr>
        <w:instrText xml:space="preserve"> - Ordfører: Petri Sarvamaa)"\l3 \n&gt; \* MERGEFORMAT </w:instrText>
      </w:r>
      <w:r w:rsidRPr="00A21B37">
        <w:rPr>
          <w:i/>
        </w:rPr>
        <w:fldChar w:fldCharType="end"/>
      </w:r>
    </w:p>
    <w:p w14:paraId="23EA0C71" w14:textId="77777777" w:rsidR="001F5C97" w:rsidRPr="00A21B37" w:rsidRDefault="001F5C97" w:rsidP="001F5C97">
      <w:pPr>
        <w:rPr>
          <w:vanish/>
        </w:rPr>
      </w:pPr>
      <w:bookmarkStart w:id="2" w:name="Commission"/>
      <w:r w:rsidRPr="00A21B37">
        <w:rPr>
          <w:vanish/>
        </w:rPr>
        <w:t>Budgetkontroludvalget</w:t>
      </w:r>
      <w:bookmarkEnd w:id="2"/>
    </w:p>
    <w:p w14:paraId="64EC1202" w14:textId="77777777" w:rsidR="001F5C97" w:rsidRPr="00A21B37" w:rsidRDefault="001F5C97" w:rsidP="001F5C97">
      <w:pPr>
        <w:rPr>
          <w:vanish/>
        </w:rPr>
      </w:pPr>
      <w:bookmarkStart w:id="3" w:name="PE"/>
      <w:r w:rsidRPr="00A21B37">
        <w:rPr>
          <w:vanish/>
        </w:rPr>
        <w:t>PE753.532</w:t>
      </w:r>
      <w:bookmarkEnd w:id="3"/>
    </w:p>
    <w:p w14:paraId="4F7BB117" w14:textId="77777777" w:rsidR="001F5C97" w:rsidRPr="00A21B37" w:rsidRDefault="00F04D44" w:rsidP="001F5C97">
      <w:pPr>
        <w:pStyle w:val="ATHeading3"/>
      </w:pPr>
      <w:bookmarkStart w:id="4" w:name="Sujet"/>
      <w:r>
        <w:t xml:space="preserve">1. </w:t>
      </w:r>
      <w:r w:rsidRPr="009574E6">
        <w:t xml:space="preserve">Europa-Parlamentets </w:t>
      </w:r>
      <w:r>
        <w:t xml:space="preserve">afgørelse af 11. april 2024 </w:t>
      </w:r>
      <w:r w:rsidRPr="009574E6">
        <w:t>om decharge</w:t>
      </w:r>
      <w:r w:rsidR="001F5C97" w:rsidRPr="00A21B37">
        <w:t xml:space="preserve"> for gennemførelsen af budgettet for Den Europæiske Unions Asylagentur (før 19.1.2022 Det Europæiske Asylstøttekontor) for regnskabsåret 2022</w:t>
      </w:r>
      <w:bookmarkEnd w:id="4"/>
      <w:r w:rsidR="001F5C97" w:rsidRPr="00A21B37">
        <w:t xml:space="preserve"> </w:t>
      </w:r>
      <w:bookmarkStart w:id="5" w:name="References"/>
      <w:r w:rsidR="001F5C97" w:rsidRPr="00A21B37">
        <w:t>(2023/2164(DEC))</w:t>
      </w:r>
      <w:bookmarkEnd w:id="5"/>
    </w:p>
    <w:p w14:paraId="57459B71" w14:textId="77777777" w:rsidR="00063725" w:rsidRPr="00A21B37" w:rsidRDefault="00063725" w:rsidP="00063725">
      <w:pPr>
        <w:pStyle w:val="EPComma"/>
      </w:pPr>
      <w:bookmarkStart w:id="6" w:name="TextBodyBegin"/>
      <w:bookmarkEnd w:id="6"/>
      <w:r w:rsidRPr="00A21B37">
        <w:rPr>
          <w:i/>
        </w:rPr>
        <w:t>Europa-Parlamentet</w:t>
      </w:r>
      <w:r w:rsidRPr="00A21B37">
        <w:t>,</w:t>
      </w:r>
    </w:p>
    <w:p w14:paraId="246920F5" w14:textId="77777777" w:rsidR="00063725" w:rsidRPr="00A21B37" w:rsidRDefault="00063725" w:rsidP="00063725">
      <w:pPr>
        <w:pStyle w:val="NormalHanging12a"/>
      </w:pPr>
      <w:r w:rsidRPr="00A21B37">
        <w:t>–</w:t>
      </w:r>
      <w:r w:rsidRPr="00A21B37">
        <w:tab/>
        <w:t>der henviser til det endelige årsregnskab for Den Europæiske Unions Asylagentur for regnskabsåret 2022,</w:t>
      </w:r>
    </w:p>
    <w:p w14:paraId="702227D9" w14:textId="77777777" w:rsidR="00063725" w:rsidRPr="00A21B37" w:rsidRDefault="00063725" w:rsidP="00063725">
      <w:pPr>
        <w:pStyle w:val="NormalHanging12a"/>
      </w:pPr>
      <w:r w:rsidRPr="00A21B37">
        <w:t>–</w:t>
      </w:r>
      <w:r w:rsidRPr="00A21B37">
        <w:tab/>
        <w:t>der henviser til Revisionsrettens årsberetning om EU-agenturerne for regnskabsåret 2022, med agenturernes svar</w:t>
      </w:r>
      <w:r w:rsidRPr="00A21B37">
        <w:rPr>
          <w:rStyle w:val="FootnoteReference"/>
        </w:rPr>
        <w:footnoteReference w:id="1"/>
      </w:r>
      <w:r w:rsidRPr="00A21B37">
        <w:t>,</w:t>
      </w:r>
    </w:p>
    <w:p w14:paraId="695FAFA8" w14:textId="77777777" w:rsidR="00063725" w:rsidRPr="00A21B37" w:rsidRDefault="00063725" w:rsidP="00063725">
      <w:pPr>
        <w:pStyle w:val="NormalHanging12a"/>
      </w:pPr>
      <w:r w:rsidRPr="00A21B37">
        <w:t>–</w:t>
      </w:r>
      <w:r w:rsidRPr="00A21B37">
        <w:tab/>
        <w:t>der henviser til Revisionsrettens erklæring</w:t>
      </w:r>
      <w:r w:rsidRPr="00A21B37">
        <w:rPr>
          <w:rStyle w:val="FootnoteReference"/>
        </w:rPr>
        <w:footnoteReference w:id="2"/>
      </w:r>
      <w:r w:rsidRPr="00A21B37">
        <w:t xml:space="preserve"> for regnskabsåret 2022 om regnskabernes rigtighed og de underliggende transaktioners lovlighed og formelle rigtighed, jf. artikel 287 i traktaten om Den Europæiske Unions funktionsmåde,</w:t>
      </w:r>
    </w:p>
    <w:p w14:paraId="16E2BBBE" w14:textId="4BA56545" w:rsidR="00063725" w:rsidRPr="00A21B37" w:rsidRDefault="00063725" w:rsidP="00063725">
      <w:pPr>
        <w:pStyle w:val="NormalHanging12a"/>
      </w:pPr>
      <w:r w:rsidRPr="00A21B37">
        <w:t>–</w:t>
      </w:r>
      <w:r w:rsidRPr="00A21B37">
        <w:tab/>
        <w:t>der henviser til Rådets henstilling af den 22. februar 2024 om decharge til agenturet for gennemførelsen af budgettet for regnskabsåret 2022 (</w:t>
      </w:r>
      <w:r w:rsidR="00CC3A93">
        <w:t>06180</w:t>
      </w:r>
      <w:r w:rsidRPr="00A21B37">
        <w:t>/2024 – C9</w:t>
      </w:r>
      <w:r w:rsidRPr="00A21B37">
        <w:noBreakHyphen/>
      </w:r>
      <w:r w:rsidR="00CC3A93">
        <w:t>0102</w:t>
      </w:r>
      <w:r w:rsidRPr="00A21B37">
        <w:t>/2024),</w:t>
      </w:r>
    </w:p>
    <w:p w14:paraId="1349173B" w14:textId="77777777" w:rsidR="00063725" w:rsidRPr="00A21B37" w:rsidRDefault="00063725" w:rsidP="00063725">
      <w:pPr>
        <w:pStyle w:val="NormalHanging12a"/>
      </w:pPr>
      <w:r w:rsidRPr="00A21B37">
        <w:t>–</w:t>
      </w:r>
      <w:r w:rsidRPr="00A21B37">
        <w:tab/>
        <w:t>der henviser til artikel 319 i traktaten om Den Europæiske Unions funktionsmåde,</w:t>
      </w:r>
    </w:p>
    <w:p w14:paraId="760CF68A" w14:textId="77777777" w:rsidR="00063725" w:rsidRPr="00A21B37" w:rsidRDefault="00063725" w:rsidP="00063725">
      <w:pPr>
        <w:pStyle w:val="NormalHanging12a"/>
      </w:pPr>
      <w:r w:rsidRPr="00A21B37">
        <w:t>–</w:t>
      </w:r>
      <w:r w:rsidRPr="00A21B37">
        <w:tab/>
        <w:t>der henviser til Europa-Parlamentets og Rådets forordning (EU, Euratom) 2018/1046 af 18. juli 2018 om de finansielle regler vedrørende Unionens almindelige budget, om ændring af forordning (EU) nr. 1296/2013, (EU) nr. 1301/2013, (EU) nr. 1303/2013, (EU) nr. 1304/2013, (EU) nr. 1309/2013, (EU) nr. 1316/2013, (EU) nr. 223/2014, (EU) nr. 283/2014 og afgørelse nr. 541/2014/EU og om ophævelse af forordning (EU, Euratom) nr. 966/2012</w:t>
      </w:r>
      <w:r w:rsidRPr="00A21B37">
        <w:rPr>
          <w:rStyle w:val="FootnoteReference"/>
        </w:rPr>
        <w:footnoteReference w:id="3"/>
      </w:r>
      <w:r w:rsidRPr="00A21B37">
        <w:t>, særlig artikel 70,</w:t>
      </w:r>
    </w:p>
    <w:p w14:paraId="6A5B109B" w14:textId="77777777" w:rsidR="00063725" w:rsidRPr="00A21B37" w:rsidRDefault="00063725" w:rsidP="00063725">
      <w:pPr>
        <w:pStyle w:val="NormalHanging12a"/>
      </w:pPr>
      <w:r w:rsidRPr="00A21B37">
        <w:t>–</w:t>
      </w:r>
      <w:r w:rsidRPr="00A21B37">
        <w:tab/>
        <w:t xml:space="preserve">der henviser til Europa-Parlamentets og Rådets forordning (EU) nr. 439/2010 af 19. maj </w:t>
      </w:r>
      <w:r w:rsidRPr="00A21B37">
        <w:lastRenderedPageBreak/>
        <w:t>2010 om oprettelse af et europæisk asylstøttekontor</w:t>
      </w:r>
      <w:r w:rsidRPr="00A21B37">
        <w:rPr>
          <w:rStyle w:val="FootnoteReference"/>
        </w:rPr>
        <w:footnoteReference w:id="4"/>
      </w:r>
      <w:r w:rsidRPr="00A21B37">
        <w:t>, særlig artikel 36,</w:t>
      </w:r>
    </w:p>
    <w:p w14:paraId="4298E98B" w14:textId="77777777" w:rsidR="00063725" w:rsidRPr="00A21B37" w:rsidRDefault="00063725" w:rsidP="00063725">
      <w:pPr>
        <w:pStyle w:val="NormalHanging12a"/>
      </w:pPr>
      <w:r w:rsidRPr="00A21B37">
        <w:t>–</w:t>
      </w:r>
      <w:r w:rsidRPr="00A21B37">
        <w:tab/>
        <w:t>der henviser til Europa-Parlamentets og Rådets forordning (EU) 2021/2303 af 15. december 2021 om Den Europæiske Unions Asylagentur og om ophævelse af forordning (EU) nr. 439/2010</w:t>
      </w:r>
      <w:r w:rsidRPr="00A21B37">
        <w:rPr>
          <w:rStyle w:val="FootnoteReference"/>
        </w:rPr>
        <w:footnoteReference w:id="5"/>
      </w:r>
      <w:r w:rsidRPr="00A21B37">
        <w:t>, særlig artikel 55,</w:t>
      </w:r>
    </w:p>
    <w:p w14:paraId="7F444E29" w14:textId="77777777" w:rsidR="00063725" w:rsidRPr="00A21B37" w:rsidRDefault="00063725" w:rsidP="00063725">
      <w:pPr>
        <w:pStyle w:val="NormalHanging12a"/>
      </w:pPr>
      <w:r w:rsidRPr="00A21B37">
        <w:t>–</w:t>
      </w:r>
      <w:r w:rsidRPr="00A21B37">
        <w:tab/>
        <w:t>der henviser til Kommissionens delegerede forordning (EU) 2019/715 af 18. december 2018 om rammefinansforordningen for de organer, der er nedsat i henhold til TEUF og Euratomtraktaten og omhandlet i artikel 70 i Europa-Parlamentets og Rådets forordning (EU, Euratom) 2018/1046</w:t>
      </w:r>
      <w:r w:rsidRPr="00A21B37">
        <w:rPr>
          <w:rStyle w:val="FootnoteReference"/>
        </w:rPr>
        <w:footnoteReference w:id="6"/>
      </w:r>
      <w:r w:rsidRPr="00A21B37">
        <w:t>, særlig artikel 105,</w:t>
      </w:r>
    </w:p>
    <w:p w14:paraId="7A7784D6" w14:textId="77777777" w:rsidR="00063725" w:rsidRPr="00A21B37" w:rsidRDefault="00063725" w:rsidP="00063725">
      <w:pPr>
        <w:pStyle w:val="NormalHanging12a"/>
      </w:pPr>
      <w:r w:rsidRPr="00A21B37">
        <w:t>–</w:t>
      </w:r>
      <w:r w:rsidRPr="00A21B37">
        <w:tab/>
        <w:t>der henviser til forretningsordenens artikel 100 og bilag V,</w:t>
      </w:r>
    </w:p>
    <w:p w14:paraId="562FEF04" w14:textId="77777777" w:rsidR="00063725" w:rsidRPr="00A21B37" w:rsidRDefault="00063725" w:rsidP="00063725">
      <w:pPr>
        <w:pStyle w:val="NormalHanging12a"/>
      </w:pPr>
      <w:r w:rsidRPr="00A21B37">
        <w:t>–</w:t>
      </w:r>
      <w:r w:rsidRPr="00A21B37">
        <w:tab/>
        <w:t>der henviser til udtalelse fra Udvalget om Borgernes Rettigheder og Retlige og Indre Anliggender,</w:t>
      </w:r>
    </w:p>
    <w:p w14:paraId="07F14E3D" w14:textId="77777777" w:rsidR="00063725" w:rsidRPr="00A21B37" w:rsidRDefault="00063725" w:rsidP="00063725">
      <w:pPr>
        <w:pStyle w:val="NormalHanging12a"/>
      </w:pPr>
      <w:r w:rsidRPr="00A21B37">
        <w:t>–</w:t>
      </w:r>
      <w:r w:rsidRPr="00A21B37">
        <w:tab/>
        <w:t>der henviser til betænkning fra Budgetkontroludvalget (A9-0106/2024),</w:t>
      </w:r>
    </w:p>
    <w:p w14:paraId="4F532F35" w14:textId="77777777" w:rsidR="00063725" w:rsidRPr="00A21B37" w:rsidRDefault="00063725" w:rsidP="00063725">
      <w:pPr>
        <w:pStyle w:val="NormalHanging12a"/>
      </w:pPr>
      <w:r w:rsidRPr="00A21B37">
        <w:t>1.</w:t>
      </w:r>
      <w:r w:rsidRPr="00A21B37">
        <w:tab/>
        <w:t>meddeler den administrerende direktør for Den Europæiske Unions Asylagentur decharge for gennemførelsen af agenturets budget for regnskabsåret 2022;</w:t>
      </w:r>
    </w:p>
    <w:p w14:paraId="4546F52C" w14:textId="77777777" w:rsidR="00063725" w:rsidRPr="00A21B37" w:rsidRDefault="00063725" w:rsidP="00063725">
      <w:pPr>
        <w:pStyle w:val="NormalHanging12a"/>
      </w:pPr>
      <w:r w:rsidRPr="00A21B37">
        <w:t>2.</w:t>
      </w:r>
      <w:r w:rsidRPr="00A21B37">
        <w:tab/>
        <w:t>fremsætter sine bemærkninger i nedenstående beslutning;</w:t>
      </w:r>
    </w:p>
    <w:p w14:paraId="4E38688F" w14:textId="77777777" w:rsidR="00063725" w:rsidRPr="00A21B37" w:rsidRDefault="00063725" w:rsidP="00063725">
      <w:pPr>
        <w:pStyle w:val="NormalHanging12a"/>
      </w:pPr>
      <w:r w:rsidRPr="00A21B37">
        <w:t>3.</w:t>
      </w:r>
      <w:r w:rsidRPr="00A21B37">
        <w:tab/>
        <w:t xml:space="preserve">pålægger sin formand at sende denne afgørelse og beslutningen, der er en integrerende del heraf, til den administrerende direktør for Den Europæiske Unions Asylagentur, Rådet, Kommissionen og Revisionsretten og drage omsorg for, at de offentliggøres i </w:t>
      </w:r>
      <w:r w:rsidRPr="00A21B37">
        <w:rPr>
          <w:i/>
        </w:rPr>
        <w:t>Den Europæiske Unions Tidende</w:t>
      </w:r>
      <w:r w:rsidRPr="00A21B37">
        <w:t xml:space="preserve"> (L-udgaven).</w:t>
      </w:r>
    </w:p>
    <w:p w14:paraId="65100C0A" w14:textId="77777777" w:rsidR="00063725" w:rsidRPr="00A21B37" w:rsidRDefault="00063725" w:rsidP="00063725"/>
    <w:p w14:paraId="33AAD086" w14:textId="77777777" w:rsidR="00063725" w:rsidRPr="00A21B37" w:rsidRDefault="00063725" w:rsidP="00063725">
      <w:pPr>
        <w:widowControl/>
        <w:rPr>
          <w:rFonts w:ascii="Arial" w:hAnsi="Arial" w:cs="Arial"/>
          <w:b/>
        </w:rPr>
        <w:sectPr w:rsidR="00063725" w:rsidRPr="00A21B37" w:rsidSect="00A21B37">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pgMar w:top="1134" w:right="1418" w:bottom="1418" w:left="1418" w:header="1134" w:footer="567" w:gutter="0"/>
          <w:cols w:space="720"/>
          <w:docGrid w:linePitch="326"/>
        </w:sectPr>
      </w:pPr>
    </w:p>
    <w:p w14:paraId="3B0E65F1" w14:textId="77777777" w:rsidR="00F04D44" w:rsidRPr="009574E6" w:rsidRDefault="00F04D44" w:rsidP="00F04D44">
      <w:pPr>
        <w:pStyle w:val="ATHeading3"/>
      </w:pPr>
      <w:r>
        <w:lastRenderedPageBreak/>
        <w:t xml:space="preserve">2. </w:t>
      </w:r>
      <w:r w:rsidRPr="009574E6">
        <w:t xml:space="preserve">Europa-Parlamentets afgørelse af </w:t>
      </w:r>
      <w:r>
        <w:t>11. april 2024</w:t>
      </w:r>
      <w:r w:rsidRPr="009574E6">
        <w:t xml:space="preserve"> </w:t>
      </w:r>
      <w:r w:rsidRPr="00A21B37">
        <w:t>om afslutning af regnskaberne for Den Europæiske Unions Asylagentur (før 19.1.2022 Det Europæiske Asylstøttekontor) for regnskabsåret 2022</w:t>
      </w:r>
      <w:r>
        <w:t xml:space="preserve"> </w:t>
      </w:r>
      <w:r w:rsidRPr="00A21B37">
        <w:t>(2023/2164(DEC))</w:t>
      </w:r>
    </w:p>
    <w:p w14:paraId="3269B069" w14:textId="77777777" w:rsidR="00063725" w:rsidRPr="00A21B37" w:rsidRDefault="00063725" w:rsidP="00063725">
      <w:pPr>
        <w:pStyle w:val="EPComma"/>
      </w:pPr>
      <w:r w:rsidRPr="00A21B37">
        <w:rPr>
          <w:i/>
        </w:rPr>
        <w:t>Europa-Parlamentet,</w:t>
      </w:r>
    </w:p>
    <w:p w14:paraId="1BA1682A" w14:textId="77777777" w:rsidR="00063725" w:rsidRPr="00A21B37" w:rsidRDefault="00063725" w:rsidP="00063725">
      <w:pPr>
        <w:pStyle w:val="NormalHanging12a"/>
      </w:pPr>
      <w:r w:rsidRPr="00A21B37">
        <w:t>–</w:t>
      </w:r>
      <w:r w:rsidRPr="00A21B37">
        <w:tab/>
        <w:t>der henviser til det endelige årsregnskab for Den Europæiske Unions Asylagentur for regnskabsåret 2022,</w:t>
      </w:r>
    </w:p>
    <w:p w14:paraId="1A25D9B1" w14:textId="77777777" w:rsidR="00063725" w:rsidRPr="00A21B37" w:rsidRDefault="00063725" w:rsidP="00063725">
      <w:pPr>
        <w:pStyle w:val="NormalHanging12a"/>
      </w:pPr>
      <w:r w:rsidRPr="00A21B37">
        <w:t>–</w:t>
      </w:r>
      <w:r w:rsidRPr="00A21B37">
        <w:tab/>
        <w:t>der henviser til Revisionsrettens årsberetning om EU-agenturerne for regnskabsåret 2022, med agenturernes svar</w:t>
      </w:r>
      <w:r w:rsidRPr="00A21B37">
        <w:rPr>
          <w:rStyle w:val="FootnoteReference"/>
        </w:rPr>
        <w:footnoteReference w:id="7"/>
      </w:r>
      <w:r w:rsidRPr="00A21B37">
        <w:t>,</w:t>
      </w:r>
    </w:p>
    <w:p w14:paraId="391D2B40" w14:textId="77777777" w:rsidR="00063725" w:rsidRPr="00A21B37" w:rsidRDefault="00063725" w:rsidP="00063725">
      <w:pPr>
        <w:pStyle w:val="NormalHanging12a"/>
      </w:pPr>
      <w:r w:rsidRPr="00A21B37">
        <w:t>–</w:t>
      </w:r>
      <w:r w:rsidRPr="00A21B37">
        <w:tab/>
        <w:t>der henviser til Revisionsrettens erklæring</w:t>
      </w:r>
      <w:r w:rsidRPr="00A21B37">
        <w:rPr>
          <w:rStyle w:val="FootnoteReference"/>
        </w:rPr>
        <w:footnoteReference w:id="8"/>
      </w:r>
      <w:r w:rsidRPr="00A21B37">
        <w:t xml:space="preserve"> for regnskabsåret 2022 om regnskabernes rigtighed og de underliggende transaktioners lovlighed og formelle rigtighed, jf. artikel 287 i traktaten om Den Europæiske Unions funktionsmåde,</w:t>
      </w:r>
    </w:p>
    <w:p w14:paraId="2F1108D3" w14:textId="3F1813BB" w:rsidR="00063725" w:rsidRPr="00A21B37" w:rsidRDefault="00063725" w:rsidP="00063725">
      <w:pPr>
        <w:pStyle w:val="NormalHanging12a"/>
      </w:pPr>
      <w:r w:rsidRPr="00A21B37">
        <w:t>–</w:t>
      </w:r>
      <w:r w:rsidRPr="00A21B37">
        <w:tab/>
        <w:t>der henviser til Rådets henstilling af den 22. februar 2024 om decharge til agenturet for gennemførelsen af budgettet for regnskabsåret 2022 (</w:t>
      </w:r>
      <w:r w:rsidR="00CC3A93">
        <w:t>06180</w:t>
      </w:r>
      <w:r w:rsidRPr="00A21B37">
        <w:t>/2024 – C9</w:t>
      </w:r>
      <w:r w:rsidRPr="00A21B37">
        <w:noBreakHyphen/>
      </w:r>
      <w:r w:rsidR="00CC3A93">
        <w:t>0102</w:t>
      </w:r>
      <w:r w:rsidRPr="00A21B37">
        <w:t>/2024),</w:t>
      </w:r>
    </w:p>
    <w:p w14:paraId="3B8C4093" w14:textId="77777777" w:rsidR="00063725" w:rsidRPr="00A21B37" w:rsidRDefault="00063725" w:rsidP="00063725">
      <w:pPr>
        <w:pStyle w:val="NormalHanging12a"/>
      </w:pPr>
      <w:r w:rsidRPr="00A21B37">
        <w:t>–</w:t>
      </w:r>
      <w:r w:rsidRPr="00A21B37">
        <w:tab/>
        <w:t>der henviser til artikel 319 i traktaten om Den Europæiske Unions funktionsmåde,</w:t>
      </w:r>
    </w:p>
    <w:p w14:paraId="0E960A8B" w14:textId="77777777" w:rsidR="00063725" w:rsidRPr="00A21B37" w:rsidRDefault="00063725" w:rsidP="00063725">
      <w:pPr>
        <w:pStyle w:val="NormalHanging12a"/>
      </w:pPr>
      <w:r w:rsidRPr="00A21B37">
        <w:t>–</w:t>
      </w:r>
      <w:r w:rsidRPr="00A21B37">
        <w:tab/>
        <w:t>der henviser til Europa-Parlamentets og Rådets forordning (EU, Euratom) 2018/1046 af 18. juli 2018 om de finansielle regler vedrørende Unionens almindelige budget, om ændring af forordning (EU) nr. 1296/2013, (EU) nr. 1301/2013, (EU) nr. 1303/2013, (EU) nr. 1304/2013, (EU) nr. 1309/2013, (EU) nr. 1316/2013, (EU) nr. 223/2014, (EU) nr. 283/2014 og afgørelse nr. 541/2014/EU og om ophævelse af forordning (EU, Euratom) nr. 966/2012</w:t>
      </w:r>
      <w:r w:rsidRPr="00A21B37">
        <w:rPr>
          <w:rStyle w:val="FootnoteReference"/>
        </w:rPr>
        <w:footnoteReference w:id="9"/>
      </w:r>
      <w:r w:rsidRPr="00A21B37">
        <w:t>, særlig artikel 70,</w:t>
      </w:r>
    </w:p>
    <w:p w14:paraId="2D1F2062" w14:textId="77777777" w:rsidR="00063725" w:rsidRPr="00A21B37" w:rsidRDefault="00063725" w:rsidP="00063725">
      <w:pPr>
        <w:pStyle w:val="NormalHanging12a"/>
      </w:pPr>
      <w:r w:rsidRPr="00A21B37">
        <w:t>–</w:t>
      </w:r>
      <w:r w:rsidRPr="00A21B37">
        <w:tab/>
        <w:t>der henviser til Europa-Parlamentets og Rådets forordning (EU) nr. 439/2010 af 19. maj 2010 om oprettelse af et europæisk asylstøttekontor</w:t>
      </w:r>
      <w:r w:rsidRPr="00A21B37">
        <w:rPr>
          <w:rStyle w:val="FootnoteReference"/>
        </w:rPr>
        <w:footnoteReference w:id="10"/>
      </w:r>
      <w:r w:rsidRPr="00A21B37">
        <w:t>, særlig artikel 36,</w:t>
      </w:r>
    </w:p>
    <w:p w14:paraId="1E2A17AF" w14:textId="77777777" w:rsidR="00063725" w:rsidRPr="00A21B37" w:rsidRDefault="00063725" w:rsidP="00063725">
      <w:pPr>
        <w:pStyle w:val="NormalHanging12a"/>
      </w:pPr>
      <w:r w:rsidRPr="00A21B37">
        <w:t>–</w:t>
      </w:r>
      <w:r w:rsidRPr="00A21B37">
        <w:tab/>
        <w:t>der henviser til Europa-Parlamentets og Rådets forordning (EU) 2021/2303 af 15. december 2021 om Den Europæiske Unions Asylagentur og om ophævelse af forordning (EU) nr. 439/2010</w:t>
      </w:r>
      <w:r w:rsidRPr="00A21B37">
        <w:rPr>
          <w:rStyle w:val="FootnoteReference"/>
        </w:rPr>
        <w:footnoteReference w:id="11"/>
      </w:r>
      <w:r w:rsidRPr="00A21B37">
        <w:t>, særlig artikel 55,</w:t>
      </w:r>
    </w:p>
    <w:p w14:paraId="4FDB645F" w14:textId="77777777" w:rsidR="00063725" w:rsidRPr="00A21B37" w:rsidRDefault="00063725" w:rsidP="00063725">
      <w:pPr>
        <w:pStyle w:val="NormalHanging12a"/>
      </w:pPr>
      <w:r w:rsidRPr="00A21B37">
        <w:t>–</w:t>
      </w:r>
      <w:r w:rsidRPr="00A21B37">
        <w:tab/>
        <w:t>der henviser til Kommissionens delegerede forordning (EU) 2019/715 af 18. december 2018 om rammefinansforordningen for de organer, der er nedsat i henhold til TEUF og Euratomtraktaten og omhandlet i artikel 70 i Europa-Parlamentets og Rådets forordning (EU, Euratom) 2018/1046</w:t>
      </w:r>
      <w:r w:rsidRPr="00A21B37">
        <w:rPr>
          <w:rStyle w:val="FootnoteReference"/>
        </w:rPr>
        <w:footnoteReference w:id="12"/>
      </w:r>
      <w:r w:rsidRPr="00A21B37">
        <w:t>, særlig artikel 105,</w:t>
      </w:r>
    </w:p>
    <w:p w14:paraId="2EA67B83" w14:textId="77777777" w:rsidR="00063725" w:rsidRPr="00A21B37" w:rsidRDefault="00063725" w:rsidP="00063725">
      <w:pPr>
        <w:pStyle w:val="NormalHanging12a"/>
      </w:pPr>
      <w:r w:rsidRPr="00A21B37">
        <w:t>–</w:t>
      </w:r>
      <w:r w:rsidRPr="00A21B37">
        <w:tab/>
        <w:t>der henviser til forretningsordenens artikel 100 og bilag V,</w:t>
      </w:r>
    </w:p>
    <w:p w14:paraId="43DD12C0" w14:textId="77777777" w:rsidR="00063725" w:rsidRPr="00A21B37" w:rsidRDefault="00063725" w:rsidP="00063725">
      <w:pPr>
        <w:pStyle w:val="NormalHanging12a"/>
      </w:pPr>
      <w:r w:rsidRPr="00A21B37">
        <w:t>–</w:t>
      </w:r>
      <w:r w:rsidRPr="00A21B37">
        <w:tab/>
        <w:t>der henviser til udtalelse fra Udvalget om Borgernes Rettigheder og Retlige og Indre Anliggender,</w:t>
      </w:r>
    </w:p>
    <w:p w14:paraId="13253881" w14:textId="77777777" w:rsidR="00063725" w:rsidRPr="00A21B37" w:rsidRDefault="00063725" w:rsidP="00063725">
      <w:pPr>
        <w:pStyle w:val="NormalHanging12a"/>
      </w:pPr>
      <w:r w:rsidRPr="00A21B37">
        <w:lastRenderedPageBreak/>
        <w:t>–</w:t>
      </w:r>
      <w:r w:rsidRPr="00A21B37">
        <w:tab/>
        <w:t>der henviser til betænkning fra Budgetkontroludvalget (A9-0106/2024),</w:t>
      </w:r>
    </w:p>
    <w:p w14:paraId="15F55DCB" w14:textId="77777777" w:rsidR="00063725" w:rsidRPr="00A21B37" w:rsidRDefault="00063725" w:rsidP="00063725">
      <w:pPr>
        <w:pStyle w:val="NormalHanging12a"/>
      </w:pPr>
      <w:r w:rsidRPr="00A21B37">
        <w:t>1.</w:t>
      </w:r>
      <w:r w:rsidRPr="00A21B37">
        <w:tab/>
        <w:t>godkender afslutningen af regnskaberne for Den Europæiske Unions Asylagentur for regnskabsåret 2022;</w:t>
      </w:r>
    </w:p>
    <w:p w14:paraId="011BFFAE" w14:textId="77777777" w:rsidR="00063725" w:rsidRPr="00A21B37" w:rsidRDefault="00063725" w:rsidP="00063725">
      <w:pPr>
        <w:pStyle w:val="NormalHanging12a"/>
      </w:pPr>
      <w:r w:rsidRPr="00A21B37">
        <w:t>2.</w:t>
      </w:r>
      <w:r w:rsidRPr="00A21B37">
        <w:tab/>
        <w:t xml:space="preserve">pålægger sin formand at sende denne afgørelse til den administrerende direktør for Den Europæiske Unions Asylagentur, Rådet, Kommissionen og Revisionsretten og drage omsorg for, at den offentliggøres i </w:t>
      </w:r>
      <w:r w:rsidRPr="00A21B37">
        <w:rPr>
          <w:i/>
        </w:rPr>
        <w:t>Den Europæiske Unions Tidende</w:t>
      </w:r>
      <w:r w:rsidRPr="00A21B37">
        <w:t xml:space="preserve"> (L-udgaven).</w:t>
      </w:r>
    </w:p>
    <w:p w14:paraId="2A2C5BE7" w14:textId="77777777" w:rsidR="00063725" w:rsidRPr="00A21B37" w:rsidRDefault="00063725" w:rsidP="00063725"/>
    <w:p w14:paraId="02CE6E69" w14:textId="77777777" w:rsidR="00063725" w:rsidRPr="00A21B37" w:rsidRDefault="00063725" w:rsidP="00063725">
      <w:pPr>
        <w:widowControl/>
        <w:rPr>
          <w:rFonts w:ascii="Arial" w:hAnsi="Arial" w:cs="Arial"/>
          <w:b/>
        </w:rPr>
        <w:sectPr w:rsidR="00063725" w:rsidRPr="00A21B37" w:rsidSect="00A21B37">
          <w:footnotePr>
            <w:numRestart w:val="eachPage"/>
          </w:footnotePr>
          <w:endnotePr>
            <w:numFmt w:val="decimal"/>
          </w:endnotePr>
          <w:pgSz w:w="11906" w:h="16838"/>
          <w:pgMar w:top="1134" w:right="1418" w:bottom="1418" w:left="1418" w:header="567" w:footer="567" w:gutter="0"/>
          <w:cols w:space="720"/>
          <w:docGrid w:linePitch="326"/>
        </w:sectPr>
      </w:pPr>
    </w:p>
    <w:p w14:paraId="446E67AE" w14:textId="77777777" w:rsidR="00F04D44" w:rsidRPr="009574E6" w:rsidRDefault="00F04D44" w:rsidP="00F04D44">
      <w:pPr>
        <w:pStyle w:val="ATHeading3"/>
      </w:pPr>
      <w:bookmarkStart w:id="7" w:name="_Toc323109679"/>
      <w:r>
        <w:lastRenderedPageBreak/>
        <w:t xml:space="preserve">3. </w:t>
      </w:r>
      <w:r w:rsidRPr="009574E6">
        <w:t>Europa-Parlamentets beslutning</w:t>
      </w:r>
      <w:bookmarkEnd w:id="7"/>
      <w:r w:rsidRPr="009574E6">
        <w:t xml:space="preserve"> </w:t>
      </w:r>
      <w:r w:rsidRPr="009366E9">
        <w:t xml:space="preserve">af </w:t>
      </w:r>
      <w:r>
        <w:t>11. april 2024</w:t>
      </w:r>
      <w:r w:rsidRPr="009574E6">
        <w:t xml:space="preserve"> </w:t>
      </w:r>
      <w:r w:rsidRPr="00A21B37">
        <w:t>med bemærkningerne, der er en integrerende del af afgørelsen om decharge for gennemførelsen af budgettet for Den Europæiske Unions Asylagentur (før 19.1.2022 Det Europæiske Asylstøttekontor) for regnskabsåret 2022</w:t>
      </w:r>
      <w:r>
        <w:t xml:space="preserve"> </w:t>
      </w:r>
      <w:r w:rsidRPr="00A21B37">
        <w:t>(2023/2164(DEC))</w:t>
      </w:r>
    </w:p>
    <w:p w14:paraId="5A8C62E1" w14:textId="77777777" w:rsidR="00063725" w:rsidRPr="00A21B37" w:rsidRDefault="00063725" w:rsidP="00063725">
      <w:pPr>
        <w:pStyle w:val="EPComma"/>
      </w:pPr>
      <w:r w:rsidRPr="00A21B37">
        <w:rPr>
          <w:i/>
        </w:rPr>
        <w:t>Europa-Parlamentet,</w:t>
      </w:r>
    </w:p>
    <w:p w14:paraId="56BA30AC" w14:textId="77777777" w:rsidR="00063725" w:rsidRPr="00A21B37" w:rsidRDefault="00063725" w:rsidP="00063725">
      <w:pPr>
        <w:pStyle w:val="NormalHanging12a"/>
      </w:pPr>
      <w:r w:rsidRPr="00A21B37">
        <w:t>–</w:t>
      </w:r>
      <w:r w:rsidRPr="00A21B37">
        <w:tab/>
        <w:t>der henviser til sin afgørelse om decharge for gennemførelsen af budgettet for Den Europæiske Unions Asylagentur for regnskabsåret 2022,</w:t>
      </w:r>
    </w:p>
    <w:p w14:paraId="3FEA15A5" w14:textId="77777777" w:rsidR="00063725" w:rsidRPr="00A21B37" w:rsidRDefault="00063725" w:rsidP="00063725">
      <w:pPr>
        <w:pStyle w:val="NormalHanging12a"/>
      </w:pPr>
      <w:r w:rsidRPr="00A21B37">
        <w:t>–</w:t>
      </w:r>
      <w:r w:rsidRPr="00A21B37">
        <w:tab/>
        <w:t>der henviser til forretningsordenens artikel 100 og bilag V,</w:t>
      </w:r>
    </w:p>
    <w:p w14:paraId="124D28A5" w14:textId="77777777" w:rsidR="00063725" w:rsidRPr="00A21B37" w:rsidRDefault="00063725" w:rsidP="00063725">
      <w:pPr>
        <w:pStyle w:val="NormalHanging12a"/>
      </w:pPr>
      <w:r w:rsidRPr="00A21B37">
        <w:t>–</w:t>
      </w:r>
      <w:r w:rsidRPr="00A21B37">
        <w:tab/>
        <w:t>der henviser til udtalelse fra Udvalget om Borgernes Rettigheder og Retlige og Indre Anliggender,</w:t>
      </w:r>
    </w:p>
    <w:p w14:paraId="351D0348" w14:textId="77777777" w:rsidR="00063725" w:rsidRPr="00A21B37" w:rsidRDefault="00063725" w:rsidP="00063725">
      <w:pPr>
        <w:pStyle w:val="NormalHanging12a"/>
      </w:pPr>
      <w:r w:rsidRPr="00A21B37">
        <w:t>–</w:t>
      </w:r>
      <w:r w:rsidRPr="00A21B37">
        <w:tab/>
        <w:t>der henviser til betænkning fra Budgetkontroludvalget (A9-0106/2024),</w:t>
      </w:r>
    </w:p>
    <w:p w14:paraId="3513A39E" w14:textId="77777777" w:rsidR="00063725" w:rsidRPr="00A21B37" w:rsidRDefault="00063725" w:rsidP="00063725">
      <w:pPr>
        <w:pStyle w:val="Normal12Hanging"/>
        <w:rPr>
          <w:color w:val="000000" w:themeColor="text1"/>
          <w:szCs w:val="24"/>
          <w:lang w:val="da-DK"/>
        </w:rPr>
      </w:pPr>
      <w:r w:rsidRPr="00A21B37">
        <w:rPr>
          <w:lang w:val="da-DK"/>
        </w:rPr>
        <w:t>A.</w:t>
      </w:r>
      <w:r w:rsidRPr="00A21B37">
        <w:rPr>
          <w:lang w:val="da-DK"/>
        </w:rPr>
        <w:tab/>
      </w:r>
      <w:r w:rsidRPr="00A21B37">
        <w:rPr>
          <w:color w:val="000000" w:themeColor="text1"/>
          <w:lang w:val="da-DK"/>
        </w:rPr>
        <w:t>der henviser til, at det endelige budget for Den Europæiske Unions Asylagentur ("agenturet") for regnskabsåret 2022 ifølge dets oversigt over indtægter og udgifter</w:t>
      </w:r>
      <w:r w:rsidRPr="00A21B37">
        <w:rPr>
          <w:rStyle w:val="FootnoteReference"/>
          <w:color w:val="000000" w:themeColor="text1"/>
          <w:szCs w:val="24"/>
          <w:lang w:val="da-DK"/>
        </w:rPr>
        <w:footnoteReference w:id="13"/>
      </w:r>
      <w:r w:rsidRPr="00A21B37">
        <w:rPr>
          <w:color w:val="000000" w:themeColor="text1"/>
          <w:lang w:val="da-DK"/>
        </w:rPr>
        <w:t xml:space="preserve"> var på 186 842 192 EUR, hvilket svarer til en stigning på 12,46 % i forhold til 2021; der henviser til, at agenturets budget hovedsageligt stammer fra Unionens budget;</w:t>
      </w:r>
    </w:p>
    <w:p w14:paraId="4D78C2A8" w14:textId="77777777" w:rsidR="00063725" w:rsidRPr="00A21B37" w:rsidRDefault="00063725" w:rsidP="00063725">
      <w:pPr>
        <w:pStyle w:val="Normal12Hanging"/>
        <w:rPr>
          <w:color w:val="000000" w:themeColor="text1"/>
          <w:szCs w:val="24"/>
          <w:lang w:val="da-DK"/>
        </w:rPr>
      </w:pPr>
      <w:r w:rsidRPr="00A21B37">
        <w:rPr>
          <w:color w:val="000000" w:themeColor="text1"/>
          <w:lang w:val="da-DK"/>
        </w:rPr>
        <w:t>B.</w:t>
      </w:r>
      <w:r w:rsidRPr="00A21B37">
        <w:rPr>
          <w:color w:val="000000" w:themeColor="text1"/>
          <w:lang w:val="da-DK"/>
        </w:rPr>
        <w:tab/>
        <w:t>der henviser til, at agenturet i juni 2022 undertegnede en bidragsaftale med Kommissionen om gennemførelsen af fase III af instrumentet til førtiltrædelsesbistand (IPA) "EU's regionale støtte til beskyttelsesfølsomme migrationsforvaltningssystemer på Vestbalkan, fase III, kontrakt 2" (i det følgende benævnt "IPA III Vestbalkan") med en samlet værdi af 6 mio. EUR og en gennemførelsesperiode på 47 måneder;</w:t>
      </w:r>
    </w:p>
    <w:p w14:paraId="2CD09434" w14:textId="77777777" w:rsidR="00063725" w:rsidRPr="00A21B37" w:rsidRDefault="00063725" w:rsidP="00063725">
      <w:pPr>
        <w:pStyle w:val="Normal12Hanging"/>
        <w:rPr>
          <w:color w:val="000000" w:themeColor="text1"/>
          <w:szCs w:val="24"/>
          <w:lang w:val="da-DK"/>
        </w:rPr>
      </w:pPr>
      <w:r w:rsidRPr="00A21B37">
        <w:rPr>
          <w:color w:val="000000" w:themeColor="text1"/>
          <w:lang w:val="da-DK"/>
        </w:rPr>
        <w:t>C.</w:t>
      </w:r>
      <w:r w:rsidRPr="00A21B37">
        <w:rPr>
          <w:color w:val="000000" w:themeColor="text1"/>
          <w:lang w:val="da-DK"/>
        </w:rPr>
        <w:tab/>
        <w:t>der henviser til, at der i 2022 var en betydelig stigning i agenturets budget som følge af udvidede opgaver i henhold til forordning (EU) 2021/2303 med henblik på at gøre agenturet til et ekspertisecenter på asylområdet;</w:t>
      </w:r>
    </w:p>
    <w:p w14:paraId="58D25B51" w14:textId="77777777" w:rsidR="00063725" w:rsidRPr="00A21B37" w:rsidRDefault="00063725" w:rsidP="00063725">
      <w:pPr>
        <w:pStyle w:val="Normal12Hanging"/>
        <w:rPr>
          <w:color w:val="000000" w:themeColor="text1"/>
          <w:szCs w:val="24"/>
          <w:lang w:val="da-DK"/>
        </w:rPr>
      </w:pPr>
      <w:r w:rsidRPr="00A21B37">
        <w:rPr>
          <w:color w:val="000000" w:themeColor="text1"/>
          <w:lang w:val="da-DK"/>
        </w:rPr>
        <w:t>D.</w:t>
      </w:r>
      <w:r w:rsidRPr="00A21B37">
        <w:rPr>
          <w:color w:val="000000" w:themeColor="text1"/>
          <w:lang w:val="da-DK"/>
        </w:rPr>
        <w:tab/>
        <w:t>der henviser til, at der i Unionen var næsten 1 mio. asylansøgere og ca. 4 mio. personer, der var omfattet af midlertidig beskyttelse i 2022;</w:t>
      </w:r>
    </w:p>
    <w:p w14:paraId="190616C2" w14:textId="77777777" w:rsidR="00063725" w:rsidRPr="00A21B37" w:rsidRDefault="00063725" w:rsidP="00063725">
      <w:pPr>
        <w:spacing w:after="240"/>
        <w:ind w:left="567" w:hanging="567"/>
        <w:rPr>
          <w:color w:val="000000" w:themeColor="text1"/>
          <w:szCs w:val="24"/>
        </w:rPr>
      </w:pPr>
      <w:r w:rsidRPr="00A21B37">
        <w:rPr>
          <w:color w:val="000000" w:themeColor="text1"/>
        </w:rPr>
        <w:t>E.</w:t>
      </w:r>
      <w:r w:rsidRPr="00A21B37">
        <w:rPr>
          <w:color w:val="000000" w:themeColor="text1"/>
        </w:rPr>
        <w:tab/>
      </w:r>
      <w:r w:rsidRPr="00A21B37">
        <w:t>der henviser til, at Revisionsretten i sin beretning om agenturets årsregnskab for regnskabsåret 2022 ("Revisionsrettens beretning") fastslår, at den har fået rimelig sikkerhed for, at agenturets årsregnskab er rigtigt, og at de underliggende transaktioner er lovlige og formelt rigtige;</w:t>
      </w:r>
    </w:p>
    <w:p w14:paraId="19A3CC46" w14:textId="77777777" w:rsidR="00063725" w:rsidRPr="00A21B37" w:rsidRDefault="00063725" w:rsidP="00063725">
      <w:pPr>
        <w:spacing w:after="240"/>
        <w:ind w:left="567" w:hanging="567"/>
        <w:rPr>
          <w:b/>
          <w:i/>
          <w:szCs w:val="24"/>
        </w:rPr>
      </w:pPr>
      <w:r w:rsidRPr="00A21B37">
        <w:rPr>
          <w:b/>
          <w:i/>
        </w:rPr>
        <w:t>Budgetmæssig og økonomisk forvaltning</w:t>
      </w:r>
    </w:p>
    <w:p w14:paraId="3BE04AF5" w14:textId="77777777" w:rsidR="00063725" w:rsidRPr="00A21B37" w:rsidRDefault="00063725" w:rsidP="00063725">
      <w:pPr>
        <w:pStyle w:val="NormalHanging12a"/>
        <w:rPr>
          <w:szCs w:val="24"/>
        </w:rPr>
      </w:pPr>
      <w:r w:rsidRPr="00A21B37">
        <w:t>1.</w:t>
      </w:r>
      <w:r w:rsidRPr="00A21B37">
        <w:tab/>
        <w:t xml:space="preserve">bemærker, at budgetovervågningsindsatsen i regnskabsåret 2022 resulterede i en budgetgennemførelsesgrad i forpligtelsesbevillinger for det pågældende år på 96,23 %, hvilket svarer til et lille fald på 0,44 % i forhold til 2021 (96,67 %); bemærker, at udnyttelsesgraden for betalingsbevillingerne var på 89,55 %, hvilket svarer til et fald på 1,36 % i forhold til det foregående år 2021 (90,91 %); bemærker med bekymring en relativt høj andel af bortfaldne midler (15 %), der blev fremført fra 2021 til 2022, </w:t>
      </w:r>
      <w:r w:rsidRPr="00A21B37">
        <w:lastRenderedPageBreak/>
        <w:t>hvilket betyder, at agenturets årlige målsats på mindre end 10 % ikke er nået;</w:t>
      </w:r>
    </w:p>
    <w:p w14:paraId="26A87551" w14:textId="77777777" w:rsidR="00063725" w:rsidRPr="00A21B37" w:rsidRDefault="00063725" w:rsidP="00063725">
      <w:pPr>
        <w:pStyle w:val="NormalHanging12a"/>
        <w:rPr>
          <w:szCs w:val="24"/>
        </w:rPr>
      </w:pPr>
      <w:r w:rsidRPr="00A21B37">
        <w:t>2.</w:t>
      </w:r>
      <w:r w:rsidRPr="00A21B37">
        <w:tab/>
        <w:t>fremhæver, at agenturets bestyrelse i 2022 vedtog to budgetændringsforslag; bemærker i denne forbindelse, at agenturet gennemførte en midtvejsrevision af sit budget for 2022, som fastsatte, at agenturet skulle anmode Kommissionen om et yderligere tilskud på 12 mio. EUR i forpligtelsesbevillinger og 6 mio. EUR i betalingsbevillinger for at løse de yderligere opgaver, der opstod som følge af den humanitære krise, der blev udløst af den ulovlige og uprovokerede russiske invasion af Ukraine; bemærker, at disse beløb var omfattet af agenturets første budgetændringsforslag, der blev vedtaget i september 2022; beklager imidlertid, at agenturets efterårsbudget- og planlægningsrevision fremhævede uforudsete forsinkelser i gennemførelsen af operationelle planer, der er relevante for krisen i Ukraine, og som førte til et negativt (andet) budgetændringsforslag, som blev vedtaget af bestyrelsen i november 2022, og som reducerede betalingsbevillingerne med 12 mio. EUR; bemærker endelig, at agenturets budgetændringsforslag også afspejlede Danmarks frivillige bidrag (anden tranche på 94 063 EUR) til gennemførelsen af "køreplanen for samarbejdet mellem EASO og Egypten" og den første forfinansiering (på 2 968 129 EUR) til IPA III på Vestbalkan;</w:t>
      </w:r>
    </w:p>
    <w:p w14:paraId="27A975E0" w14:textId="77777777" w:rsidR="00063725" w:rsidRPr="00A21B37" w:rsidRDefault="00063725" w:rsidP="00063725">
      <w:pPr>
        <w:pStyle w:val="NormalHanging12a"/>
        <w:rPr>
          <w:szCs w:val="24"/>
        </w:rPr>
      </w:pPr>
      <w:r w:rsidRPr="00A21B37">
        <w:t>3.</w:t>
      </w:r>
      <w:r w:rsidRPr="00A21B37">
        <w:tab/>
        <w:t>noterer sig bemærkningen i Revisionsrettens beretning med hensyn til bidragene fra associerede Schengenlande til agenturets budget om, at de ordninger, der er indgået mellem Unionen og disse lande, og som tjener som retsgrundlag for beregningen af disse bidrag, er uklare og giver mulighed for divergerende fortolkninger, der fører til bidrag fra de enkelte associerede Schengenlande (til agenturets budget) svarende til underbetalinger på ca. 0,7 mio. EUR (7 %) som følge af anvendelsen af en beregningsformel, som Revisionsretten anser for fejlagtig, fordi bidragssatsen multipliceres med et beløb, der kun afspejler Unionens budgettilskud til agenturets aktiviteter, mens dette beløb ifølge Revisionsretten også bør omfatte andelen af associerede Schengenlande; opfordrer Kommissionen til at tage dette spørgsmål op i de kommende forhandlinger med de associerede Schengenlande om nye aftaler, der vil omfatte de associerede Schengenlandes deltagelse i agenturets arbejde, med henblik på at sikre større klarhed deri;</w:t>
      </w:r>
    </w:p>
    <w:p w14:paraId="2B1BD6DC" w14:textId="77777777" w:rsidR="00063725" w:rsidRPr="00A21B37" w:rsidRDefault="00063725" w:rsidP="00063725">
      <w:pPr>
        <w:spacing w:after="240"/>
        <w:ind w:left="567" w:hanging="567"/>
        <w:rPr>
          <w:szCs w:val="24"/>
        </w:rPr>
      </w:pPr>
      <w:r w:rsidRPr="00A21B37">
        <w:rPr>
          <w:b/>
          <w:i/>
        </w:rPr>
        <w:t>Performance</w:t>
      </w:r>
    </w:p>
    <w:p w14:paraId="660E9082" w14:textId="77777777" w:rsidR="00063725" w:rsidRPr="00A21B37" w:rsidRDefault="00063725" w:rsidP="00063725">
      <w:pPr>
        <w:pStyle w:val="NormalHanging12a"/>
        <w:rPr>
          <w:szCs w:val="24"/>
        </w:rPr>
      </w:pPr>
      <w:r w:rsidRPr="00A21B37">
        <w:t>4.</w:t>
      </w:r>
      <w:r w:rsidRPr="00A21B37">
        <w:tab/>
        <w:t>bemærker, at agenturets performance for 2022 blev målt i forhold til 204 årlige mål, hvoraf 48 % blev overgået, 26 % blev nået, 10 % blev næsten nået, 12 % var forsinket og 4 % ikke var gældende;</w:t>
      </w:r>
    </w:p>
    <w:p w14:paraId="57CABC38" w14:textId="77777777" w:rsidR="00063725" w:rsidRPr="00A21B37" w:rsidRDefault="00063725" w:rsidP="00063725">
      <w:pPr>
        <w:pStyle w:val="NormalHanging12a"/>
        <w:rPr>
          <w:szCs w:val="24"/>
        </w:rPr>
      </w:pPr>
      <w:r w:rsidRPr="00A21B37">
        <w:t>5.</w:t>
      </w:r>
      <w:r w:rsidRPr="00A21B37">
        <w:tab/>
        <w:t>roser agenturet for de betydelige fremskridt, der blev gjort i 2022 hen imod fuld gennemførelse af de nye bestemmelser i forordning (EU) 2021/2033; bemærker navnlig på baggrund af agenturets opfølgningsrapport vedrørende decharge for 2021 (i det følgende benævnt "opfølgningsrapporten"), at agenturet oprettede det rådgivende forum samt asylreservepuljen, som allerede i midten af juni 2023 omfattede 360 medlemsstaters godkendte eksperter (ud af 500 som krævet i nævnte forordning) og gennemførte processen med at rekruttere sin ansvarlige for grundlæggende rettigheder, som tiltrådte i maj 2023, samt høringer af interessenter med henblik på at udarbejde og vedtage klagemekanismen; bemærker med hensyn til overvågningsmekanismen, at metoden og programmet har været under udvikling med den planlagte vedtagelse i første kvartal af 2024 efterfulgt af en pilotovervågning;</w:t>
      </w:r>
    </w:p>
    <w:p w14:paraId="17A386E4" w14:textId="77777777" w:rsidR="00063725" w:rsidRPr="00A21B37" w:rsidRDefault="00063725" w:rsidP="00063725">
      <w:pPr>
        <w:pStyle w:val="NormalHanging12a"/>
        <w:rPr>
          <w:szCs w:val="24"/>
        </w:rPr>
      </w:pPr>
      <w:r w:rsidRPr="00A21B37">
        <w:t>6.</w:t>
      </w:r>
      <w:r w:rsidRPr="00A21B37">
        <w:tab/>
        <w:t xml:space="preserve">bemærker med hensyn til det aktivitetsområde, der omfatter indsættelse af </w:t>
      </w:r>
      <w:r w:rsidRPr="00A21B37">
        <w:lastRenderedPageBreak/>
        <w:t>forbindelsesofficerer i medlemsstaterne og tredjelande, at begrænsninger i de menneskelige ressourcer fik agenturet til at samle medlemsstater, hvorved én forbindelsesofficer dækker op til fire medlemsstater, samt til en manglende tidsplan for indsættelsen af forbindelsesofficerer i tredjelande; anerkender agenturets behov for yderligere ressourcer til fuldt ud at gennemføre kravene i forordning (EU) 2021/2303 på dette område og gentager sin opfordring til Kommissionen om bedre at afspejle agenturets operationelle behov, når det træffer afgørelse om fremtidige stillingsfortegnelser;</w:t>
      </w:r>
    </w:p>
    <w:p w14:paraId="777A846F" w14:textId="77777777" w:rsidR="00063725" w:rsidRPr="00A21B37" w:rsidRDefault="00063725" w:rsidP="00063725">
      <w:pPr>
        <w:pStyle w:val="NormalHanging12a"/>
        <w:rPr>
          <w:szCs w:val="24"/>
        </w:rPr>
      </w:pPr>
      <w:r w:rsidRPr="00A21B37">
        <w:t>7.</w:t>
      </w:r>
      <w:r w:rsidRPr="00A21B37">
        <w:tab/>
        <w:t>anerkender, at agenturet i 2022 stod over for nye opgaver og mange udfordringer som følge af den russiske ulovlige invasion af Ukraine; bemærker i denne forbindelse, at agenturet efter anmodning fra de relevante nationale myndigheder udvidede sine aktiviteter til yderligere seks medlemsstater, hvilket førte til operationelle planer i i alt 14 medlemsstater; roser agenturet for også at bistå disse medlemsstater med gennemførelsen af direktivet om midlertidig beskyttelse; bemærker endvidere, at agenturet støttede et frivilligt overførselsprogram, der hjælper personer, der flygter fra Ukraine, med at flytte til Unionen og ansøge om midlertidig beskyttelse, leverede uddannelse i direktivet om midlertidig beskyttelse til nationale forvaltninger, udviklede landespecifikke kommunikationsprodukter (brochurer, foldere og plakater) med skræddersyede oplysninger om midlertidig beskyttelse, øgede produktionen af situationsanalyser og for første gang udsendte personale til et land uden for Unionen (Moldova); påskønner endvidere agenturets stærke engagement i den eksterne dimension af det fælles europæiske asylsystem (CEAS), der støtter EU+-landene med at genbosætte 2 585 personer ved at støtte 13 udvælgelsesmissioner og tre missioner i forbindelse med informationsprogrammer forud for afrejsen;</w:t>
      </w:r>
    </w:p>
    <w:p w14:paraId="32378B97" w14:textId="77777777" w:rsidR="00063725" w:rsidRPr="00A21B37" w:rsidRDefault="00063725" w:rsidP="00063725">
      <w:pPr>
        <w:pStyle w:val="NormalHanging12a"/>
      </w:pPr>
      <w:r w:rsidRPr="00A21B37">
        <w:t>8.</w:t>
      </w:r>
      <w:r w:rsidRPr="00A21B37">
        <w:tab/>
        <w:t>fremhæver, blandt andre resultater for 2022, at agenturet udarbejdede omkring 3 000 sider om produkter med oplysninger om oprindelsesland (COI-produkter), behandlede mere end 1 000 individuelle lægeanmodninger i forbindelse med agenturetsmedicinske COI-aktiviteter, leverede kurser, der nåede op på et rekordstort antal på i alt 13 000 deltagere, og offentliggjorde og/eller ajourførte landevejledninger (om Somalia, Afghanistan og Irak); roser også agenturet for at bistå landene på Vestbalkan gennem tilvejebringelse af institutionel kapacitetsopbygning, uddannelse og coaching på arbejdspladsen om centrale asylprocedurer i Albanien, Bosnien-Hercegovina, Kosovo, Montenegro, Nordmakedonien og Serbien;</w:t>
      </w:r>
    </w:p>
    <w:p w14:paraId="17F2DDAD" w14:textId="77777777" w:rsidR="00063725" w:rsidRPr="00A21B37" w:rsidRDefault="00063725" w:rsidP="00063725">
      <w:pPr>
        <w:pStyle w:val="NormalHanging12a"/>
        <w:rPr>
          <w:b/>
          <w:i/>
        </w:rPr>
      </w:pPr>
      <w:r w:rsidRPr="00A21B37">
        <w:rPr>
          <w:b/>
          <w:i/>
        </w:rPr>
        <w:t>Effektivitet og gevinster</w:t>
      </w:r>
    </w:p>
    <w:p w14:paraId="5B2EE3B4" w14:textId="77777777" w:rsidR="00063725" w:rsidRPr="00A21B37" w:rsidRDefault="00063725" w:rsidP="00063725">
      <w:pPr>
        <w:pStyle w:val="NormalHanging12a"/>
      </w:pPr>
      <w:r w:rsidRPr="00A21B37">
        <w:t>9.</w:t>
      </w:r>
      <w:r w:rsidRPr="00A21B37">
        <w:tab/>
        <w:t>bemærker, at agenturet bl.a. har samarbejdet med flere agenturer inden for retlige og indre anliggender (f.eks. Frontex, eu-LISA, FRA, Cepol) med hensyn til situationsoplysningsprodukter, støtte til at imødegå operationelle udfordringer (herunder det udsendte personale), læring og udveksling af oplysninger samt uddannelse og kapacitetsopbygning; understreger betydningen af samarbejde for en korrekt tildeling af ressourcer; bemærker endvidere, at eu-LISA på grundlag af en serviceleveranceaftale huser genoprettelsesstedet for agenturets IKT-logiske infrastruktur og kommunikation; opfordrer agenturet til fortsat at undersøge mulighederne for udveksling af bedste praksis og muligheder inden for agenturets nye mandat med henblik på at dele ressourcer og videreudvikle synergier med andre agenturer på områder af fælles interesse med henblik på at forbedre effektiviteten;</w:t>
      </w:r>
    </w:p>
    <w:p w14:paraId="30E25086" w14:textId="77777777" w:rsidR="00063725" w:rsidRPr="00A21B37" w:rsidRDefault="00063725" w:rsidP="00063725">
      <w:pPr>
        <w:pStyle w:val="NormalHanging12a"/>
      </w:pPr>
      <w:r w:rsidRPr="00A21B37">
        <w:t>10.</w:t>
      </w:r>
      <w:r w:rsidRPr="00A21B37">
        <w:tab/>
        <w:t xml:space="preserve">glæder sig over de foranstaltninger, som agenturet traf i 2022 for at øge effektiviteten og </w:t>
      </w:r>
      <w:r w:rsidRPr="00A21B37">
        <w:lastRenderedPageBreak/>
        <w:t>forenklingen såsom reduktion af proceduremæssige skridt, automatisering af repetitive opgaver og udrulningen af en organisatorisk model for levering af horisontale tjenester, der bringer administrativ ekspertise tættere på anvendelsespunktet gennem fjerntilstedeværelse, lokal tilstedeværelse eller hybrid tilstedeværelse og dermed gavner landeoperationer på områder såsom finansiel initiering af transaktioner, IKT-støtte, juridisk støtte og facilitetsforvaltning; roser agenturets øgede effektivitet med hensyn til at sikre personalets sikkerhed i forbindelse med flere landeoperationer ved hjælp af de samme ressourcer som i 2021; bemærker endvidere, at agenturet gennemførte flere foranstaltninger med henblik på at forbedre effektiviteten inden for cybersikkerhed (gennem f.eks. en automatiseret arbejdsgang for reaktion på hændelser), indkøb (gennem udpegelse af kontaktpunkter for de varer og tjenesteydelser, der hyppigst købes, for at forbedre procedurernes kvalitet og rettidighed og yde støtte fra de tidlige faser af udbud), IKT (ved at give brugerne et enkelt referencepunkt for status for deres anmodninger) og HR (ved bl.a. at åbne de første SYSPER-moduler om identitet, organisation, omsorgsperson, personlige data og tidsstyring samt et HR-billetsystem for støttetjenester, der leveres til alle agenturets medarbejdere); opfordrer agenturet til fuldt ud at gennemføre Kommissionens værktøj til forvaltning af offentlige udbud; noterer sig på baggrund af agenturets konsoliderede aktivitetsrapport for 2022 (i det følgende benævnt "CAAR 2022") en fornyet stigning i andelen af ressourcer, der er afsat til agenturets operationelle aktiviteter, svarende til 79,13 % i 2022 (sammenlignet med 72,14 % i 2021 og 68,68 % i 2020);</w:t>
      </w:r>
    </w:p>
    <w:p w14:paraId="7538003D" w14:textId="77777777" w:rsidR="00063725" w:rsidRPr="00A21B37" w:rsidRDefault="00063725" w:rsidP="00063725">
      <w:pPr>
        <w:pStyle w:val="NormalHanging12a"/>
      </w:pPr>
      <w:r w:rsidRPr="00A21B37">
        <w:t>11.</w:t>
      </w:r>
      <w:r w:rsidRPr="00A21B37">
        <w:tab/>
        <w:t>noterer sig med beklagelse på baggrund af Revisionsrettens beretning, at agenturet ikke er blandt de agenturer, der har udarbejdet virksomhedsplaner med henblik på at forbedre deres aktiviteters energieffektivitet og klimaneutralitet, har en eller anden form for miljørapportering integreret i deres årlige aktivitetsrapporter og har modtaget EMAS-registrering; fremhæver ikke desto mindre på baggrund af agenturets svar på Parlamentets skriftlige forespørgsler, at agenturet i 2022 iværksatte en første fase i forberedelsen af udformningen og gennemførelsen af et miljøledelsessystem og traf forberedende foranstaltninger for de efterfølgende faser; tilskynder agenturet til fortsat at engagere sig i kapacitetsopbygningsaktiviteter og samarbejde med andre agenturer og EU-institutioner med henblik på at fremskynde agenturets EMAS-certificeringsproces; fremhæver, at agenturet medtager miljøaspekter i de tekniske specifikationer eller tildelingskriterier, f.eks. for byggekontrakter, kantinedrift og rengøringstjenester; opfordrer agenturet til også at overveje at udvikle sin politik for grønne offentlige indkøb;</w:t>
      </w:r>
      <w:r w:rsidRPr="00A21B37">
        <w:rPr>
          <w:b/>
          <w:i/>
        </w:rPr>
        <w:t> </w:t>
      </w:r>
      <w:r w:rsidRPr="00A21B37">
        <w:t>opfordrer indtrængende agenturet til at overveje at gennemføre mellemliggende bæredygtige og energieffektive løsninger både i sin infrastruktur og i sine interne processer, såsom øget brug af digitale værktøjer og dokumentforvaltning;</w:t>
      </w:r>
    </w:p>
    <w:p w14:paraId="006E2305" w14:textId="77777777" w:rsidR="00063725" w:rsidRPr="00A21B37" w:rsidRDefault="00063725" w:rsidP="00063725">
      <w:pPr>
        <w:spacing w:after="240"/>
        <w:ind w:left="567" w:hanging="567"/>
        <w:rPr>
          <w:b/>
          <w:i/>
          <w:szCs w:val="24"/>
        </w:rPr>
      </w:pPr>
      <w:r w:rsidRPr="00A21B37">
        <w:rPr>
          <w:b/>
          <w:i/>
        </w:rPr>
        <w:t>Personalepolitik</w:t>
      </w:r>
    </w:p>
    <w:p w14:paraId="1C4217DD" w14:textId="77777777" w:rsidR="00063725" w:rsidRPr="00A21B37" w:rsidRDefault="00063725" w:rsidP="00063725">
      <w:pPr>
        <w:pStyle w:val="NormalHanging12a"/>
      </w:pPr>
      <w:r w:rsidRPr="00A21B37">
        <w:t>12.</w:t>
      </w:r>
      <w:r w:rsidRPr="00A21B37">
        <w:tab/>
        <w:t xml:space="preserve">bemærker agenturets kønsfordeling med 9 mænd (69 %) og 4 kvinder (31 %) på top- og mellemlederniveau (samme fordeling som i 2021), med 27 mænd (48 %) og 29 kvinder (52 %) i bestyrelsen (en forbedret fordeling i forhold til 2021) og med 203 mænd (39 %) og 316 kvinder (61 %) for personalet generelt (samme fordeling som i 2021); minder om betydningen af at sikre kønsbalance blandt personalet og opfordrer agenturet til at tage dette aspekt i betragtning med hensyn til fremtidig ansættelse af personale og udnævnelser på top- og mellemlederniveau; bemærker med tilfredshed agenturets tilsagn om i sin kommende HR-strategi at medtage tiltag, der vil prioritere fremme af kønsrepræsentation og mangfoldighed sammen med agenturet og fremme lederudviklingsprogrammer, der er skræddersyet til kommende ledere; anmoder </w:t>
      </w:r>
      <w:r w:rsidRPr="00A21B37">
        <w:lastRenderedPageBreak/>
        <w:t>agenturet om at aflægge rapport til dechargemyndigheden om gennemførelsen af denne forpligtelse;</w:t>
      </w:r>
    </w:p>
    <w:p w14:paraId="2E9A30BC" w14:textId="77777777" w:rsidR="00063725" w:rsidRPr="00A21B37" w:rsidRDefault="00063725" w:rsidP="00063725">
      <w:pPr>
        <w:pStyle w:val="NormalHanging12a"/>
        <w:rPr>
          <w:szCs w:val="24"/>
        </w:rPr>
      </w:pPr>
      <w:r w:rsidRPr="00A21B37">
        <w:t>13.</w:t>
      </w:r>
      <w:r w:rsidRPr="00A21B37">
        <w:tab/>
        <w:t>bemærker, at gennemførelsesgraden for stillingsfortegnelsen pr. 31. december 2022 var 90 % (87 % i 2021) med 333 midlertidigt ansatte ud af de 371 midlertidigt ansatte, som var godkendt i henhold til Unionens budget (i forhold til 366 godkendte stillinger i 2021); glæder sig over en fornyet stigning i agenturets besættelsesgrad; beklager en stigning i agenturets personaleudskiftning fra 4,1 % i 2021 til 8,2 % i 2022; bemærker, at 184 kontraktansatte og 10 udstationerede nationale eksperter derudover arbejdede for agenturet i 2022; fremhæver, at Kommissionen inden for rammerne af krigen i Ukraine og gennemførelsen af direktivet om midlertidig beskyttelse tildelte agenturet 90 kortvarige stillinger til kontraktansatte for en toårig periode; bemærker, at agenturet i 2022 offentliggjorde 29 ledige stillinger og udsendte 138 jobtilbud til midlertidigt ansatte og kontraktansatte;</w:t>
      </w:r>
    </w:p>
    <w:p w14:paraId="6C4C6B28" w14:textId="77777777" w:rsidR="00063725" w:rsidRPr="00A21B37" w:rsidRDefault="00063725" w:rsidP="00063725">
      <w:pPr>
        <w:pStyle w:val="NormalHanging12a"/>
      </w:pPr>
      <w:r w:rsidRPr="00A21B37">
        <w:t>14.</w:t>
      </w:r>
      <w:r w:rsidRPr="00A21B37">
        <w:tab/>
        <w:t>glæder sig over agenturets politik for beskyttelse af personers værdighed og forebyggelse af psykisk og seksuel chikane, gennemførelsen af Kommissionens regler om gennemførelse af administrative undersøgelser og disciplinærsager og den interne vejledning om anmodninger om bistand i henhold til artikel 24 i Unionens personalevedtægt; noterer sig på baggrund af agenturets svar på Parlamentets skriftlige forespørgsler, at agenturet modtog tre chikanesager i 2022, hvoraf to blev afvist, da der ikke forelå umiddelbare beviser for chikane, og blev afsluttet uden yderligere foranstaltninger, mens der i det tredje tilfælde blev indledt en administrativ undersøgelse; opfordrer agenturet til at holde dechargemyndigheden underrettet om resultatet af denne undersøgelse; bemærker med tilfredshed, at agenturet efter en henstilling fra Kommissionens Interne Revisionstjeneste (IAS) i april 2023 vedtog vejledningen om administrative undersøgelser og disciplinære procedurer; understreger betydningen af at have robuste rammer for bekæmpelse af chikane, navnlig i meget stressende og krævende arbejdsmiljøer; opfordrer agenturet til at indføre en uddannelsesordning på området for både nytilkomne og eksisterende medarbejdere;</w:t>
      </w:r>
    </w:p>
    <w:p w14:paraId="4AB7D155" w14:textId="77777777" w:rsidR="00063725" w:rsidRPr="00A21B37" w:rsidRDefault="00063725" w:rsidP="00063725">
      <w:pPr>
        <w:pStyle w:val="NormalHanging12a"/>
      </w:pPr>
      <w:r w:rsidRPr="00A21B37">
        <w:t>15.</w:t>
      </w:r>
      <w:r w:rsidRPr="00A21B37">
        <w:tab/>
        <w:t>noterer sig på baggrund af agenturets opfølgning på Parlamentets horisontale bemærkninger, der blev fremsat i forbindelse med dechargeproceduren for 2021, samt på baggrund af agenturets opfølgningsrapport, at agenturet i de seneste år (fra 2019) har anvendt tjenester fra et eksternt advokatfirma (med speciale i Unionens tjenestemandsret) i forbindelse med behandling af sager om påstået chikane (dvs. anmodninger om bistand i henhold til artikel 24 i Unionens personalevedtægt); bemærker i denne forbindelse, at agenturets juridiske tjeneste foretager en vurdering for at fastslå, om der er behov for at anmode om støtte eller rådgivning fra et eksternt advokatfirma, og at denne enhed forvalter den relevante procedure og samarbejder med agenturets afdeling for menneskelige ressourcer i alle disse tilfælde;</w:t>
      </w:r>
    </w:p>
    <w:p w14:paraId="08E68C6A" w14:textId="77777777" w:rsidR="00063725" w:rsidRPr="00A21B37" w:rsidRDefault="00063725" w:rsidP="00063725">
      <w:pPr>
        <w:pStyle w:val="NormalHanging12a"/>
      </w:pPr>
      <w:r w:rsidRPr="00A21B37">
        <w:t>16.</w:t>
      </w:r>
      <w:r w:rsidRPr="00A21B37">
        <w:tab/>
        <w:t xml:space="preserve">minder om Revisionsrettens konstatering af, at agenturet i 2020 havde 16 ledige lederstillinger, hvoraf 10 var besat på et operationelt grundlag i mere end et år, samt andre spørgsmål såsom fungerende ledere, der beklæder to stillinger, i agenturets stillingsfortegnelse; noterer sig med tilfredshed på baggrund af agenturets opfølgningsrapport de efterfølgende afbødende foranstaltninger, som det traf for at overholde artikel 7, stk. 2, i Unionens personalevedtægt, først ved at reducere antallet af midlertidige stillinger i lederstillinger med en varighed på over et år til to ved udgangen af 2022 og helt at indstille dem fra og med 2023, mens ingen ansatte er ansat i midlertidige lederstillinger i længere tid end et år; glæder sig over agenturets tilsagn om </w:t>
      </w:r>
      <w:r w:rsidRPr="00A21B37">
        <w:lastRenderedPageBreak/>
        <w:t>at prioritere ansættelse i ledende stillinger; roser agenturet for de fremskridt, der er gjort i 2022 og 2023 med hensyn til ansættelsesprocedurer for forskellige mellem- og toplederstillinger, herunder stillingen som viceadministrerende direktør, og henviser til, at to udvælgelsesprocedurer ifølge agenturets opfølgningsrapport er afsluttet, mens ni udvælgelsesprocedurer er i gang eller ikke er afsluttet; bemærker endelig på baggrund af agenturets websted, at lederen af agenturets forvaltningscenter pr. 15. januar 2024 var i en midlertidig stilling, mens lederen af agenturets center for institutionelle og horisontale anliggender havde en ledende stilling; bemærker, at udvælgelsesproceduren for lederen for forvaltningscentret er i gang og forventes afsluttet i første kvartal 2024; bemærker endvidere, at udvælgelsesproceduren for lederen af centret for institutionelle og horisontale anliggender er i gang og forventes afsluttet i første kvartal 2024; opfordrer agenturet til at holde dechargemyndigheden underrettet om resultatet af alle disse procedurer;</w:t>
      </w:r>
    </w:p>
    <w:p w14:paraId="0FA56C84" w14:textId="77777777" w:rsidR="00063725" w:rsidRPr="00A21B37" w:rsidRDefault="00063725" w:rsidP="00063725">
      <w:pPr>
        <w:pStyle w:val="NormalHanging12a"/>
        <w:rPr>
          <w:szCs w:val="24"/>
        </w:rPr>
      </w:pPr>
      <w:r w:rsidRPr="00A21B37">
        <w:t>17.</w:t>
      </w:r>
      <w:r w:rsidRPr="00A21B37">
        <w:tab/>
        <w:t>fremhæver, at de afbødende foranstaltninger, som agenturet har truffet for at overholde artikel 7, stk. 2, i Unionens personalevedtægt, undersøgelsesmissionen, som IAS gennemførte i oktober 2022, Revisionsrettens feltarbejde i forbindelse med revisionen af regnskabsåret 2022, Parlamentets relevante bemærkninger til agenturet i Parlamentets dechargebeslutning for 2021 samt den (igangværende) undersøgelse, som Det Europæiske Kontor for Bekæmpelse af Svig (OLAF) indledte den 24. november 2022, også skyldtes en anonym e-mail, der indeholdt talrige påstande om bl.a. personalerelaterede uregelmæssigheder forårsaget af hele agenturets øverste ledelse; opfordrer til, at agenturet samarbejder fuldt ud med OLAF i den igangværende undersøgelse; noterer sig på baggrund af CAAR 2022 Revisionsrettens konklusioner om, at beregningen af godtgørelserne i forbindelse med indplaceringen af midlertidig besættelse af lederstillinger var lovlig og formelt rigtig, mens den midlertidige besættelse af stillinger på over et år ikke var i overensstemmelse med reglerne, dog uden at dette resulterede i regelstridige betalinger; opfordrer agenturet til at orientere dechargemyndigheden om fremskridt og stadier i undersøgelsen;</w:t>
      </w:r>
    </w:p>
    <w:p w14:paraId="5840CBA9" w14:textId="77777777" w:rsidR="00063725" w:rsidRPr="00A21B37" w:rsidRDefault="00063725" w:rsidP="00063725">
      <w:pPr>
        <w:pStyle w:val="NormalHanging12a"/>
      </w:pPr>
      <w:r w:rsidRPr="00A21B37">
        <w:t>18.</w:t>
      </w:r>
      <w:r w:rsidRPr="00A21B37">
        <w:tab/>
        <w:t>er bekymret over agenturets interne forvaltning og procedurer, eftersom OLAF i 2022 iværksatte en undersøgelse af forvaltnings- og personalepolitikkerne, som angiveligt involverede nepotisme, og også en undersøgelse vedrørende manglende overholdelse af menneskerettighederne; gentager sin opfordring til agenturet om at samarbejde fuldt ud med undersøgelsesorganet og rettidigt underrette dechargemyndigheden om resultater og afhjælpende foranstaltninger;</w:t>
      </w:r>
    </w:p>
    <w:p w14:paraId="48D1E5B7" w14:textId="77777777" w:rsidR="00063725" w:rsidRPr="00A21B37" w:rsidRDefault="00063725" w:rsidP="00063725">
      <w:pPr>
        <w:spacing w:after="240"/>
        <w:ind w:left="567" w:hanging="567"/>
      </w:pPr>
      <w:r w:rsidRPr="00A21B37">
        <w:t>19.</w:t>
      </w:r>
      <w:r w:rsidRPr="00A21B37">
        <w:tab/>
        <w:t xml:space="preserve">minder om, at OLAF i 2018 afsluttede endnu en undersøgelse, som førte til resultater i forbindelse med f.eks. dårlig forvaltning af menneskelige ressourcer, agenturets administrerende direktørs tilbagetræden på det tidspunkt og vedtagelse i agenturets bestyrelse af en forvaltningshandlingsplan med henblik på at genoprette tilliden internt og eksternt, styrke forvaltningsstrukturen og genopbygge den interne kapacitet; bemærker, at Revisionsretten i sin årsberetning afsluttede bemærkningen vedrørende det store antal ledige lederstillinger samt problemerne vedrørende usikkerheden på ledelsesniveau, som kan have skadet agenturets lederskab og strategiske kontinuitet, og anså dem for at være håndteret; anerkender, at bestyrelsen i henhold til artikel 41, stk. 1, litra t), i forordningen om Asylagenturet træffer alle afgørelser om oprettelse af agenturets interne strukturer, mens Kommissionen som medlem af agenturets bestyrelse regelmæssigt fører tilsyn med agenturets omstruktureringer; bemærker ikke desto mindre, at der på trods af de omstruktureringer, som agenturet har foretaget i de seneste år, stadig synes at være udfordringer, som det anonyme brev fra januar 2023 påpeger; </w:t>
      </w:r>
      <w:r w:rsidRPr="00A21B37">
        <w:lastRenderedPageBreak/>
        <w:t>noterer sig Revisionsrettens konklusioner for regnskabsåret 2022 baseret på de korrigerende foranstaltninger, som agenturet har truffet; opfordrer i denne forbindelse Kommissionen til at finde løsninger på resultaterne af en uafhængig vurdering af agenturets seneste omstruktureringer og forventer, at den igangværende IAS-revision vedrørende forvaltningen af menneskelige ressourcer vil give en relevant evaluering af, i hvilket omfang agenturets nuværende organisationsplan og ansvarsfordeling blandt agenturets mellem- og toplederstillinger er udsat for risici for ineffektivitet, dårlig forvaltning af menneskelige ressourcer og manglende gennemsigtighed (herunder i forhold til agenturets bestyrelse);</w:t>
      </w:r>
    </w:p>
    <w:p w14:paraId="376676B9" w14:textId="77777777" w:rsidR="00063725" w:rsidRPr="00A21B37" w:rsidRDefault="00063725" w:rsidP="00063725">
      <w:pPr>
        <w:pStyle w:val="NormalHanging12a"/>
        <w:rPr>
          <w:szCs w:val="24"/>
        </w:rPr>
      </w:pPr>
      <w:r w:rsidRPr="00A21B37">
        <w:t>20.</w:t>
      </w:r>
      <w:r w:rsidRPr="00A21B37">
        <w:tab/>
        <w:t>bemærker med bekymring, at agenturet ikke har vedtaget chartret om mangfoldighed og inklusion eller rapporteret om foranstaltninger, der er truffet for at integrere personer med handicap; minder om, at Unionens charter om grundlæggende rettigheder forbyder forskelsbehandling på grund af handicap og anerkender retten for personer med handicap til at nyde godt af foranstaltninger, der skal sikre deres autonomi, deres sociale og erhvervsmæssige integration og deres deltagelse i samfundslivet; noterer sig imidlertid agenturets tilsagn om at tage hånd om disse områder ved hjælp af foranstaltninger, der vil blive gennemført, når den kommende HR-strategi er vedtaget; bemærker endvidere, at agenturet har taget initiativer og indført en række foranstaltninger med henblik på at forbedre personalets trivsel på arbejdspladsen og balancen mellem arbejdsliv og privatliv såsom målrettede uddannelseskurser, serviceleveranceaftaler med børnepasningsudbydere og skoler, en psykologisk og social støttetjeneste, oplysningskampagner samt fritidsaktiviteter;</w:t>
      </w:r>
    </w:p>
    <w:p w14:paraId="70E5577E" w14:textId="77777777" w:rsidR="00063725" w:rsidRPr="00A21B37" w:rsidRDefault="00063725" w:rsidP="00063725">
      <w:pPr>
        <w:pStyle w:val="NormalHanging12a"/>
        <w:rPr>
          <w:b/>
          <w:i/>
          <w:szCs w:val="24"/>
        </w:rPr>
      </w:pPr>
      <w:r w:rsidRPr="00A21B37">
        <w:rPr>
          <w:b/>
          <w:i/>
        </w:rPr>
        <w:t>Offentlige udbud</w:t>
      </w:r>
    </w:p>
    <w:p w14:paraId="295A7722" w14:textId="77777777" w:rsidR="00063725" w:rsidRPr="00A21B37" w:rsidRDefault="00063725" w:rsidP="00063725">
      <w:pPr>
        <w:pStyle w:val="NormalHanging12a"/>
        <w:rPr>
          <w:szCs w:val="24"/>
        </w:rPr>
      </w:pPr>
      <w:r w:rsidRPr="00A21B37">
        <w:t>21.</w:t>
      </w:r>
      <w:r w:rsidRPr="00A21B37">
        <w:tab/>
        <w:t>minder om Revisionsrettens bemærkninger for regnskabsårene 2017 og 2020, ifølge hvilke udbudsprocedurer for lejede lokaler på Lesbos og i Rom var regelstridige på grund af utilstrækkelig konkurrence og manglende overholdelse af princippet om sparsommelighed; noterer sig på baggrund af Revisionsrettens beretning, at alle efterfølgende betalinger, der er foretaget i forbindelse med disse procedurer, er regelstridige, herunder de dertil knyttede betalinger på 281 095 EUR, som blev afholdt i 2022; noterer sig med tilfredshed på baggrund af Revisionsrettens beretning de korrigerende foranstaltninger, som agenturet har truffet, hvorved lejekontrakterne for lokalerne på Lesbos og i Rom udløb henholdsvis den 30. april 2023 og den 31. juli 2023; bemærker på baggrund af CAAR fra 2022, at der søges en bæredygtig løsning på lejen på Lesbos i samarbejde med de græske myndigheder;</w:t>
      </w:r>
    </w:p>
    <w:p w14:paraId="0E991EA8" w14:textId="77777777" w:rsidR="00063725" w:rsidRPr="00A21B37" w:rsidRDefault="00063725" w:rsidP="00063725">
      <w:pPr>
        <w:pStyle w:val="NormalHanging12a"/>
        <w:rPr>
          <w:szCs w:val="24"/>
        </w:rPr>
      </w:pPr>
      <w:r w:rsidRPr="00A21B37">
        <w:t>22.</w:t>
      </w:r>
      <w:r w:rsidRPr="00A21B37">
        <w:tab/>
        <w:t>noterer sig bemærkningen i Revisionsrettens beretning om, at agenturet havde købt IT-udstyr fra en udbyders onlinekatalog i stedet for fra den på forhånd godkendte prisliste, der var inkluderet i de finansielle og tekniske tilbud, hvilket medførte en købspris, der var 44 % (svarende til det beløb på 49 224 EUR, som Revisionsretten anså for at være regelstridigt) dyrere, end den ville have været, hvis den havde været baseret på den forhåndsgodkendte prisliste; noterer sig på baggrund af agenturets svar, at beslutningen om at købe disse artikler blev truffet på grundlag af de operationelle behov og den hastende karakter samt den begrænsede tilgængelighed af IT-forsyninger på markedet, og at der er blevet fastlagt passende kontroller for at give rimelig sikkerhed for, at indkøb af erstatningsgenstande fra onlinekataloget vil være begrænset til prisen for den tilsvarende vare som anført i kontrahentens oprindelige bud;</w:t>
      </w:r>
    </w:p>
    <w:p w14:paraId="2339DB90" w14:textId="77777777" w:rsidR="00063725" w:rsidRPr="00A21B37" w:rsidRDefault="00063725" w:rsidP="00063725">
      <w:pPr>
        <w:spacing w:after="240"/>
        <w:ind w:left="567" w:hanging="567"/>
        <w:rPr>
          <w:szCs w:val="24"/>
        </w:rPr>
      </w:pPr>
      <w:r w:rsidRPr="00A21B37">
        <w:rPr>
          <w:b/>
          <w:i/>
        </w:rPr>
        <w:t>Forebyggelse og håndtering af interessekonflikter samt gennemsigtighed</w:t>
      </w:r>
    </w:p>
    <w:p w14:paraId="7DA8F68E" w14:textId="77777777" w:rsidR="00063725" w:rsidRPr="00A21B37" w:rsidRDefault="00063725" w:rsidP="00063725">
      <w:pPr>
        <w:pStyle w:val="NormalHanging12a"/>
        <w:rPr>
          <w:szCs w:val="24"/>
        </w:rPr>
      </w:pPr>
      <w:r w:rsidRPr="00A21B37">
        <w:lastRenderedPageBreak/>
        <w:t>23.</w:t>
      </w:r>
      <w:r w:rsidRPr="00A21B37">
        <w:tab/>
        <w:t>roser de fremskridt, som agenturet har gjort i 2022 inden for forvaltning og forebyggelse af interessekonflikter, og den etiske vejledning gennem det forberedende arbejde, der førte til vedtagelsen i januar 2023 af en afgørelse, der finder anvendelse på agenturets bestyrelsesmedlemmer samt på de organisationer og kompetente organer, der er medlemmer af agenturets rådgivende forum, og to afgørelser, der finder anvendelse på agenturets personale; glæder sig over udnævnelsen af agenturets etiske korrespondent samt agenturets tilsagn om at medtage standardtekster om erklæringer om interessekonflikter i indbydelserne til møder, der omfatter eksterne deltagere; bemærker med tilfredshed, at agenturet har udarbejdet en vejledning om regler og procedurer efter fratrædelse, der gælder for personale, der forlader agenturet;</w:t>
      </w:r>
    </w:p>
    <w:p w14:paraId="56079E38" w14:textId="77777777" w:rsidR="00063725" w:rsidRPr="00A21B37" w:rsidRDefault="00063725" w:rsidP="00063725">
      <w:pPr>
        <w:pStyle w:val="NormalHanging12a"/>
        <w:rPr>
          <w:szCs w:val="24"/>
        </w:rPr>
      </w:pPr>
      <w:r w:rsidRPr="00A21B37">
        <w:t>24.</w:t>
      </w:r>
      <w:r w:rsidRPr="00A21B37">
        <w:tab/>
        <w:t>bemærker, at bestyrelsesmedlemmernes interesseerklæringer og CV'er er offentliggjort på agenturets websted, og det samme gælder interesseerklæringer og CV'er for agenturets ledende personale; bemærker imidlertid, at CV'er for interne og eksterne eksperter ikke er tilgængelige på agenturets websted; noterer sig på baggrund af agenturets svar på Parlamentets skriftlige forespørgsler, at der i 2022 ikke var nogen åbne, afsluttede eller igangværende sager om interessekonflikter eller whistleblowing på agenturets niveau; roser agenturet for at opretholde en tæt dialog med relevante civilsamfundsorganisationer, der opererer på asylområdet, gennem agenturets rådgivende forum, idet sidstnævnte blev rekonstitueret (116 medlemmer) i juni 2022 med et nyt regelsæt, der er afledt af forordning (EU) 2021/2303;</w:t>
      </w:r>
    </w:p>
    <w:p w14:paraId="7D4DB543" w14:textId="77777777" w:rsidR="00063725" w:rsidRPr="00A21B37" w:rsidRDefault="00063725" w:rsidP="00063725">
      <w:pPr>
        <w:spacing w:after="240"/>
        <w:ind w:left="567" w:hanging="567"/>
        <w:rPr>
          <w:b/>
          <w:i/>
          <w:szCs w:val="24"/>
        </w:rPr>
      </w:pPr>
      <w:r w:rsidRPr="00A21B37">
        <w:rPr>
          <w:b/>
          <w:i/>
        </w:rPr>
        <w:t>Intern kontrol</w:t>
      </w:r>
    </w:p>
    <w:p w14:paraId="292FD343" w14:textId="77777777" w:rsidR="00063725" w:rsidRPr="00A21B37" w:rsidRDefault="00063725" w:rsidP="00063725">
      <w:pPr>
        <w:pStyle w:val="NormalHanging12a"/>
        <w:rPr>
          <w:szCs w:val="24"/>
        </w:rPr>
      </w:pPr>
      <w:r w:rsidRPr="00A21B37">
        <w:t>25.</w:t>
      </w:r>
      <w:r w:rsidRPr="00A21B37">
        <w:tab/>
        <w:t>noterer sig bemærkningen i Revisionsrettens beretning om, at tre tilfælde af subdelegationer, der krævede fornyet bekræftelse i april 2021, først var blevet bekræftet igen i februar 2022, da situationen blev afhjulpet, og at agenturet derfor har overtrådt sine interne regler, som fastsætter, at subdelegation af finansiel myndighed skal fornyes, så snart der er udpeget en ny ved delegation bemyndiget anvisningsberettiget;</w:t>
      </w:r>
    </w:p>
    <w:p w14:paraId="2AC87800" w14:textId="77777777" w:rsidR="00063725" w:rsidRPr="00A21B37" w:rsidRDefault="00063725" w:rsidP="00063725">
      <w:pPr>
        <w:pStyle w:val="NormalHanging12a"/>
        <w:rPr>
          <w:szCs w:val="24"/>
        </w:rPr>
      </w:pPr>
      <w:r w:rsidRPr="00A21B37">
        <w:t>26.</w:t>
      </w:r>
      <w:r w:rsidRPr="00A21B37">
        <w:tab/>
        <w:t>glæder sig over de fremskridt, som agenturet har gjort med hensyn til at imødekomme anbefalingerne fra tidligere revisioner foretaget af IAS og Revisionsretten; bemærker på baggrund af CAAR 2022, at visse henstillinger i forbindelse med IAS-revisionen fra 2020 ("forvaltningen af menneskelige ressourcer og etik hos EASO") og 2021 ("IT-forvaltning &amp; IT-projektforvaltning") stadig er i gang eller er væsentligt forsinkede; noterer sig endvidere på baggrund af Revisionsrettens beretning, at tre anbefalinger fra tidligere revisioner udført af Revisionsretten stadig er åbne: to anbefalinger med hensyn til lejekontrakterne for lokalerne på Lesbos og i Rom, som agenturet forventer at få anset for at være afsluttet af Revisionsretten i 2024, efter at de sidste tilknyttede (regelstridige) betalinger blev gennemført i 2023, og en anbefaling med hensyn til agenturets indførelse af effektive efterfølgende finansielle kontroller; opfordrer i denne forbindelse agenturet til at fremskynde gennemførelsen af de udestående korrigerende foranstaltninger og holde dechargemyndigheden underrettet om de fremskridt, der gøres i denne henseende;</w:t>
      </w:r>
    </w:p>
    <w:p w14:paraId="67B0567D" w14:textId="77777777" w:rsidR="00063725" w:rsidRPr="00A21B37" w:rsidRDefault="00063725" w:rsidP="00063725">
      <w:pPr>
        <w:pStyle w:val="NormalHanging12a"/>
        <w:rPr>
          <w:szCs w:val="24"/>
        </w:rPr>
      </w:pPr>
      <w:r w:rsidRPr="00A21B37">
        <w:t>27.</w:t>
      </w:r>
      <w:r w:rsidRPr="00A21B37">
        <w:tab/>
        <w:t xml:space="preserve">bemærker, at agenturet foretog en selvevaluering af sit interne kontrolsystem (ICSA) for 2022 og konkluderede, at den overordnede kontrol fungerer efter hensigten, idet 10 principper er fuldt ud effektive, og 7 er effektive, mens der er behov for visse forbedringer af komponenterne "kontrolmiljø", "kontrolaktiviteter" og "overvågningsaktiviteter"; fremhæver endvidere, at der i 2022 blev gennemført en risikobaseret strategi for efterfølgende finansiel kontrol baseret på stikprøveudvalgte </w:t>
      </w:r>
      <w:r w:rsidRPr="00A21B37">
        <w:lastRenderedPageBreak/>
        <w:t>transaktioner og indkøbstransaktioner for to regnskabsår (2020-2021); bemærker på baggrund af CAAR 2022, at resultaterne af disse kontroller omfattede 44 bemærkninger og foreslog 122 korrigerende foranstaltninger; bemærker, at agenturet som led i ICSA's kontroller for 2022 i første kvartal af 2023 gennemførte kontroller af status for gennemførelsen af disse 122 (på forhånd aftalte) korrigerende foranstaltninger, hvoraf kun 45 korrigerende foranstaltninger (40 %) var blevet gennemført rettidigt og korrekt af de relevante virksomhedsejere; opfordrer agenturet til at imødekomme alle korrigerende foranstaltninger, der stadig er åbne, og holde dechargemyndigheden underrettet om de fremskridt, der gøres på dette område; bemærker med tilfredshed, at agenturet på gennemsigtig vis (bilag IX til CAAR 2022) præsenterer detaljerne i og status for de konstaterede mangler og aftalte korrigerende foranstaltninger, der stammer fra forskellige kilder (forvaltning af undtagelser og hændelser med manglende overholdelse, kriterier for intern kontrol, ICSA'er, finansiel forudgående og efterfølgende kontrol, revisionsrapporter, risikostyring osv.);</w:t>
      </w:r>
    </w:p>
    <w:p w14:paraId="72F2E5FA" w14:textId="77777777" w:rsidR="00063725" w:rsidRPr="00A21B37" w:rsidRDefault="00063725" w:rsidP="00063725">
      <w:pPr>
        <w:pStyle w:val="NormalHanging12a"/>
        <w:rPr>
          <w:szCs w:val="24"/>
        </w:rPr>
      </w:pPr>
      <w:r w:rsidRPr="00A21B37">
        <w:t>28.</w:t>
      </w:r>
      <w:r w:rsidRPr="00A21B37">
        <w:tab/>
        <w:t>minder om, at agenturets strategi for bekæmpelse af svig for perioden 2020-2022 blev vedtaget i juli 2020 og fastsatte 25 prioriterede foranstaltninger, der blev overvåget gennem en række kontrolaktiviteter; bemærker med tilfredshed, at 93 % af kontrolaktiviteterne i forbindelse med gennemførelsen af denne strategi blev anset for at være gennemført i 2022; glæder sig over agenturets oplysningsindsats med hensyn til spørgsmål vedrørende bekæmpelse af svig, mens 56,7 % af agenturets vedtægtsomfattede personale har deltaget i kurser i forebyggelse af svig og identifikation af risici for svig; bemærker med tilfredshed, at agenturet på gennemsigtig vis (bilag XII til CAAR 2022) præsenterer detaljerne i og status for kontrolaktiviteterne med hensyn til agenturets strategi til bekæmpelse af svig;</w:t>
      </w:r>
    </w:p>
    <w:p w14:paraId="6B6DAF97" w14:textId="77777777" w:rsidR="00063725" w:rsidRPr="00A21B37" w:rsidRDefault="00063725" w:rsidP="00063725">
      <w:pPr>
        <w:spacing w:after="240"/>
        <w:ind w:left="567" w:hanging="567"/>
        <w:rPr>
          <w:b/>
          <w:i/>
          <w:szCs w:val="24"/>
        </w:rPr>
      </w:pPr>
      <w:r w:rsidRPr="00A21B37">
        <w:rPr>
          <w:b/>
          <w:i/>
        </w:rPr>
        <w:t>Øvrige bemærkninger</w:t>
      </w:r>
    </w:p>
    <w:p w14:paraId="69F612CA" w14:textId="77777777" w:rsidR="00063725" w:rsidRPr="00A21B37" w:rsidRDefault="00063725" w:rsidP="00063725">
      <w:pPr>
        <w:spacing w:after="240"/>
        <w:ind w:left="567" w:hanging="567"/>
        <w:rPr>
          <w:szCs w:val="24"/>
        </w:rPr>
      </w:pPr>
      <w:r w:rsidRPr="00A21B37">
        <w:t>29.</w:t>
      </w:r>
      <w:r w:rsidRPr="00A21B37">
        <w:tab/>
        <w:t>bemærker, at agenturet har gennemført forskellige foranstaltninger for at øge sin offentlige synlighed og onlinetilstedeværelse ved f.eks. at lancere et opgraderet websted og en ny visuel identitet, opgradere sin portefølje af sociale medier med fokus på audiovisuelle formater og byde elevgrupper velkommen i sine lokaler;</w:t>
      </w:r>
    </w:p>
    <w:p w14:paraId="203BAE9E" w14:textId="77777777" w:rsidR="00063725" w:rsidRPr="00A21B37" w:rsidRDefault="00063725" w:rsidP="00063725">
      <w:pPr>
        <w:pStyle w:val="NormalHanging12a"/>
      </w:pPr>
      <w:r w:rsidRPr="00A21B37">
        <w:t>30.</w:t>
      </w:r>
      <w:r w:rsidRPr="00A21B37">
        <w:tab/>
        <w:t>minder om den rolle, som agenturet spiller med hensyn til at yde støtte til behandlingen af ansøgninger om international beskyttelse samt til uddannelse af de sagsbehandlere, der er ansvarlige for behandlingen af asylansøgninger; påpeger behovet for, at agenturet fortsat yder støtte til medlemsstater og tredjelande i forbindelse med håndteringen af ansøgninger vedrørende asyl og migration; opfordrer til, at budgettet fokuseres mod yderligere ansættelse af personale, hvis det er nødvendigt for at hjælpe medlemsstaterne til at sikre en retfærdig og rimelig behandling af asylansøgninger om international beskyttelse, navnlig ansættelse af tolke og psykologer til ansøgere, der tilhører sårbare grupper;</w:t>
      </w:r>
    </w:p>
    <w:p w14:paraId="2CA6B812" w14:textId="77777777" w:rsidR="00063725" w:rsidRPr="00A21B37" w:rsidRDefault="00063725" w:rsidP="00063725">
      <w:pPr>
        <w:pStyle w:val="NormalCenter12a"/>
      </w:pPr>
      <w:r w:rsidRPr="00A21B37">
        <w:t>°</w:t>
      </w:r>
    </w:p>
    <w:p w14:paraId="12F047C2" w14:textId="77777777" w:rsidR="00063725" w:rsidRPr="00A21B37" w:rsidRDefault="00063725" w:rsidP="00063725">
      <w:pPr>
        <w:pStyle w:val="NormalCenter12a"/>
      </w:pPr>
      <w:r w:rsidRPr="00A21B37">
        <w:t>°</w:t>
      </w:r>
      <w:r w:rsidRPr="00A21B37">
        <w:tab/>
        <w:t>°</w:t>
      </w:r>
    </w:p>
    <w:p w14:paraId="26FDA051" w14:textId="607608E3" w:rsidR="00063725" w:rsidRPr="00A21B37" w:rsidRDefault="00063725" w:rsidP="00063725">
      <w:pPr>
        <w:pStyle w:val="NormalHanging12a"/>
      </w:pPr>
      <w:r w:rsidRPr="00A21B37">
        <w:t>31.</w:t>
      </w:r>
      <w:r w:rsidRPr="00A21B37">
        <w:tab/>
        <w:t>henviser med hensyn til de øvrige bemærkninger, der ledsager dechargeafgørelsen, og som er af horisontal karakter, til sin beslutning af</w:t>
      </w:r>
      <w:bookmarkStart w:id="8" w:name="_GoBack"/>
      <w:bookmarkEnd w:id="8"/>
      <w:r w:rsidRPr="00A21B37">
        <w:t xml:space="preserve"> </w:t>
      </w:r>
      <w:r w:rsidR="00546E3E" w:rsidRPr="00434B6F">
        <w:t>11. april</w:t>
      </w:r>
      <w:r w:rsidR="00546E3E">
        <w:t xml:space="preserve"> 2024</w:t>
      </w:r>
      <w:r w:rsidRPr="00A21B37">
        <w:rPr>
          <w:rStyle w:val="FootnoteReference"/>
        </w:rPr>
        <w:footnoteReference w:id="14"/>
      </w:r>
      <w:r w:rsidRPr="00A21B37">
        <w:t xml:space="preserve"> om agenturernes </w:t>
      </w:r>
      <w:r w:rsidRPr="00A21B37">
        <w:lastRenderedPageBreak/>
        <w:t>resultater, økonomiske forvaltning og kontrol.</w:t>
      </w:r>
    </w:p>
    <w:sectPr w:rsidR="00063725" w:rsidRPr="00A21B37" w:rsidSect="00A21B37">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AB68B91" w14:textId="77777777" w:rsidR="001F5C97" w:rsidRPr="00A21B37" w:rsidRDefault="001F5C97">
      <w:r w:rsidRPr="00A21B37">
        <w:separator/>
      </w:r>
    </w:p>
  </w:endnote>
  <w:endnote w:type="continuationSeparator" w:id="0">
    <w:p w14:paraId="17E02B90" w14:textId="77777777" w:rsidR="001F5C97" w:rsidRPr="00A21B37" w:rsidRDefault="001F5C97">
      <w:r w:rsidRPr="00A21B3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09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5C40C5" w14:textId="77777777" w:rsidR="00063725" w:rsidRPr="00A21B37" w:rsidRDefault="00063725" w:rsidP="00A221D5">
    <w:pPr>
      <w:pStyle w:val="EPFooter"/>
    </w:pPr>
    <w:r w:rsidRPr="00A21B37">
      <w:t>PE</w:t>
    </w:r>
    <w:r w:rsidRPr="00A21B37">
      <w:rPr>
        <w:rStyle w:val="HideTWBExt"/>
      </w:rPr>
      <w:t>&lt;NoPE&gt;</w:t>
    </w:r>
    <w:r w:rsidRPr="00A21B37">
      <w:t>753.532</w:t>
    </w:r>
    <w:r w:rsidRPr="00A21B37">
      <w:rPr>
        <w:rStyle w:val="HideTWBExt"/>
      </w:rPr>
      <w:t>&lt;/NoPE&gt;&lt;Version&gt;</w:t>
    </w:r>
    <w:r w:rsidRPr="00A21B37">
      <w:t>v02-00</w:t>
    </w:r>
    <w:r w:rsidRPr="00A21B37">
      <w:rPr>
        <w:rStyle w:val="HideTWBExt"/>
      </w:rPr>
      <w:t>&lt;/Version&gt;</w:t>
    </w:r>
    <w:r w:rsidRPr="00A21B37">
      <w:tab/>
    </w:r>
    <w:r w:rsidRPr="00A21B37">
      <w:fldChar w:fldCharType="begin"/>
    </w:r>
    <w:r w:rsidRPr="00A21B37">
      <w:instrText xml:space="preserve"> PAGE  \* MERGEFORMAT </w:instrText>
    </w:r>
    <w:r w:rsidRPr="00A21B37">
      <w:fldChar w:fldCharType="separate"/>
    </w:r>
    <w:r w:rsidR="00A21B37" w:rsidRPr="00A21B37">
      <w:rPr>
        <w:noProof/>
      </w:rPr>
      <w:t>2</w:t>
    </w:r>
    <w:r w:rsidRPr="00A21B37">
      <w:fldChar w:fldCharType="end"/>
    </w:r>
    <w:r w:rsidRPr="00A21B37">
      <w:t>/</w:t>
    </w:r>
    <w:r w:rsidR="00B770F2">
      <w:fldChar w:fldCharType="begin"/>
    </w:r>
    <w:r w:rsidR="00B770F2">
      <w:instrText xml:space="preserve"> NUMPAGES  \* MERGEFORMAT </w:instrText>
    </w:r>
    <w:r w:rsidR="00B770F2">
      <w:fldChar w:fldCharType="separate"/>
    </w:r>
    <w:r w:rsidR="00A21B37" w:rsidRPr="00A21B37">
      <w:rPr>
        <w:noProof/>
      </w:rPr>
      <w:t>4</w:t>
    </w:r>
    <w:r w:rsidR="00B770F2">
      <w:rPr>
        <w:noProof/>
      </w:rPr>
      <w:fldChar w:fldCharType="end"/>
    </w:r>
    <w:r w:rsidRPr="00A21B37">
      <w:tab/>
    </w:r>
    <w:r w:rsidRPr="00A21B37">
      <w:rPr>
        <w:rStyle w:val="HideTWBExt"/>
      </w:rPr>
      <w:t>&lt;PathFdR&gt;</w:t>
    </w:r>
    <w:r w:rsidRPr="00A21B37">
      <w:t>RR\1299515DA.docx</w:t>
    </w:r>
    <w:r w:rsidRPr="00A21B37">
      <w:rPr>
        <w:rStyle w:val="HideTWBExt"/>
      </w:rPr>
      <w:t>&lt;/PathFdR&gt;</w:t>
    </w:r>
  </w:p>
  <w:p w14:paraId="282D6590" w14:textId="77777777" w:rsidR="00063725" w:rsidRPr="00A21B37" w:rsidRDefault="00063725" w:rsidP="00A221D5">
    <w:pPr>
      <w:pStyle w:val="EPFooter2"/>
    </w:pPr>
    <w:r w:rsidRPr="00A21B37">
      <w:t>DA</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9740F0" w14:textId="77777777" w:rsidR="00063725" w:rsidRPr="00A21B37" w:rsidRDefault="00063725" w:rsidP="00A221D5">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69527C" w14:textId="77777777" w:rsidR="00063725" w:rsidRPr="00A21B37" w:rsidRDefault="00063725" w:rsidP="00A221D5">
    <w:pPr>
      <w:pStyle w:val="EPFooter"/>
    </w:pPr>
    <w:r w:rsidRPr="00A21B37">
      <w:rPr>
        <w:rStyle w:val="HideTWBExt"/>
      </w:rPr>
      <w:t>&lt;PathFdR&gt;</w:t>
    </w:r>
    <w:r w:rsidRPr="00A21B37">
      <w:t>RR\1299515DA.docx</w:t>
    </w:r>
    <w:r w:rsidRPr="00A21B37">
      <w:rPr>
        <w:rStyle w:val="HideTWBExt"/>
      </w:rPr>
      <w:t>&lt;/PathFdR&gt;</w:t>
    </w:r>
    <w:r w:rsidRPr="00A21B37">
      <w:tab/>
    </w:r>
    <w:r w:rsidRPr="00A21B37">
      <w:tab/>
      <w:t>PE</w:t>
    </w:r>
    <w:r w:rsidRPr="00A21B37">
      <w:rPr>
        <w:rStyle w:val="HideTWBExt"/>
      </w:rPr>
      <w:t>&lt;NoPE&gt;</w:t>
    </w:r>
    <w:r w:rsidRPr="00A21B37">
      <w:t>753.532</w:t>
    </w:r>
    <w:r w:rsidRPr="00A21B37">
      <w:rPr>
        <w:rStyle w:val="HideTWBExt"/>
      </w:rPr>
      <w:t>&lt;/NoPE&gt;&lt;Version&gt;</w:t>
    </w:r>
    <w:r w:rsidRPr="00A21B37">
      <w:t>v02-00</w:t>
    </w:r>
    <w:r w:rsidRPr="00A21B37">
      <w:rPr>
        <w:rStyle w:val="HideTWBExt"/>
      </w:rPr>
      <w:t>&lt;/Version&gt;</w:t>
    </w:r>
  </w:p>
  <w:p w14:paraId="108E2C9A" w14:textId="77777777" w:rsidR="00063725" w:rsidRPr="00A21B37" w:rsidRDefault="00063725" w:rsidP="00A221D5">
    <w:pPr>
      <w:pStyle w:val="EPFooter2"/>
    </w:pPr>
    <w:r w:rsidRPr="00A21B37">
      <w:t>DA</w:t>
    </w:r>
    <w:r w:rsidRPr="00A21B37">
      <w:tab/>
    </w:r>
    <w:r w:rsidRPr="00A21B37">
      <w:rPr>
        <w:b w:val="0"/>
        <w:i/>
        <w:color w:val="C0C0C0"/>
        <w:sz w:val="22"/>
      </w:rPr>
      <w:t>Forenet i mangfoldighed</w:t>
    </w:r>
    <w:r w:rsidRPr="00A21B37">
      <w:tab/>
      <w:t>DA</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92ED3B" w14:textId="77777777" w:rsidR="00064002" w:rsidRPr="00A21B37"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70B046" w14:textId="77777777" w:rsidR="00064002" w:rsidRPr="00A21B37"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3BF3B0" w14:textId="77777777" w:rsidR="00064002" w:rsidRPr="00A21B3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07BE338" w14:textId="77777777" w:rsidR="001F5C97" w:rsidRPr="00A21B37" w:rsidRDefault="001F5C97">
      <w:r w:rsidRPr="00A21B37">
        <w:separator/>
      </w:r>
    </w:p>
  </w:footnote>
  <w:footnote w:type="continuationSeparator" w:id="0">
    <w:p w14:paraId="0DC1BEEA" w14:textId="77777777" w:rsidR="001F5C97" w:rsidRPr="00A21B37" w:rsidRDefault="001F5C97">
      <w:r w:rsidRPr="00A21B37">
        <w:continuationSeparator/>
      </w:r>
    </w:p>
  </w:footnote>
  <w:footnote w:id="1">
    <w:p w14:paraId="5DB64ABD" w14:textId="77777777" w:rsidR="00063725" w:rsidRPr="00434B6F" w:rsidRDefault="00063725" w:rsidP="00A21B37">
      <w:pPr>
        <w:pStyle w:val="FootnoteText"/>
        <w:ind w:left="567" w:hanging="567"/>
        <w:rPr>
          <w:sz w:val="24"/>
        </w:rPr>
      </w:pPr>
      <w:r w:rsidRPr="00A21B37">
        <w:rPr>
          <w:rStyle w:val="FootnoteReference"/>
          <w:sz w:val="24"/>
          <w:lang w:val="da-DK"/>
        </w:rPr>
        <w:footnoteRef/>
      </w:r>
      <w:r w:rsidR="00A21B37" w:rsidRPr="00434B6F">
        <w:rPr>
          <w:sz w:val="24"/>
        </w:rPr>
        <w:t xml:space="preserve"> </w:t>
      </w:r>
      <w:r w:rsidR="00A21B37" w:rsidRPr="00434B6F">
        <w:rPr>
          <w:sz w:val="24"/>
        </w:rPr>
        <w:tab/>
      </w:r>
      <w:r w:rsidRPr="00434B6F">
        <w:rPr>
          <w:sz w:val="24"/>
        </w:rPr>
        <w:t>EUT C, C/2023/594, 27.10.2023.</w:t>
      </w:r>
    </w:p>
  </w:footnote>
  <w:footnote w:id="2">
    <w:p w14:paraId="355E21AF" w14:textId="77777777" w:rsidR="00063725" w:rsidRPr="00434B6F" w:rsidRDefault="00063725" w:rsidP="00A21B37">
      <w:pPr>
        <w:pStyle w:val="FootnoteText"/>
        <w:ind w:left="567" w:hanging="567"/>
        <w:rPr>
          <w:sz w:val="24"/>
        </w:rPr>
      </w:pPr>
      <w:r w:rsidRPr="00A21B37">
        <w:rPr>
          <w:rStyle w:val="FootnoteReference"/>
          <w:sz w:val="24"/>
          <w:lang w:val="da-DK"/>
        </w:rPr>
        <w:footnoteRef/>
      </w:r>
      <w:r w:rsidR="00A21B37" w:rsidRPr="00434B6F">
        <w:rPr>
          <w:sz w:val="24"/>
        </w:rPr>
        <w:t xml:space="preserve"> </w:t>
      </w:r>
      <w:r w:rsidR="00A21B37" w:rsidRPr="00434B6F">
        <w:rPr>
          <w:sz w:val="24"/>
        </w:rPr>
        <w:tab/>
      </w:r>
      <w:r w:rsidRPr="00434B6F">
        <w:rPr>
          <w:sz w:val="24"/>
        </w:rPr>
        <w:t>EUT C, C/2023/112, 12.10.2023.</w:t>
      </w:r>
    </w:p>
  </w:footnote>
  <w:footnote w:id="3">
    <w:p w14:paraId="773F0087" w14:textId="77777777" w:rsidR="00063725" w:rsidRPr="00A21B37" w:rsidRDefault="00063725" w:rsidP="00A21B37">
      <w:pPr>
        <w:pStyle w:val="FootnoteText"/>
        <w:ind w:left="567" w:hanging="567"/>
        <w:rPr>
          <w:sz w:val="24"/>
          <w:lang w:val="da-DK"/>
        </w:rPr>
      </w:pPr>
      <w:r w:rsidRPr="00A21B37">
        <w:rPr>
          <w:rStyle w:val="FootnoteReference"/>
          <w:sz w:val="24"/>
          <w:lang w:val="da-DK"/>
        </w:rPr>
        <w:footnoteRef/>
      </w:r>
      <w:r w:rsidR="00A21B37" w:rsidRPr="00A21B37">
        <w:rPr>
          <w:sz w:val="24"/>
          <w:lang w:val="da-DK"/>
        </w:rPr>
        <w:t xml:space="preserve"> </w:t>
      </w:r>
      <w:r w:rsidR="00A21B37" w:rsidRPr="00A21B37">
        <w:rPr>
          <w:sz w:val="24"/>
          <w:lang w:val="da-DK"/>
        </w:rPr>
        <w:tab/>
      </w:r>
      <w:r w:rsidRPr="00A21B37">
        <w:rPr>
          <w:sz w:val="24"/>
          <w:lang w:val="da-DK"/>
        </w:rPr>
        <w:t>EUT L 193 af 30.7.2018, s. 1.</w:t>
      </w:r>
    </w:p>
  </w:footnote>
  <w:footnote w:id="4">
    <w:p w14:paraId="47041F99" w14:textId="77777777" w:rsidR="00063725" w:rsidRPr="00A21B37" w:rsidRDefault="00063725" w:rsidP="00A21B37">
      <w:pPr>
        <w:pStyle w:val="FootnoteText"/>
        <w:ind w:left="567" w:hanging="567"/>
        <w:rPr>
          <w:sz w:val="24"/>
          <w:lang w:val="da-DK"/>
        </w:rPr>
      </w:pPr>
      <w:r w:rsidRPr="00A21B37">
        <w:rPr>
          <w:rStyle w:val="FootnoteReference"/>
          <w:sz w:val="24"/>
          <w:lang w:val="da-DK"/>
        </w:rPr>
        <w:footnoteRef/>
      </w:r>
      <w:r w:rsidR="00A21B37" w:rsidRPr="00A21B37">
        <w:rPr>
          <w:sz w:val="24"/>
          <w:lang w:val="da-DK"/>
        </w:rPr>
        <w:t xml:space="preserve"> </w:t>
      </w:r>
      <w:r w:rsidR="00A21B37" w:rsidRPr="00A21B37">
        <w:rPr>
          <w:sz w:val="24"/>
          <w:lang w:val="da-DK"/>
        </w:rPr>
        <w:tab/>
      </w:r>
      <w:r w:rsidRPr="00A21B37">
        <w:rPr>
          <w:sz w:val="24"/>
          <w:lang w:val="da-DK"/>
        </w:rPr>
        <w:t>EUT L 132 af 29.5.2010, s. 11.</w:t>
      </w:r>
    </w:p>
  </w:footnote>
  <w:footnote w:id="5">
    <w:p w14:paraId="043D016F" w14:textId="77777777" w:rsidR="00063725" w:rsidRPr="00A21B37" w:rsidRDefault="00063725" w:rsidP="00A21B37">
      <w:pPr>
        <w:pStyle w:val="FootnoteText"/>
        <w:ind w:left="567" w:hanging="567"/>
        <w:rPr>
          <w:sz w:val="24"/>
          <w:szCs w:val="24"/>
          <w:lang w:val="da-DK"/>
        </w:rPr>
      </w:pPr>
      <w:r w:rsidRPr="00A21B37">
        <w:rPr>
          <w:rStyle w:val="FootnoteReference"/>
          <w:sz w:val="24"/>
          <w:lang w:val="da-DK"/>
        </w:rPr>
        <w:footnoteRef/>
      </w:r>
      <w:r w:rsidR="00A21B37" w:rsidRPr="00A21B37">
        <w:rPr>
          <w:sz w:val="24"/>
          <w:lang w:val="da-DK"/>
        </w:rPr>
        <w:t xml:space="preserve"> </w:t>
      </w:r>
      <w:r w:rsidR="00A21B37" w:rsidRPr="00A21B37">
        <w:rPr>
          <w:sz w:val="24"/>
          <w:lang w:val="da-DK"/>
        </w:rPr>
        <w:tab/>
      </w:r>
      <w:r w:rsidRPr="00A21B37">
        <w:rPr>
          <w:sz w:val="24"/>
          <w:lang w:val="da-DK"/>
        </w:rPr>
        <w:t>EUT L 468 af 30.12.2021, s. 1.</w:t>
      </w:r>
    </w:p>
  </w:footnote>
  <w:footnote w:id="6">
    <w:p w14:paraId="336CB26D" w14:textId="77777777" w:rsidR="00063725" w:rsidRPr="00A21B37" w:rsidRDefault="00063725" w:rsidP="00A21B37">
      <w:pPr>
        <w:pStyle w:val="FootnoteText"/>
        <w:ind w:left="567" w:hanging="567"/>
        <w:rPr>
          <w:sz w:val="24"/>
          <w:lang w:val="da-DK"/>
        </w:rPr>
      </w:pPr>
      <w:r w:rsidRPr="00A21B37">
        <w:rPr>
          <w:rStyle w:val="FootnoteReference"/>
          <w:sz w:val="24"/>
          <w:lang w:val="da-DK"/>
        </w:rPr>
        <w:footnoteRef/>
      </w:r>
      <w:r w:rsidR="00A21B37" w:rsidRPr="00A21B37">
        <w:rPr>
          <w:sz w:val="24"/>
          <w:lang w:val="da-DK"/>
        </w:rPr>
        <w:t xml:space="preserve"> </w:t>
      </w:r>
      <w:r w:rsidR="00A21B37" w:rsidRPr="00A21B37">
        <w:rPr>
          <w:sz w:val="24"/>
          <w:lang w:val="da-DK"/>
        </w:rPr>
        <w:tab/>
      </w:r>
      <w:r w:rsidRPr="00A21B37">
        <w:rPr>
          <w:sz w:val="24"/>
          <w:lang w:val="da-DK"/>
        </w:rPr>
        <w:t>EUT L 122 af 10.5.2019, s. 1.</w:t>
      </w:r>
    </w:p>
  </w:footnote>
  <w:footnote w:id="7">
    <w:p w14:paraId="6C05D4CA" w14:textId="77777777" w:rsidR="00063725" w:rsidRPr="00434B6F" w:rsidRDefault="00063725" w:rsidP="00A21B37">
      <w:pPr>
        <w:pStyle w:val="FootnoteText"/>
        <w:ind w:left="567" w:hanging="567"/>
        <w:rPr>
          <w:sz w:val="24"/>
        </w:rPr>
      </w:pPr>
      <w:r w:rsidRPr="00A21B37">
        <w:rPr>
          <w:rStyle w:val="FootnoteReference"/>
          <w:sz w:val="24"/>
          <w:lang w:val="da-DK"/>
        </w:rPr>
        <w:footnoteRef/>
      </w:r>
      <w:r w:rsidR="00A21B37" w:rsidRPr="00434B6F">
        <w:rPr>
          <w:sz w:val="24"/>
        </w:rPr>
        <w:t xml:space="preserve"> </w:t>
      </w:r>
      <w:r w:rsidR="00A21B37" w:rsidRPr="00434B6F">
        <w:rPr>
          <w:sz w:val="24"/>
        </w:rPr>
        <w:tab/>
      </w:r>
      <w:r w:rsidRPr="00434B6F">
        <w:rPr>
          <w:sz w:val="24"/>
        </w:rPr>
        <w:t>EUT C, C/2023/594, 27.10.2023.</w:t>
      </w:r>
    </w:p>
  </w:footnote>
  <w:footnote w:id="8">
    <w:p w14:paraId="36C13761" w14:textId="77777777" w:rsidR="00063725" w:rsidRPr="00434B6F" w:rsidRDefault="00063725" w:rsidP="00A21B37">
      <w:pPr>
        <w:pStyle w:val="FootnoteText"/>
        <w:ind w:left="567" w:hanging="567"/>
        <w:rPr>
          <w:sz w:val="24"/>
        </w:rPr>
      </w:pPr>
      <w:r w:rsidRPr="00A21B37">
        <w:rPr>
          <w:rStyle w:val="FootnoteReference"/>
          <w:sz w:val="24"/>
          <w:lang w:val="da-DK"/>
        </w:rPr>
        <w:footnoteRef/>
      </w:r>
      <w:r w:rsidR="00A21B37" w:rsidRPr="00434B6F">
        <w:rPr>
          <w:sz w:val="24"/>
        </w:rPr>
        <w:t xml:space="preserve"> </w:t>
      </w:r>
      <w:r w:rsidR="00A21B37" w:rsidRPr="00434B6F">
        <w:rPr>
          <w:sz w:val="24"/>
        </w:rPr>
        <w:tab/>
      </w:r>
      <w:r w:rsidRPr="00434B6F">
        <w:rPr>
          <w:sz w:val="24"/>
        </w:rPr>
        <w:t>EUT C, C/2023/112, 12.10.2023.</w:t>
      </w:r>
    </w:p>
  </w:footnote>
  <w:footnote w:id="9">
    <w:p w14:paraId="2D765097" w14:textId="77777777" w:rsidR="00063725" w:rsidRPr="00A21B37" w:rsidRDefault="00063725" w:rsidP="00A21B37">
      <w:pPr>
        <w:pStyle w:val="FootnoteText"/>
        <w:ind w:left="567" w:hanging="567"/>
        <w:rPr>
          <w:sz w:val="24"/>
          <w:lang w:val="da-DK"/>
        </w:rPr>
      </w:pPr>
      <w:r w:rsidRPr="00A21B37">
        <w:rPr>
          <w:rStyle w:val="FootnoteReference"/>
          <w:sz w:val="24"/>
          <w:lang w:val="da-DK"/>
        </w:rPr>
        <w:footnoteRef/>
      </w:r>
      <w:r w:rsidR="00A21B37" w:rsidRPr="00A21B37">
        <w:rPr>
          <w:sz w:val="24"/>
          <w:lang w:val="da-DK"/>
        </w:rPr>
        <w:t xml:space="preserve"> </w:t>
      </w:r>
      <w:r w:rsidR="00A21B37" w:rsidRPr="00A21B37">
        <w:rPr>
          <w:sz w:val="24"/>
          <w:lang w:val="da-DK"/>
        </w:rPr>
        <w:tab/>
      </w:r>
      <w:r w:rsidRPr="00A21B37">
        <w:rPr>
          <w:sz w:val="24"/>
          <w:lang w:val="da-DK"/>
        </w:rPr>
        <w:t>EUT L 193 af 30.7.2018, s. 1.</w:t>
      </w:r>
    </w:p>
  </w:footnote>
  <w:footnote w:id="10">
    <w:p w14:paraId="2EFE8E38" w14:textId="77777777" w:rsidR="00063725" w:rsidRPr="00A21B37" w:rsidRDefault="00063725" w:rsidP="00A21B37">
      <w:pPr>
        <w:pStyle w:val="FootnoteText"/>
        <w:ind w:left="567" w:hanging="567"/>
        <w:rPr>
          <w:sz w:val="24"/>
          <w:lang w:val="da-DK"/>
        </w:rPr>
      </w:pPr>
      <w:r w:rsidRPr="00A21B37">
        <w:rPr>
          <w:rStyle w:val="FootnoteReference"/>
          <w:sz w:val="24"/>
          <w:lang w:val="da-DK"/>
        </w:rPr>
        <w:footnoteRef/>
      </w:r>
      <w:r w:rsidR="00A21B37" w:rsidRPr="00A21B37">
        <w:rPr>
          <w:sz w:val="24"/>
          <w:lang w:val="da-DK"/>
        </w:rPr>
        <w:t xml:space="preserve"> </w:t>
      </w:r>
      <w:r w:rsidR="00A21B37" w:rsidRPr="00A21B37">
        <w:rPr>
          <w:sz w:val="24"/>
          <w:lang w:val="da-DK"/>
        </w:rPr>
        <w:tab/>
      </w:r>
      <w:r w:rsidRPr="00A21B37">
        <w:rPr>
          <w:sz w:val="24"/>
          <w:lang w:val="da-DK"/>
        </w:rPr>
        <w:t>EUT L 132 af 29.5.2010, s. 11.</w:t>
      </w:r>
    </w:p>
  </w:footnote>
  <w:footnote w:id="11">
    <w:p w14:paraId="76A2BA41" w14:textId="77777777" w:rsidR="00063725" w:rsidRPr="00A21B37" w:rsidRDefault="00063725" w:rsidP="00A21B37">
      <w:pPr>
        <w:pStyle w:val="FootnoteText"/>
        <w:ind w:left="567" w:hanging="567"/>
        <w:rPr>
          <w:sz w:val="24"/>
          <w:lang w:val="da-DK"/>
        </w:rPr>
      </w:pPr>
      <w:r w:rsidRPr="00A21B37">
        <w:rPr>
          <w:rStyle w:val="FootnoteReference"/>
          <w:sz w:val="24"/>
          <w:lang w:val="da-DK"/>
        </w:rPr>
        <w:footnoteRef/>
      </w:r>
      <w:r w:rsidR="00A21B37" w:rsidRPr="00A21B37">
        <w:rPr>
          <w:sz w:val="24"/>
          <w:lang w:val="da-DK"/>
        </w:rPr>
        <w:t xml:space="preserve"> </w:t>
      </w:r>
      <w:r w:rsidR="00A21B37" w:rsidRPr="00A21B37">
        <w:rPr>
          <w:sz w:val="24"/>
          <w:lang w:val="da-DK"/>
        </w:rPr>
        <w:tab/>
      </w:r>
      <w:r w:rsidRPr="00A21B37">
        <w:rPr>
          <w:sz w:val="24"/>
          <w:lang w:val="da-DK"/>
        </w:rPr>
        <w:t>EUT L 468 af 30.12.2021, s. 1.</w:t>
      </w:r>
    </w:p>
  </w:footnote>
  <w:footnote w:id="12">
    <w:p w14:paraId="5BD04D7E" w14:textId="77777777" w:rsidR="00063725" w:rsidRPr="00A21B37" w:rsidRDefault="00063725" w:rsidP="00A21B37">
      <w:pPr>
        <w:pStyle w:val="FootnoteText"/>
        <w:ind w:left="567" w:hanging="567"/>
        <w:rPr>
          <w:sz w:val="24"/>
          <w:szCs w:val="24"/>
          <w:lang w:val="da-DK"/>
        </w:rPr>
      </w:pPr>
      <w:r w:rsidRPr="00A21B37">
        <w:rPr>
          <w:rStyle w:val="FootnoteReference"/>
          <w:sz w:val="24"/>
          <w:lang w:val="da-DK"/>
        </w:rPr>
        <w:footnoteRef/>
      </w:r>
      <w:r w:rsidR="00A21B37" w:rsidRPr="00A21B37">
        <w:rPr>
          <w:sz w:val="24"/>
          <w:lang w:val="da-DK"/>
        </w:rPr>
        <w:t xml:space="preserve"> </w:t>
      </w:r>
      <w:r w:rsidR="00A21B37" w:rsidRPr="00A21B37">
        <w:rPr>
          <w:sz w:val="24"/>
          <w:lang w:val="da-DK"/>
        </w:rPr>
        <w:tab/>
      </w:r>
      <w:r w:rsidRPr="00A21B37">
        <w:rPr>
          <w:sz w:val="24"/>
          <w:lang w:val="da-DK"/>
        </w:rPr>
        <w:t>EUT L 122 af 10.5.2019, s. 1.</w:t>
      </w:r>
    </w:p>
  </w:footnote>
  <w:footnote w:id="13">
    <w:p w14:paraId="6139BA9B" w14:textId="2B3FE759" w:rsidR="00063725" w:rsidRPr="00A21B37" w:rsidRDefault="00063725" w:rsidP="00A21B37">
      <w:pPr>
        <w:pStyle w:val="FootnoteText"/>
        <w:ind w:left="567" w:hanging="567"/>
        <w:rPr>
          <w:sz w:val="24"/>
          <w:lang w:val="da-DK"/>
        </w:rPr>
      </w:pPr>
      <w:r w:rsidRPr="00A21B37">
        <w:rPr>
          <w:sz w:val="24"/>
          <w:vertAlign w:val="superscript"/>
          <w:lang w:val="da-DK"/>
        </w:rPr>
        <w:footnoteRef/>
      </w:r>
      <w:r w:rsidR="00A21B37" w:rsidRPr="00A21B37">
        <w:rPr>
          <w:sz w:val="24"/>
          <w:lang w:val="da-DK"/>
        </w:rPr>
        <w:t xml:space="preserve"> </w:t>
      </w:r>
      <w:r w:rsidR="00A21B37" w:rsidRPr="00A21B37">
        <w:rPr>
          <w:sz w:val="24"/>
          <w:lang w:val="da-DK"/>
        </w:rPr>
        <w:tab/>
      </w:r>
      <w:r w:rsidRPr="00A21B37">
        <w:rPr>
          <w:sz w:val="24"/>
          <w:lang w:val="da-DK"/>
        </w:rPr>
        <w:t>EUT C 38 af 31.1.2023, s. 180.</w:t>
      </w:r>
    </w:p>
  </w:footnote>
  <w:footnote w:id="14">
    <w:p w14:paraId="7EB8B25C" w14:textId="219374FD" w:rsidR="00063725" w:rsidRPr="00A21B37" w:rsidRDefault="00063725" w:rsidP="00A21B37">
      <w:pPr>
        <w:pStyle w:val="FootnoteText"/>
        <w:ind w:left="567" w:hanging="567"/>
        <w:rPr>
          <w:sz w:val="24"/>
          <w:lang w:val="da-DK"/>
        </w:rPr>
      </w:pPr>
      <w:r w:rsidRPr="00A21B37">
        <w:rPr>
          <w:rStyle w:val="FootnoteReference"/>
          <w:sz w:val="24"/>
          <w:lang w:val="da-DK"/>
        </w:rPr>
        <w:footnoteRef/>
      </w:r>
      <w:r w:rsidR="00A21B37" w:rsidRPr="00A21B37">
        <w:rPr>
          <w:sz w:val="24"/>
          <w:lang w:val="da-DK"/>
        </w:rPr>
        <w:t xml:space="preserve"> </w:t>
      </w:r>
      <w:r w:rsidR="00A21B37" w:rsidRPr="00A21B37">
        <w:rPr>
          <w:sz w:val="24"/>
          <w:lang w:val="da-DK"/>
        </w:rPr>
        <w:tab/>
      </w:r>
      <w:r w:rsidRPr="00A21B37">
        <w:rPr>
          <w:sz w:val="24"/>
          <w:lang w:val="da-DK"/>
        </w:rPr>
        <w:t>Vedtagne tekster, P9_TA(2024)0</w:t>
      </w:r>
      <w:r w:rsidR="00455F5D">
        <w:rPr>
          <w:sz w:val="24"/>
          <w:lang w:val="da-DK"/>
        </w:rPr>
        <w:t>280</w:t>
      </w:r>
      <w:r w:rsidRPr="00A21B37">
        <w:rPr>
          <w:sz w:val="24"/>
          <w:lang w:val="da-DK"/>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A9B9DC" w14:textId="77777777" w:rsidR="00063725" w:rsidRPr="00A21B37" w:rsidRDefault="0006372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4D3145" w14:textId="77777777" w:rsidR="00063725" w:rsidRPr="00A21B37" w:rsidRDefault="0006372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1DCE3F" w14:textId="77777777" w:rsidR="00063725" w:rsidRPr="00A21B37" w:rsidRDefault="00063725">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BFF80A" w14:textId="77777777" w:rsidR="00064002" w:rsidRPr="00A21B37"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2A1C81" w14:textId="77777777" w:rsidR="00064002" w:rsidRPr="00A21B37"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A99673" w14:textId="77777777" w:rsidR="00064002" w:rsidRPr="00A21B3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06/2024"/>
    <w:docVar w:name="dvlangue" w:val="DA"/>
    <w:docVar w:name="dvnumam" w:val="0"/>
    <w:docVar w:name="dvpe" w:val="753.532"/>
    <w:docVar w:name="dvrapporteur" w:val="Ordfører: "/>
    <w:docVar w:name="dvtitre" w:val="Europa-Parlamentets afgørelse af xx.xx 2024 om decharge for gennemførelsen af budgettet for Den Europæiske Unions Asylagentur (før 19.1.2022 Det Europæiske Asylstøttekontor) for regnskabsåret 2022(2023/2164(DEC))"/>
  </w:docVars>
  <w:rsids>
    <w:rsidRoot w:val="001F5C97"/>
    <w:rsid w:val="00002272"/>
    <w:rsid w:val="00063725"/>
    <w:rsid w:val="00064002"/>
    <w:rsid w:val="000677B9"/>
    <w:rsid w:val="000831BA"/>
    <w:rsid w:val="000A42CC"/>
    <w:rsid w:val="000E7DD9"/>
    <w:rsid w:val="0010095E"/>
    <w:rsid w:val="00125B37"/>
    <w:rsid w:val="00187494"/>
    <w:rsid w:val="001F32AE"/>
    <w:rsid w:val="001F5C97"/>
    <w:rsid w:val="002532F3"/>
    <w:rsid w:val="002767FF"/>
    <w:rsid w:val="002B18FE"/>
    <w:rsid w:val="002B5493"/>
    <w:rsid w:val="00343214"/>
    <w:rsid w:val="00361C00"/>
    <w:rsid w:val="00395FA1"/>
    <w:rsid w:val="003E15D4"/>
    <w:rsid w:val="00411CCE"/>
    <w:rsid w:val="0041666E"/>
    <w:rsid w:val="00421060"/>
    <w:rsid w:val="00434B6F"/>
    <w:rsid w:val="00455F5D"/>
    <w:rsid w:val="00471C19"/>
    <w:rsid w:val="004867E3"/>
    <w:rsid w:val="00494A28"/>
    <w:rsid w:val="004C0004"/>
    <w:rsid w:val="004C5D52"/>
    <w:rsid w:val="0050519A"/>
    <w:rsid w:val="005072A1"/>
    <w:rsid w:val="00514517"/>
    <w:rsid w:val="00545827"/>
    <w:rsid w:val="00546E3E"/>
    <w:rsid w:val="00560270"/>
    <w:rsid w:val="005C2568"/>
    <w:rsid w:val="006037C0"/>
    <w:rsid w:val="006631B6"/>
    <w:rsid w:val="00665D29"/>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21B37"/>
    <w:rsid w:val="00A43E52"/>
    <w:rsid w:val="00A4678D"/>
    <w:rsid w:val="00A778C7"/>
    <w:rsid w:val="00AB441E"/>
    <w:rsid w:val="00AB6293"/>
    <w:rsid w:val="00AE0928"/>
    <w:rsid w:val="00AF3B82"/>
    <w:rsid w:val="00B12E95"/>
    <w:rsid w:val="00B22876"/>
    <w:rsid w:val="00B558F0"/>
    <w:rsid w:val="00B770F2"/>
    <w:rsid w:val="00BD48FE"/>
    <w:rsid w:val="00BD7BD8"/>
    <w:rsid w:val="00BE6ADC"/>
    <w:rsid w:val="00C05BFE"/>
    <w:rsid w:val="00C23CD4"/>
    <w:rsid w:val="00C61C0C"/>
    <w:rsid w:val="00C941CB"/>
    <w:rsid w:val="00CC2357"/>
    <w:rsid w:val="00CC3A93"/>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4D44"/>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ACC7735"/>
  <w15:chartTrackingRefBased/>
  <w15:docId w15:val="{D93208A4-965D-4378-8508-A9919AA827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063725"/>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063725"/>
    <w:pPr>
      <w:spacing w:before="480" w:after="240"/>
    </w:pPr>
  </w:style>
  <w:style w:type="paragraph" w:customStyle="1" w:styleId="PageHeading">
    <w:name w:val="PageHeading"/>
    <w:basedOn w:val="Normal"/>
    <w:rsid w:val="00063725"/>
    <w:pPr>
      <w:keepNext/>
      <w:spacing w:after="480"/>
      <w:jc w:val="center"/>
    </w:pPr>
    <w:rPr>
      <w:rFonts w:ascii="Arial" w:hAnsi="Arial" w:cs="Arial"/>
      <w:b/>
    </w:rPr>
  </w:style>
  <w:style w:type="paragraph" w:customStyle="1" w:styleId="NormalBold">
    <w:name w:val="NormalBold"/>
    <w:basedOn w:val="Normal"/>
    <w:rsid w:val="00063725"/>
    <w:rPr>
      <w:b/>
    </w:rPr>
  </w:style>
  <w:style w:type="paragraph" w:customStyle="1" w:styleId="NormalHanging12a">
    <w:name w:val="NormalHanging12a"/>
    <w:basedOn w:val="Normal"/>
    <w:link w:val="NormalHanging12aChar"/>
    <w:rsid w:val="00063725"/>
    <w:pPr>
      <w:spacing w:after="240"/>
      <w:ind w:left="567" w:hanging="567"/>
    </w:pPr>
  </w:style>
  <w:style w:type="paragraph" w:customStyle="1" w:styleId="NormalCenter12a">
    <w:name w:val="NormalCenter12a"/>
    <w:basedOn w:val="Normal"/>
    <w:rsid w:val="00063725"/>
    <w:pPr>
      <w:spacing w:after="240"/>
      <w:jc w:val="center"/>
    </w:pPr>
  </w:style>
  <w:style w:type="paragraph" w:styleId="Header">
    <w:name w:val="header"/>
    <w:basedOn w:val="Normal"/>
    <w:link w:val="HeaderChar"/>
    <w:rsid w:val="00063725"/>
    <w:pPr>
      <w:tabs>
        <w:tab w:val="center" w:pos="4513"/>
        <w:tab w:val="right" w:pos="9026"/>
      </w:tabs>
    </w:pPr>
  </w:style>
  <w:style w:type="character" w:customStyle="1" w:styleId="HeaderChar">
    <w:name w:val="Header Char"/>
    <w:basedOn w:val="DefaultParagraphFont"/>
    <w:link w:val="Header"/>
    <w:rsid w:val="00063725"/>
    <w:rPr>
      <w:sz w:val="24"/>
      <w:lang w:val="da-DK"/>
    </w:rPr>
  </w:style>
  <w:style w:type="paragraph" w:customStyle="1" w:styleId="EPFooter">
    <w:name w:val="EPFooter"/>
    <w:basedOn w:val="Normal"/>
    <w:rsid w:val="00063725"/>
    <w:pPr>
      <w:tabs>
        <w:tab w:val="center" w:pos="4535"/>
        <w:tab w:val="right" w:pos="9071"/>
      </w:tabs>
      <w:spacing w:before="240" w:after="240"/>
    </w:pPr>
    <w:rPr>
      <w:color w:val="010000"/>
      <w:sz w:val="22"/>
    </w:rPr>
  </w:style>
  <w:style w:type="character" w:customStyle="1" w:styleId="NormalHanging12aChar">
    <w:name w:val="NormalHanging12a Char"/>
    <w:link w:val="NormalHanging12a"/>
    <w:locked/>
    <w:rsid w:val="00063725"/>
    <w:rPr>
      <w:sz w:val="24"/>
      <w:lang w:val="da-DK"/>
    </w:rPr>
  </w:style>
  <w:style w:type="character" w:customStyle="1" w:styleId="Normal12HangingChar">
    <w:name w:val="Normal12Hanging Char"/>
    <w:link w:val="Normal12Hanging"/>
    <w:locked/>
    <w:rsid w:val="00063725"/>
    <w:rPr>
      <w:sz w:val="24"/>
    </w:rPr>
  </w:style>
  <w:style w:type="paragraph" w:customStyle="1" w:styleId="Normal12Hanging">
    <w:name w:val="Normal12Hanging"/>
    <w:basedOn w:val="Normal"/>
    <w:link w:val="Normal12HangingChar"/>
    <w:rsid w:val="00063725"/>
    <w:pPr>
      <w:spacing w:after="240"/>
      <w:ind w:left="567" w:hanging="567"/>
    </w:pPr>
    <w:rPr>
      <w:lang w:val="en-GB"/>
    </w:rPr>
  </w:style>
  <w:style w:type="paragraph" w:customStyle="1" w:styleId="Normal24a">
    <w:name w:val="Normal24a"/>
    <w:basedOn w:val="Normal"/>
    <w:rsid w:val="00063725"/>
    <w:pPr>
      <w:spacing w:after="480"/>
    </w:pPr>
  </w:style>
  <w:style w:type="paragraph" w:customStyle="1" w:styleId="NormalBoldCenter">
    <w:name w:val="NormalBoldCenter"/>
    <w:basedOn w:val="Normal"/>
    <w:rsid w:val="00063725"/>
    <w:pPr>
      <w:jc w:val="center"/>
    </w:pPr>
    <w:rPr>
      <w:b/>
    </w:rPr>
  </w:style>
  <w:style w:type="paragraph" w:customStyle="1" w:styleId="Normal12a">
    <w:name w:val="Normal12a"/>
    <w:basedOn w:val="Normal"/>
    <w:rsid w:val="00063725"/>
    <w:pPr>
      <w:spacing w:after="240"/>
    </w:pPr>
  </w:style>
  <w:style w:type="paragraph" w:customStyle="1" w:styleId="PageHeadingNotTOC">
    <w:name w:val="PageHeadingNotTOC"/>
    <w:basedOn w:val="Normal"/>
    <w:rsid w:val="00063725"/>
    <w:pPr>
      <w:keepNext/>
      <w:spacing w:after="480"/>
      <w:jc w:val="center"/>
    </w:pPr>
    <w:rPr>
      <w:rFonts w:ascii="Arial" w:hAnsi="Arial" w:cs="Arial"/>
      <w:b/>
    </w:rPr>
  </w:style>
  <w:style w:type="paragraph" w:styleId="BalloonText">
    <w:name w:val="Balloon Text"/>
    <w:basedOn w:val="Normal"/>
    <w:link w:val="BalloonTextChar"/>
    <w:rsid w:val="00665D29"/>
    <w:rPr>
      <w:rFonts w:ascii="Segoe UI" w:hAnsi="Segoe UI" w:cs="Segoe UI"/>
      <w:sz w:val="18"/>
      <w:szCs w:val="18"/>
    </w:rPr>
  </w:style>
  <w:style w:type="character" w:customStyle="1" w:styleId="BalloonTextChar">
    <w:name w:val="Balloon Text Char"/>
    <w:basedOn w:val="DefaultParagraphFont"/>
    <w:link w:val="BalloonText"/>
    <w:rsid w:val="00665D29"/>
    <w:rPr>
      <w:rFonts w:ascii="Segoe UI" w:hAnsi="Segoe UI" w:cs="Segoe UI"/>
      <w:sz w:val="18"/>
      <w:szCs w:val="18"/>
      <w:lang w:val="da-DK"/>
    </w:rPr>
  </w:style>
  <w:style w:type="character" w:styleId="CommentReference">
    <w:name w:val="annotation reference"/>
    <w:basedOn w:val="DefaultParagraphFont"/>
    <w:rsid w:val="00546E3E"/>
    <w:rPr>
      <w:sz w:val="16"/>
      <w:szCs w:val="16"/>
    </w:rPr>
  </w:style>
  <w:style w:type="paragraph" w:styleId="CommentText">
    <w:name w:val="annotation text"/>
    <w:basedOn w:val="Normal"/>
    <w:link w:val="CommentTextChar"/>
    <w:rsid w:val="00546E3E"/>
    <w:rPr>
      <w:sz w:val="20"/>
    </w:rPr>
  </w:style>
  <w:style w:type="character" w:customStyle="1" w:styleId="CommentTextChar">
    <w:name w:val="Comment Text Char"/>
    <w:basedOn w:val="DefaultParagraphFont"/>
    <w:link w:val="CommentText"/>
    <w:rsid w:val="00546E3E"/>
    <w:rPr>
      <w:lang w:val="da-DK"/>
    </w:rPr>
  </w:style>
  <w:style w:type="paragraph" w:styleId="CommentSubject">
    <w:name w:val="annotation subject"/>
    <w:basedOn w:val="CommentText"/>
    <w:next w:val="CommentText"/>
    <w:link w:val="CommentSubjectChar"/>
    <w:rsid w:val="00546E3E"/>
    <w:rPr>
      <w:b/>
      <w:bCs/>
    </w:rPr>
  </w:style>
  <w:style w:type="character" w:customStyle="1" w:styleId="CommentSubjectChar">
    <w:name w:val="Comment Subject Char"/>
    <w:basedOn w:val="CommentTextChar"/>
    <w:link w:val="CommentSubject"/>
    <w:rsid w:val="00546E3E"/>
    <w:rPr>
      <w:b/>
      <w:bCs/>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56C2A2-B029-4CD8-822F-7F5E7032B0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5148</Words>
  <Characters>32635</Characters>
  <Application>Microsoft Office Word</Application>
  <DocSecurity>0</DocSecurity>
  <Lines>271</Lines>
  <Paragraphs>75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37708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BENDIXEN Majbritt</dc:creator>
  <cp:keywords/>
  <cp:lastModifiedBy>BENDIXEN Majbritt</cp:lastModifiedBy>
  <cp:revision>2</cp:revision>
  <cp:lastPrinted>2004-11-19T15:42:00Z</cp:lastPrinted>
  <dcterms:created xsi:type="dcterms:W3CDTF">2024-04-11T15:18:00Z</dcterms:created>
  <dcterms:modified xsi:type="dcterms:W3CDTF">2024-04-11T15:18:00Z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A9-0106/2024</vt:lpwstr>
  </property>
  <property fmtid="{D5CDD505-2E9C-101B-9397-08002B2CF9AE}" pid="4" name="&lt;Type&gt;">
    <vt:lpwstr>RR</vt:lpwstr>
  </property>
</Properties>
</file>