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21AA" w:rsidTr="0010095E">
        <w:trPr>
          <w:trHeight w:hRule="exact" w:val="1418"/>
        </w:trPr>
        <w:tc>
          <w:tcPr>
            <w:tcW w:w="6804" w:type="dxa"/>
            <w:shd w:val="clear" w:color="auto" w:fill="auto"/>
            <w:vAlign w:val="center"/>
          </w:tcPr>
          <w:p w:rsidR="00751A4A" w:rsidRPr="00A521AA" w:rsidRDefault="00AF671B" w:rsidP="0010095E">
            <w:pPr>
              <w:pStyle w:val="EPName"/>
            </w:pPr>
            <w:r w:rsidRPr="00A521AA">
              <w:t>Ευρωπαϊκό Κοινοβούλιο</w:t>
            </w:r>
          </w:p>
          <w:p w:rsidR="00751A4A" w:rsidRPr="00A521AA" w:rsidRDefault="00817416" w:rsidP="00756632">
            <w:pPr>
              <w:pStyle w:val="EPTerm"/>
              <w:rPr>
                <w:rStyle w:val="HideTWBExt"/>
                <w:noProof w:val="0"/>
                <w:vanish w:val="0"/>
                <w:color w:val="auto"/>
              </w:rPr>
            </w:pPr>
            <w:r w:rsidRPr="00A521AA">
              <w:t>2019-2024</w:t>
            </w:r>
          </w:p>
        </w:tc>
        <w:tc>
          <w:tcPr>
            <w:tcW w:w="2268" w:type="dxa"/>
            <w:shd w:val="clear" w:color="auto" w:fill="auto"/>
          </w:tcPr>
          <w:p w:rsidR="00751A4A" w:rsidRPr="00A521AA" w:rsidRDefault="00187494" w:rsidP="0010095E">
            <w:pPr>
              <w:pStyle w:val="EPLogo"/>
            </w:pPr>
            <w:r w:rsidRPr="00A521A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21AA" w:rsidRDefault="00D058B8" w:rsidP="004C5D52">
      <w:pPr>
        <w:pStyle w:val="LineTop"/>
      </w:pPr>
    </w:p>
    <w:p w:rsidR="00680577" w:rsidRPr="00A521AA" w:rsidRDefault="00AF671B" w:rsidP="00680577">
      <w:pPr>
        <w:pStyle w:val="EPBodyTA1"/>
      </w:pPr>
      <w:r w:rsidRPr="00A521AA">
        <w:t>ΚΕΙΜΕΝΑ ΠΟΥ ΕΓΚΡΙΘΗΚΑΝ</w:t>
      </w:r>
    </w:p>
    <w:p w:rsidR="00D058B8" w:rsidRPr="00A521AA" w:rsidRDefault="00D058B8" w:rsidP="00D058B8">
      <w:pPr>
        <w:pStyle w:val="LineBottom"/>
      </w:pPr>
    </w:p>
    <w:p w:rsidR="00AF671B" w:rsidRPr="00A521AA" w:rsidRDefault="00AF671B" w:rsidP="00AF671B">
      <w:pPr>
        <w:pStyle w:val="ATHeading1"/>
      </w:pPr>
      <w:bookmarkStart w:id="0" w:name="TANumber"/>
      <w:r w:rsidRPr="00A521AA">
        <w:t>P9_TA(2024)</w:t>
      </w:r>
      <w:bookmarkEnd w:id="0"/>
      <w:r w:rsidR="00994EE9" w:rsidRPr="00A521AA">
        <w:t>0</w:t>
      </w:r>
      <w:r w:rsidR="00994EE9">
        <w:t>268</w:t>
      </w:r>
    </w:p>
    <w:p w:rsidR="00AF671B" w:rsidRPr="00A521AA" w:rsidRDefault="00AF671B" w:rsidP="00AF671B">
      <w:pPr>
        <w:pStyle w:val="ATHeading2"/>
      </w:pPr>
      <w:bookmarkStart w:id="1" w:name="title"/>
      <w:r w:rsidRPr="00A521AA">
        <w:t>Απαλλαγή 2022: Οργανισμός της Ευρωπαϊκής Ένωσης για το Άσυλο (πριν τις 19 Ιανουαρίου 2022: Ευρωπαϊκή Υπηρεσία Υποστήριξης για το Άσυλο)</w:t>
      </w:r>
      <w:bookmarkEnd w:id="1"/>
    </w:p>
    <w:p w:rsidR="00AF671B" w:rsidRPr="00A521AA" w:rsidRDefault="00AF671B" w:rsidP="00AF671B">
      <w:pPr>
        <w:rPr>
          <w:i/>
          <w:vanish/>
        </w:rPr>
      </w:pPr>
      <w:r w:rsidRPr="00A521AA">
        <w:rPr>
          <w:i/>
        </w:rPr>
        <w:fldChar w:fldCharType="begin"/>
      </w:r>
      <w:r w:rsidRPr="00A521AA">
        <w:rPr>
          <w:i/>
        </w:rPr>
        <w:instrText xml:space="preserve"> TC"(</w:instrText>
      </w:r>
      <w:bookmarkStart w:id="2" w:name="DocNumber"/>
      <w:r w:rsidRPr="00A521AA">
        <w:rPr>
          <w:i/>
        </w:rPr>
        <w:instrText>A9-0106/2024</w:instrText>
      </w:r>
      <w:bookmarkEnd w:id="2"/>
      <w:r w:rsidRPr="00A521AA">
        <w:rPr>
          <w:i/>
        </w:rPr>
        <w:instrText xml:space="preserve"> - Εισηγητής: </w:instrText>
      </w:r>
      <w:proofErr w:type="spellStart"/>
      <w:r w:rsidRPr="00A521AA">
        <w:rPr>
          <w:i/>
        </w:rPr>
        <w:instrText>Petri</w:instrText>
      </w:r>
      <w:proofErr w:type="spellEnd"/>
      <w:r w:rsidRPr="00A521AA">
        <w:rPr>
          <w:i/>
        </w:rPr>
        <w:instrText xml:space="preserve"> </w:instrText>
      </w:r>
      <w:proofErr w:type="spellStart"/>
      <w:r w:rsidRPr="00A521AA">
        <w:rPr>
          <w:i/>
        </w:rPr>
        <w:instrText>Sarvamaa</w:instrText>
      </w:r>
      <w:proofErr w:type="spellEnd"/>
      <w:r w:rsidRPr="00A521AA">
        <w:rPr>
          <w:i/>
        </w:rPr>
        <w:instrText xml:space="preserve">)"\l3 \n&gt; \* MERGEFORMAT </w:instrText>
      </w:r>
      <w:r w:rsidRPr="00A521AA">
        <w:rPr>
          <w:i/>
        </w:rPr>
        <w:fldChar w:fldCharType="end"/>
      </w:r>
    </w:p>
    <w:p w:rsidR="00AF671B" w:rsidRPr="00A521AA" w:rsidRDefault="00AF671B" w:rsidP="00AF671B">
      <w:pPr>
        <w:rPr>
          <w:vanish/>
        </w:rPr>
      </w:pPr>
      <w:bookmarkStart w:id="3" w:name="Commission"/>
      <w:r w:rsidRPr="00A521AA">
        <w:rPr>
          <w:vanish/>
        </w:rPr>
        <w:t>Επιτροπή Ελέγχου του Προϋπολογισμού</w:t>
      </w:r>
      <w:bookmarkEnd w:id="3"/>
    </w:p>
    <w:p w:rsidR="00AF671B" w:rsidRPr="00A521AA" w:rsidRDefault="00AF671B" w:rsidP="00AF671B">
      <w:pPr>
        <w:rPr>
          <w:vanish/>
        </w:rPr>
      </w:pPr>
      <w:bookmarkStart w:id="4" w:name="PE"/>
      <w:r w:rsidRPr="00A521AA">
        <w:rPr>
          <w:vanish/>
        </w:rPr>
        <w:t>PE753.532</w:t>
      </w:r>
      <w:bookmarkEnd w:id="4"/>
    </w:p>
    <w:p w:rsidR="00AF671B" w:rsidRPr="00A521AA" w:rsidRDefault="00F67DC7" w:rsidP="00AF671B">
      <w:pPr>
        <w:pStyle w:val="ATHeading3"/>
      </w:pPr>
      <w:bookmarkStart w:id="5" w:name="Sujet"/>
      <w:r>
        <w:t xml:space="preserve">1. </w:t>
      </w:r>
      <w:r w:rsidR="00AF671B" w:rsidRPr="00A521AA">
        <w:t xml:space="preserve">Απόφαση του Ευρωπαϊκού Κοινοβουλίου </w:t>
      </w:r>
      <w:r w:rsidR="00283567">
        <w:t xml:space="preserve">της 11ης Απριλίου 2024 </w:t>
      </w:r>
      <w:r w:rsidR="00AF671B" w:rsidRPr="00A521AA">
        <w:t>σχετικά με την απαλλαγή όσον αφορά την εκτέλεση του προϋπολογισμού του Οργανισμού της Ευρωπαϊκής Ένωσης για το Άσυλο (πριν από την 19.1.2022, Ευρωπαϊκή Υπηρεσία Υποστήριξης για το Άσυλο) για το οικονομικό έτος 2022</w:t>
      </w:r>
      <w:bookmarkEnd w:id="5"/>
      <w:r w:rsidR="00AF671B" w:rsidRPr="00A521AA">
        <w:t xml:space="preserve"> </w:t>
      </w:r>
      <w:bookmarkStart w:id="6" w:name="References"/>
      <w:r w:rsidR="00AF671B" w:rsidRPr="00A521AA">
        <w:t>(2023/2164(DEC))</w:t>
      </w:r>
      <w:bookmarkEnd w:id="6"/>
    </w:p>
    <w:p w:rsidR="00493CBC" w:rsidRPr="00A521AA" w:rsidRDefault="00493CBC" w:rsidP="00493CBC">
      <w:pPr>
        <w:pStyle w:val="EPComma"/>
      </w:pPr>
      <w:bookmarkStart w:id="7" w:name="TextBodyBegin"/>
      <w:bookmarkEnd w:id="7"/>
      <w:r w:rsidRPr="00A521AA">
        <w:rPr>
          <w:i/>
        </w:rPr>
        <w:t>Το Ευρωπαϊκό Κοινοβούλιο</w:t>
      </w:r>
      <w:r w:rsidRPr="00A521AA">
        <w:t>,</w:t>
      </w:r>
    </w:p>
    <w:p w:rsidR="00493CBC" w:rsidRPr="00A521AA" w:rsidRDefault="00493CBC" w:rsidP="00493CBC">
      <w:pPr>
        <w:pStyle w:val="NormalHanging12a"/>
      </w:pPr>
      <w:r w:rsidRPr="00A521AA">
        <w:t>–</w:t>
      </w:r>
      <w:r w:rsidRPr="00A521AA">
        <w:tab/>
        <w:t>έχοντας υπόψη τους οριστικούς ετήσιους λογαριασμούς του Οργανισμού της Ευρωπαϊκής Ένωσης για το Άσυλο για το οικονομικό έτος 2022,</w:t>
      </w:r>
    </w:p>
    <w:p w:rsidR="00493CBC" w:rsidRPr="00A521AA" w:rsidRDefault="00493CBC" w:rsidP="00493CBC">
      <w:pPr>
        <w:pStyle w:val="NormalHanging12a"/>
      </w:pPr>
      <w:r w:rsidRPr="00A521AA">
        <w:t>–</w:t>
      </w:r>
      <w:r w:rsidRPr="00A521AA">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A521AA">
        <w:rPr>
          <w:rStyle w:val="FootnoteReference"/>
        </w:rPr>
        <w:footnoteReference w:id="1"/>
      </w:r>
      <w:r w:rsidRPr="00A521AA">
        <w:t>,</w:t>
      </w:r>
    </w:p>
    <w:p w:rsidR="00493CBC" w:rsidRPr="00A521AA" w:rsidRDefault="00493CBC" w:rsidP="00493CBC">
      <w:pPr>
        <w:pStyle w:val="NormalHanging12a"/>
      </w:pPr>
      <w:r w:rsidRPr="00A521AA">
        <w:t>–</w:t>
      </w:r>
      <w:r w:rsidRPr="00A521AA">
        <w:tab/>
        <w:t>έχοντας υπόψη τη δήλωση αξιοπιστίας</w:t>
      </w:r>
      <w:r w:rsidRPr="00A521AA">
        <w:rPr>
          <w:rStyle w:val="FootnoteReference"/>
        </w:rPr>
        <w:footnoteReference w:id="2"/>
      </w:r>
      <w:r w:rsidRPr="00A521AA">
        <w:t xml:space="preserve"> η οποία βεβαιώνει την ακρίβεια των λογαριασμών και τη νομιμότητα και κανονικότητα των σχετικών πράξεων, την οποία </w:t>
      </w:r>
      <w:proofErr w:type="spellStart"/>
      <w:r w:rsidRPr="00A521AA">
        <w:t>ενεχείρισε</w:t>
      </w:r>
      <w:proofErr w:type="spellEnd"/>
      <w:r w:rsidRPr="00A521AA">
        <w:t xml:space="preserve"> το Ελεγκτικό Συνέδριο για το οικονομικό έτος 2022, σύμφωνα με το άρθρο 287 της Συνθήκης για τη λειτουργία της Ευρωπαϊκής Ένωσης,</w:t>
      </w:r>
    </w:p>
    <w:p w:rsidR="00493CBC" w:rsidRPr="00A521AA" w:rsidRDefault="00493CBC" w:rsidP="00493CBC">
      <w:pPr>
        <w:pStyle w:val="NormalHanging12a"/>
      </w:pPr>
      <w:r w:rsidRPr="00A521AA">
        <w:t>–</w:t>
      </w:r>
      <w:r w:rsidRPr="00A521AA">
        <w:tab/>
        <w:t>έχοντας υπόψη τη σύσταση του Συμβουλίου, της 22ας Φεβρουαρίου 2024, σχετικά με την απαλλαγή της Υπηρεσίας όσον αφορά την εκτέλεση του προϋπολογισμού για το οικονομικό έτος 2022 (</w:t>
      </w:r>
      <w:r w:rsidR="00283567" w:rsidRPr="00A521AA">
        <w:t>0</w:t>
      </w:r>
      <w:r w:rsidR="00283567">
        <w:t>6180</w:t>
      </w:r>
      <w:r w:rsidRPr="00A521AA">
        <w:t>/2024 – C9</w:t>
      </w:r>
      <w:r w:rsidRPr="00A521AA">
        <w:noBreakHyphen/>
      </w:r>
      <w:r w:rsidR="00283567" w:rsidRPr="00A521AA">
        <w:t>0</w:t>
      </w:r>
      <w:r w:rsidR="00283567">
        <w:t>102</w:t>
      </w:r>
      <w:r w:rsidRPr="00A521AA">
        <w:t>/2024),</w:t>
      </w:r>
    </w:p>
    <w:p w:rsidR="00493CBC" w:rsidRPr="00A521AA" w:rsidRDefault="00493CBC" w:rsidP="00493CBC">
      <w:pPr>
        <w:pStyle w:val="NormalHanging12a"/>
      </w:pPr>
      <w:r w:rsidRPr="00A521AA">
        <w:t>–</w:t>
      </w:r>
      <w:r w:rsidRPr="00A521AA">
        <w:tab/>
        <w:t>έχοντας υπόψη το άρθρο 319 της Συνθήκης για τη λειτουργία της Ευρωπαϊκής Ένωσης,</w:t>
      </w:r>
    </w:p>
    <w:p w:rsidR="00493CBC" w:rsidRPr="00A521AA" w:rsidRDefault="00493CBC" w:rsidP="00493CBC">
      <w:pPr>
        <w:pStyle w:val="NormalHanging12a"/>
      </w:pPr>
      <w:r w:rsidRPr="00A521AA">
        <w:t>–</w:t>
      </w:r>
      <w:r w:rsidRPr="00A521AA">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w:t>
      </w:r>
      <w:r w:rsidRPr="00A521AA">
        <w:lastRenderedPageBreak/>
        <w:t>την κατάργηση του κανονισμού (ΕΕ, Ευρατόμ) αριθ. 966/2012</w:t>
      </w:r>
      <w:r w:rsidRPr="00A521AA">
        <w:rPr>
          <w:rStyle w:val="FootnoteReference"/>
        </w:rPr>
        <w:footnoteReference w:id="3"/>
      </w:r>
      <w:r w:rsidRPr="00A521AA">
        <w:t>, και ιδίως το άρθρο 70,</w:t>
      </w:r>
    </w:p>
    <w:p w:rsidR="00493CBC" w:rsidRPr="00A521AA" w:rsidRDefault="00493CBC" w:rsidP="00493CBC">
      <w:pPr>
        <w:pStyle w:val="NormalHanging12a"/>
      </w:pPr>
      <w:r w:rsidRPr="00A521AA">
        <w:t>–</w:t>
      </w:r>
      <w:r w:rsidRPr="00A521AA">
        <w:tab/>
        <w:t>έχοντας υπόψη τον κανονισμό (ΕΕ) αριθ. 439/2010 του Ευρωπαϊκού Κοινοβουλίου και του Συμβουλίου, της 19ης Μαΐου 2010, για την ίδρυση Ευρωπαϊκής Υπηρεσίας Υποστήριξης για το Άσυλο</w:t>
      </w:r>
      <w:r w:rsidRPr="00A521AA">
        <w:rPr>
          <w:rStyle w:val="FootnoteReference"/>
        </w:rPr>
        <w:footnoteReference w:id="4"/>
      </w:r>
      <w:r w:rsidRPr="00A521AA">
        <w:t>, ιδίως το άρθρο 36,</w:t>
      </w:r>
    </w:p>
    <w:p w:rsidR="00493CBC" w:rsidRPr="00A521AA" w:rsidRDefault="00493CBC" w:rsidP="00493CBC">
      <w:pPr>
        <w:pStyle w:val="NormalHanging12a"/>
      </w:pPr>
      <w:r w:rsidRPr="00A521AA">
        <w:t>–</w:t>
      </w:r>
      <w:r w:rsidRPr="00A521AA">
        <w:tab/>
        <w:t>έχοντας υπόψη τον κανονισμό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w:t>
      </w:r>
      <w:r w:rsidRPr="00A521AA">
        <w:rPr>
          <w:rStyle w:val="FootnoteReference"/>
        </w:rPr>
        <w:footnoteReference w:id="5"/>
      </w:r>
      <w:r w:rsidRPr="00A521AA">
        <w:t>, και ιδίως το άρθρο 55,</w:t>
      </w:r>
    </w:p>
    <w:p w:rsidR="00493CBC" w:rsidRPr="00A521AA" w:rsidRDefault="00493CBC" w:rsidP="00493CBC">
      <w:pPr>
        <w:pStyle w:val="NormalHanging12a"/>
      </w:pPr>
      <w:r w:rsidRPr="00A521AA">
        <w:t>–</w:t>
      </w:r>
      <w:r w:rsidRPr="00A521AA">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A521AA">
        <w:rPr>
          <w:rStyle w:val="FootnoteReference"/>
        </w:rPr>
        <w:footnoteReference w:id="6"/>
      </w:r>
      <w:r w:rsidRPr="00A521AA">
        <w:t>, και ιδίως το άρθρο 105,</w:t>
      </w:r>
    </w:p>
    <w:p w:rsidR="00493CBC" w:rsidRPr="00A521AA" w:rsidRDefault="00493CBC" w:rsidP="00493CBC">
      <w:pPr>
        <w:pStyle w:val="NormalHanging12a"/>
      </w:pPr>
      <w:r w:rsidRPr="00A521AA">
        <w:t>–</w:t>
      </w:r>
      <w:r w:rsidRPr="00A521AA">
        <w:tab/>
        <w:t>έχοντας υπόψη το άρθρο 100 και το παράρτημα V του Κανονισμού του,</w:t>
      </w:r>
    </w:p>
    <w:p w:rsidR="00493CBC" w:rsidRPr="00A521AA" w:rsidRDefault="00493CBC" w:rsidP="00493CBC">
      <w:pPr>
        <w:pStyle w:val="NormalHanging12a"/>
      </w:pPr>
      <w:r w:rsidRPr="00A521AA">
        <w:t>–</w:t>
      </w:r>
      <w:r w:rsidRPr="00A521AA">
        <w:tab/>
        <w:t>έχοντας υπόψη τη γνωμοδότηση της Επιτροπής Πολιτικών Ελευθεριών, Δικαιοσύνης και Εσωτερικών Υποθέσεων,</w:t>
      </w:r>
    </w:p>
    <w:p w:rsidR="00493CBC" w:rsidRPr="00A521AA" w:rsidRDefault="00493CBC" w:rsidP="00493CBC">
      <w:pPr>
        <w:pStyle w:val="NormalHanging12a"/>
      </w:pPr>
      <w:r w:rsidRPr="00A521AA">
        <w:t>–</w:t>
      </w:r>
      <w:r w:rsidRPr="00A521AA">
        <w:tab/>
        <w:t>έχοντας υπόψη την έκθεση της Επιτροπής Ελέγχου του Προϋπολογισμού (A9-0106/2024),</w:t>
      </w:r>
    </w:p>
    <w:p w:rsidR="00493CBC" w:rsidRPr="00A521AA" w:rsidRDefault="00994EE9" w:rsidP="00994EE9">
      <w:pPr>
        <w:pStyle w:val="NormalHanging12a"/>
        <w:ind w:hanging="570"/>
      </w:pPr>
      <w:r w:rsidRPr="00A521AA">
        <w:t>1.</w:t>
      </w:r>
      <w:r w:rsidRPr="00A521AA">
        <w:tab/>
      </w:r>
      <w:r w:rsidR="00493CBC" w:rsidRPr="00A521AA">
        <w:t>χορηγεί απαλλαγή στην εκτελεστική διευθύντρια του Οργανισμού της Ευρωπαϊκής Ένωσης για το Άσυλο όσον αφορά την εκτέλεση του προϋπολογισμού του Οργανισμού για το οικονομικό έτος 2022·</w:t>
      </w:r>
    </w:p>
    <w:p w:rsidR="00493CBC" w:rsidRPr="00A521AA" w:rsidRDefault="00994EE9" w:rsidP="00994EE9">
      <w:pPr>
        <w:pStyle w:val="NormalHanging12a"/>
        <w:ind w:hanging="570"/>
      </w:pPr>
      <w:r w:rsidRPr="00A521AA">
        <w:t>2.</w:t>
      </w:r>
      <w:r w:rsidRPr="00A521AA">
        <w:tab/>
      </w:r>
      <w:r w:rsidR="00493CBC" w:rsidRPr="00A521AA">
        <w:t>εκθέτει τις παρατηρήσεις του στο ψήφισμα που ακολουθεί·</w:t>
      </w:r>
    </w:p>
    <w:p w:rsidR="00493CBC" w:rsidRPr="00A521AA" w:rsidRDefault="00994EE9" w:rsidP="00994EE9">
      <w:pPr>
        <w:pStyle w:val="NormalHanging12a"/>
        <w:ind w:hanging="570"/>
      </w:pPr>
      <w:r w:rsidRPr="00A521AA">
        <w:t>3.</w:t>
      </w:r>
      <w:r w:rsidRPr="00A521AA">
        <w:tab/>
      </w:r>
      <w:r w:rsidR="00493CBC" w:rsidRPr="00A521AA">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Οργανισμού της Ευρωπαϊκής Ένωσης για το Άσυλο, στο Συμβούλιο, στην Επιτροπή και στο Ελεγκτικό Συνέδριο, και να μεριμνήσει για τη δημοσίευσή τους στην </w:t>
      </w:r>
      <w:r w:rsidR="00493CBC" w:rsidRPr="00A521AA">
        <w:rPr>
          <w:i/>
        </w:rPr>
        <w:t>Επίσημη Εφημερίδα της Ευρωπαϊκής Ένωσης</w:t>
      </w:r>
      <w:r w:rsidR="00493CBC" w:rsidRPr="00A521AA">
        <w:t xml:space="preserve"> (σειρά L).</w:t>
      </w:r>
    </w:p>
    <w:p w:rsidR="00493CBC" w:rsidRPr="00A521AA" w:rsidRDefault="00493CBC" w:rsidP="00493CBC"/>
    <w:p w:rsidR="00493CBC" w:rsidRPr="00A521AA" w:rsidRDefault="00493CBC" w:rsidP="00493CBC">
      <w:pPr>
        <w:widowControl/>
        <w:rPr>
          <w:rFonts w:ascii="Arial" w:hAnsi="Arial" w:cs="Arial"/>
          <w:b/>
        </w:rPr>
        <w:sectPr w:rsidR="00493CBC" w:rsidRPr="00A521AA" w:rsidSect="00A521AA">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493CBC" w:rsidRPr="00A521AA" w:rsidRDefault="00F67DC7" w:rsidP="00F67DC7">
      <w:pPr>
        <w:pStyle w:val="ATHeading3"/>
      </w:pPr>
      <w:r>
        <w:lastRenderedPageBreak/>
        <w:t xml:space="preserve">2. Απόφαση του Ευρωπαϊκού Κοινοβουλίου </w:t>
      </w:r>
      <w:r w:rsidR="00283567">
        <w:t xml:space="preserve">της 11ης Απριλίου 2024 </w:t>
      </w:r>
      <w:r w:rsidR="00493CBC" w:rsidRPr="00A521AA">
        <w:t>σχετικά με το κλείσιμο των λογαριασμών του Οργανισμού της Ευρωπαϊκής Ένωσης για το Άσυλο (πριν από την 19.1.2022, Ευρωπαϊκή Υπηρεσία Υποστήριξης για το Άσυλο) για το οικονομικό έτος 2022</w:t>
      </w:r>
      <w:r>
        <w:t xml:space="preserve"> </w:t>
      </w:r>
      <w:r w:rsidR="00493CBC" w:rsidRPr="00A521AA">
        <w:t>(2023/2164(DEC))</w:t>
      </w:r>
    </w:p>
    <w:p w:rsidR="00493CBC" w:rsidRPr="00A521AA" w:rsidRDefault="00493CBC" w:rsidP="00493CBC">
      <w:pPr>
        <w:pStyle w:val="EPComma"/>
      </w:pPr>
      <w:r w:rsidRPr="00A521AA">
        <w:rPr>
          <w:i/>
        </w:rPr>
        <w:t>Το Ευρωπαϊκό Κοινοβούλιο</w:t>
      </w:r>
      <w:r w:rsidRPr="00A521AA">
        <w:t>,</w:t>
      </w:r>
    </w:p>
    <w:p w:rsidR="00493CBC" w:rsidRPr="00A521AA" w:rsidRDefault="00493CBC" w:rsidP="00493CBC">
      <w:pPr>
        <w:pStyle w:val="NormalHanging12a"/>
      </w:pPr>
      <w:r w:rsidRPr="00A521AA">
        <w:t>–</w:t>
      </w:r>
      <w:r w:rsidRPr="00A521AA">
        <w:tab/>
        <w:t>έχοντας υπόψη τους οριστικούς ετήσιους λογαριασμούς του Οργανισμού της Ευρωπαϊκής Ένωσης για το Άσυλο για το οικονομικό έτος 2022,</w:t>
      </w:r>
    </w:p>
    <w:p w:rsidR="00493CBC" w:rsidRPr="00A521AA" w:rsidRDefault="00493CBC" w:rsidP="00493CBC">
      <w:pPr>
        <w:pStyle w:val="NormalHanging12a"/>
      </w:pPr>
      <w:r w:rsidRPr="00A521AA">
        <w:t>–</w:t>
      </w:r>
      <w:r w:rsidRPr="00A521AA">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A521AA">
        <w:rPr>
          <w:rStyle w:val="FootnoteReference"/>
        </w:rPr>
        <w:footnoteReference w:id="7"/>
      </w:r>
      <w:r w:rsidRPr="00A521AA">
        <w:t>,</w:t>
      </w:r>
    </w:p>
    <w:p w:rsidR="00493CBC" w:rsidRPr="00A521AA" w:rsidRDefault="00493CBC" w:rsidP="00493CBC">
      <w:pPr>
        <w:pStyle w:val="NormalHanging12a"/>
      </w:pPr>
      <w:r w:rsidRPr="00A521AA">
        <w:t>–</w:t>
      </w:r>
      <w:r w:rsidRPr="00A521AA">
        <w:tab/>
        <w:t>έχοντας υπόψη τη δήλωση αξιοπιστίας</w:t>
      </w:r>
      <w:r w:rsidRPr="00A521AA">
        <w:rPr>
          <w:rStyle w:val="FootnoteReference"/>
        </w:rPr>
        <w:footnoteReference w:id="8"/>
      </w:r>
      <w:r w:rsidRPr="00A521AA">
        <w:t xml:space="preserve"> η οποία βεβαιώνει την ακρίβεια των λογαριασμών και τη νομιμότητα και κανονικότητα των σχετικών πράξεων, την οποία </w:t>
      </w:r>
      <w:proofErr w:type="spellStart"/>
      <w:r w:rsidRPr="00A521AA">
        <w:t>ενεχείρισε</w:t>
      </w:r>
      <w:proofErr w:type="spellEnd"/>
      <w:r w:rsidRPr="00A521AA">
        <w:t xml:space="preserve"> το Ελεγκτικό Συνέδριο για το οικονομικό έτος 2022, σύμφωνα με το άρθρο 287 της Συνθήκης για τη λειτουργία της Ευρωπαϊκής Ένωσης,</w:t>
      </w:r>
    </w:p>
    <w:p w:rsidR="00493CBC" w:rsidRPr="00A521AA" w:rsidRDefault="00493CBC" w:rsidP="00493CBC">
      <w:pPr>
        <w:pStyle w:val="NormalHanging12a"/>
      </w:pPr>
      <w:r w:rsidRPr="00A521AA">
        <w:t>–</w:t>
      </w:r>
      <w:r w:rsidRPr="00A521AA">
        <w:tab/>
        <w:t>έχοντας υπόψη τη σύσταση του Συμβουλίου, της 22ας Φεβρουαρίου 2024, σχετικά με την απαλλαγή της Υπηρεσίας όσον αφορά την εκτέλεση του προϋπολογισμού για το οικονομικό έτος 2022 (</w:t>
      </w:r>
      <w:r w:rsidR="00283567" w:rsidRPr="00A521AA">
        <w:t>0</w:t>
      </w:r>
      <w:r w:rsidR="00283567">
        <w:t>6180</w:t>
      </w:r>
      <w:r w:rsidRPr="00A521AA">
        <w:t>/2024 – C9</w:t>
      </w:r>
      <w:r w:rsidRPr="00A521AA">
        <w:noBreakHyphen/>
      </w:r>
      <w:r w:rsidR="00283567">
        <w:t>0102</w:t>
      </w:r>
      <w:r w:rsidRPr="00A521AA">
        <w:t>/2024),</w:t>
      </w:r>
    </w:p>
    <w:p w:rsidR="00493CBC" w:rsidRPr="00A521AA" w:rsidRDefault="00493CBC" w:rsidP="00493CBC">
      <w:pPr>
        <w:pStyle w:val="NormalHanging12a"/>
      </w:pPr>
      <w:r w:rsidRPr="00A521AA">
        <w:t>–</w:t>
      </w:r>
      <w:r w:rsidRPr="00A521AA">
        <w:tab/>
        <w:t>έχοντας υπόψη το άρθρο 319 της Συνθήκης για τη λειτουργία της Ευρωπαϊκής Ένωσης,</w:t>
      </w:r>
    </w:p>
    <w:p w:rsidR="00493CBC" w:rsidRPr="00A521AA" w:rsidRDefault="00493CBC" w:rsidP="00493CBC">
      <w:pPr>
        <w:pStyle w:val="NormalHanging12a"/>
      </w:pPr>
      <w:r w:rsidRPr="00A521AA">
        <w:t>–</w:t>
      </w:r>
      <w:r w:rsidRPr="00A521AA">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A521AA">
        <w:rPr>
          <w:rStyle w:val="FootnoteReference"/>
        </w:rPr>
        <w:footnoteReference w:id="9"/>
      </w:r>
      <w:r w:rsidRPr="00A521AA">
        <w:t>, και ιδίως το άρθρο 70,</w:t>
      </w:r>
    </w:p>
    <w:p w:rsidR="00493CBC" w:rsidRPr="00A521AA" w:rsidRDefault="00493CBC" w:rsidP="00493CBC">
      <w:pPr>
        <w:pStyle w:val="NormalHanging12a"/>
      </w:pPr>
      <w:r w:rsidRPr="00A521AA">
        <w:t>–</w:t>
      </w:r>
      <w:r w:rsidRPr="00A521AA">
        <w:tab/>
        <w:t>έχοντας υπόψη τον κανονισμό (ΕΕ) αριθ. 439/2010 του Ευρωπαϊκού Κοινοβουλίου και του Συμβουλίου, της 19ης Μαΐου 2010, για την ίδρυση Ευρωπαϊκής Υπηρεσίας Υποστήριξης για το Άσυλο</w:t>
      </w:r>
      <w:r w:rsidRPr="00A521AA">
        <w:rPr>
          <w:rStyle w:val="FootnoteReference"/>
        </w:rPr>
        <w:footnoteReference w:id="10"/>
      </w:r>
      <w:r w:rsidRPr="00A521AA">
        <w:t>, ιδίως το άρθρο 36,</w:t>
      </w:r>
    </w:p>
    <w:p w:rsidR="00493CBC" w:rsidRPr="00A521AA" w:rsidRDefault="00493CBC" w:rsidP="00493CBC">
      <w:pPr>
        <w:pStyle w:val="NormalHanging12a"/>
      </w:pPr>
      <w:r w:rsidRPr="00A521AA">
        <w:t>–</w:t>
      </w:r>
      <w:r w:rsidRPr="00A521AA">
        <w:tab/>
        <w:t>έχοντας υπόψη τον κανονισμό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w:t>
      </w:r>
      <w:r w:rsidRPr="00A521AA">
        <w:rPr>
          <w:rStyle w:val="FootnoteReference"/>
        </w:rPr>
        <w:footnoteReference w:id="11"/>
      </w:r>
      <w:r w:rsidRPr="00A521AA">
        <w:t>, και ιδίως το άρθρο 55,</w:t>
      </w:r>
    </w:p>
    <w:p w:rsidR="00493CBC" w:rsidRPr="00A521AA" w:rsidRDefault="00493CBC" w:rsidP="00493CBC">
      <w:pPr>
        <w:pStyle w:val="NormalHanging12a"/>
      </w:pPr>
      <w:r w:rsidRPr="00A521AA">
        <w:t>–</w:t>
      </w:r>
      <w:r w:rsidRPr="00A521AA">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A521AA">
        <w:lastRenderedPageBreak/>
        <w:t>Ευρωπαϊκού Κοινοβουλίου και του Συμβουλίου</w:t>
      </w:r>
      <w:r w:rsidRPr="00A521AA">
        <w:rPr>
          <w:rStyle w:val="FootnoteReference"/>
        </w:rPr>
        <w:footnoteReference w:id="12"/>
      </w:r>
      <w:r w:rsidRPr="00A521AA">
        <w:t>, και ιδίως το άρθρο 105,</w:t>
      </w:r>
    </w:p>
    <w:p w:rsidR="00493CBC" w:rsidRPr="00A521AA" w:rsidRDefault="00493CBC" w:rsidP="00493CBC">
      <w:pPr>
        <w:pStyle w:val="NormalHanging12a"/>
      </w:pPr>
      <w:r w:rsidRPr="00A521AA">
        <w:t>–</w:t>
      </w:r>
      <w:r w:rsidRPr="00A521AA">
        <w:tab/>
        <w:t>έχοντας υπόψη το άρθρο 100 και το παράρτημα V του Κανονισμού του,</w:t>
      </w:r>
    </w:p>
    <w:p w:rsidR="00493CBC" w:rsidRPr="00A521AA" w:rsidRDefault="00493CBC" w:rsidP="00493CBC">
      <w:pPr>
        <w:pStyle w:val="NormalHanging12a"/>
      </w:pPr>
      <w:r w:rsidRPr="00A521AA">
        <w:t>–</w:t>
      </w:r>
      <w:r w:rsidRPr="00A521AA">
        <w:tab/>
        <w:t>έχοντας υπόψη τη γνωμοδότηση της Επιτροπής Πολιτικών Ελευθεριών, Δικαιοσύνης και Εσωτερικών Υποθέσεων,</w:t>
      </w:r>
    </w:p>
    <w:p w:rsidR="00493CBC" w:rsidRPr="00A521AA" w:rsidRDefault="00493CBC" w:rsidP="00493CBC">
      <w:pPr>
        <w:pStyle w:val="NormalHanging12a"/>
      </w:pPr>
      <w:r w:rsidRPr="00A521AA">
        <w:t>–</w:t>
      </w:r>
      <w:r w:rsidRPr="00A521AA">
        <w:tab/>
        <w:t>έχοντας υπόψη την έκθεση της Επιτροπής Ελέγχου του Προϋπολογισμού (A9-0106/2024),</w:t>
      </w:r>
    </w:p>
    <w:p w:rsidR="00493CBC" w:rsidRPr="00A521AA" w:rsidRDefault="00994EE9" w:rsidP="00994EE9">
      <w:pPr>
        <w:pStyle w:val="NormalHanging12a"/>
        <w:ind w:hanging="570"/>
      </w:pPr>
      <w:r w:rsidRPr="00A521AA">
        <w:t>1.</w:t>
      </w:r>
      <w:r w:rsidRPr="00A521AA">
        <w:tab/>
      </w:r>
      <w:r w:rsidR="00493CBC" w:rsidRPr="00A521AA">
        <w:t>εγκρίνει το κλείσιμο των λογαριασμών του Οργανισμού της Ευρωπαϊκής Ένωσης για το Άσυλο για το οικονομικό έτος 2022·</w:t>
      </w:r>
    </w:p>
    <w:p w:rsidR="00493CBC" w:rsidRPr="00A521AA" w:rsidRDefault="00994EE9" w:rsidP="00994EE9">
      <w:pPr>
        <w:pStyle w:val="NormalHanging12a"/>
        <w:ind w:hanging="570"/>
      </w:pPr>
      <w:r w:rsidRPr="00A521AA">
        <w:t>2.</w:t>
      </w:r>
      <w:r w:rsidRPr="00A521AA">
        <w:tab/>
      </w:r>
      <w:r w:rsidR="00493CBC" w:rsidRPr="00A521AA">
        <w:t xml:space="preserve">αναθέτει στην Πρόεδρό του να διαβιβάσει την παρούσα απόφαση στην εκτελεστική διευθύντρια του Οργανισμού της Ευρωπαϊκής Ένωσης για το Άσυλο, στο Συμβούλιο, στην Επιτροπή και στο Ελεγκτικό Συνέδριο, και να μεριμνήσει για τη δημοσίευσή της στην </w:t>
      </w:r>
      <w:r w:rsidR="00493CBC" w:rsidRPr="00A521AA">
        <w:rPr>
          <w:i/>
        </w:rPr>
        <w:t>Επίσημη Εφημερίδα της Ευρωπαϊκής Ένωσης</w:t>
      </w:r>
      <w:r w:rsidR="00493CBC" w:rsidRPr="00A521AA">
        <w:t xml:space="preserve"> (σειρά L).</w:t>
      </w:r>
    </w:p>
    <w:p w:rsidR="00493CBC" w:rsidRPr="00A521AA" w:rsidRDefault="00493CBC" w:rsidP="00493CBC"/>
    <w:p w:rsidR="00493CBC" w:rsidRPr="00A521AA" w:rsidRDefault="00493CBC" w:rsidP="00493CBC">
      <w:pPr>
        <w:widowControl/>
        <w:rPr>
          <w:rFonts w:ascii="Arial" w:hAnsi="Arial" w:cs="Arial"/>
          <w:b/>
        </w:rPr>
        <w:sectPr w:rsidR="00493CBC" w:rsidRPr="00A521AA" w:rsidSect="00A521AA">
          <w:footnotePr>
            <w:numRestart w:val="eachPage"/>
          </w:footnotePr>
          <w:endnotePr>
            <w:numFmt w:val="decimal"/>
          </w:endnotePr>
          <w:pgSz w:w="11906" w:h="16838"/>
          <w:pgMar w:top="1134" w:right="1418" w:bottom="1418" w:left="1418" w:header="567" w:footer="567" w:gutter="0"/>
          <w:cols w:space="720"/>
          <w:docGrid w:linePitch="326"/>
        </w:sectPr>
      </w:pPr>
    </w:p>
    <w:p w:rsidR="00493CBC" w:rsidRPr="00A521AA" w:rsidRDefault="00F67DC7" w:rsidP="00F67DC7">
      <w:pPr>
        <w:pStyle w:val="ATHeading3"/>
      </w:pPr>
      <w:r>
        <w:lastRenderedPageBreak/>
        <w:t xml:space="preserve">3. Ψήφισμα του Ευρωπαϊκού Κοινοβουλίου </w:t>
      </w:r>
      <w:r w:rsidR="00283567">
        <w:t xml:space="preserve">της 11ης Απριλίου 2024 </w:t>
      </w:r>
      <w:r w:rsidR="00493CBC" w:rsidRPr="00A521AA">
        <w:t>με τις παρατηρήσεις που αποτελούν αναπόσπαστο μέρος της απόφασης σχετικά με την απαλλαγή όσον αφορά την εκτέλεση του προϋπολογισμού του Οργανισμού της Ευρωπαϊκής Ένωσης για το Άσυλο (πριν από την 19.1.202</w:t>
      </w:r>
      <w:r w:rsidR="00ED1DCB">
        <w:t>2</w:t>
      </w:r>
      <w:r w:rsidR="00493CBC" w:rsidRPr="00A521AA">
        <w:t>, Ευρωπαϊκή Υπηρεσία Υποστήριξης για το Άσυλο) για το οικονομικό έτος 2022</w:t>
      </w:r>
      <w:r>
        <w:t xml:space="preserve"> </w:t>
      </w:r>
      <w:r w:rsidR="00493CBC" w:rsidRPr="00A521AA">
        <w:t>(2023/2164(DEC))</w:t>
      </w:r>
    </w:p>
    <w:p w:rsidR="00493CBC" w:rsidRPr="00A521AA" w:rsidRDefault="00493CBC" w:rsidP="00493CBC">
      <w:pPr>
        <w:pStyle w:val="EPComma"/>
      </w:pPr>
      <w:r w:rsidRPr="00A521AA">
        <w:rPr>
          <w:i/>
        </w:rPr>
        <w:t>Το Ευρωπαϊκό Κοινοβούλιο</w:t>
      </w:r>
      <w:r w:rsidRPr="00A521AA">
        <w:t>,</w:t>
      </w:r>
    </w:p>
    <w:p w:rsidR="00493CBC" w:rsidRPr="00A521AA" w:rsidRDefault="00493CBC" w:rsidP="00493CBC">
      <w:pPr>
        <w:pStyle w:val="NormalHanging12a"/>
      </w:pPr>
      <w:r w:rsidRPr="00A521AA">
        <w:t>–</w:t>
      </w:r>
      <w:r w:rsidRPr="00A521AA">
        <w:tab/>
        <w:t>έχοντας υπόψη την απόφασή του σχετικά με την απαλλαγή όσον αφορά την εκτέλεση του προϋπολογισμού του Οργανισμού της Ευρωπαϊκής Ένωσης για το Άσυλο για το οικονομικό έτος 2022·</w:t>
      </w:r>
    </w:p>
    <w:p w:rsidR="00493CBC" w:rsidRPr="00A521AA" w:rsidRDefault="00493CBC" w:rsidP="00493CBC">
      <w:pPr>
        <w:pStyle w:val="NormalHanging12a"/>
      </w:pPr>
      <w:r w:rsidRPr="00A521AA">
        <w:t>–</w:t>
      </w:r>
      <w:r w:rsidRPr="00A521AA">
        <w:tab/>
        <w:t>έχοντας υπόψη το άρθρο 100 και το παράρτημα V του Κανονισμού του,</w:t>
      </w:r>
    </w:p>
    <w:p w:rsidR="00493CBC" w:rsidRPr="00A521AA" w:rsidRDefault="00493CBC" w:rsidP="00493CBC">
      <w:pPr>
        <w:pStyle w:val="NormalHanging12a"/>
      </w:pPr>
      <w:r w:rsidRPr="00A521AA">
        <w:t>–</w:t>
      </w:r>
      <w:r w:rsidRPr="00A521AA">
        <w:tab/>
        <w:t>έχοντας υπόψη τη γνωμοδότηση της Επιτροπής Πολιτικών Ελευθεριών, Δικαιοσύνης και Εσωτερικών Υποθέσεων,</w:t>
      </w:r>
    </w:p>
    <w:p w:rsidR="00493CBC" w:rsidRPr="00A521AA" w:rsidRDefault="00493CBC" w:rsidP="00493CBC">
      <w:pPr>
        <w:pStyle w:val="NormalHanging12a"/>
      </w:pPr>
      <w:r w:rsidRPr="00A521AA">
        <w:t>–</w:t>
      </w:r>
      <w:r w:rsidRPr="00A521AA">
        <w:tab/>
        <w:t>έχοντας υπόψη την έκθεση της Επιτροπής Ελέγχου του Προϋπολογισμού (A9-0106/2024),</w:t>
      </w:r>
      <w:bookmarkStart w:id="8" w:name="_GoBack"/>
      <w:bookmarkEnd w:id="8"/>
    </w:p>
    <w:p w:rsidR="00493CBC" w:rsidRPr="00A521AA" w:rsidRDefault="00493CBC" w:rsidP="00493CBC">
      <w:pPr>
        <w:pStyle w:val="Normal12Hanging"/>
        <w:rPr>
          <w:color w:val="000000" w:themeColor="text1"/>
          <w:szCs w:val="24"/>
          <w:lang w:val="el-GR"/>
        </w:rPr>
      </w:pPr>
      <w:r w:rsidRPr="00A521AA">
        <w:rPr>
          <w:lang w:val="el-GR"/>
        </w:rPr>
        <w:t>Α.</w:t>
      </w:r>
      <w:r w:rsidRPr="00A521AA">
        <w:rPr>
          <w:lang w:val="el-GR"/>
        </w:rPr>
        <w:tab/>
      </w:r>
      <w:r w:rsidRPr="00A521AA">
        <w:rPr>
          <w:color w:val="000000" w:themeColor="text1"/>
          <w:lang w:val="el-GR"/>
        </w:rPr>
        <w:t>λαμβάνοντας υπόψη ότι, σύμφωνα με την κατάσταση εσόδων και δαπανών του</w:t>
      </w:r>
      <w:r w:rsidRPr="00A521AA">
        <w:rPr>
          <w:rStyle w:val="FootnoteReference"/>
          <w:color w:val="000000" w:themeColor="text1"/>
          <w:szCs w:val="24"/>
          <w:lang w:val="el-GR"/>
        </w:rPr>
        <w:footnoteReference w:id="13"/>
      </w:r>
      <w:r w:rsidRPr="00A521AA">
        <w:rPr>
          <w:color w:val="000000" w:themeColor="text1"/>
          <w:lang w:val="el-GR"/>
        </w:rPr>
        <w:t>, ο οριστικός προϋπολογισμός του Οργανισμού της Ευρωπαϊκής Ένωσης για το Άσυλο («ο Οργανισμός») για το οικονομικό έτος 2022 ανήλθε σε 186 842 192 EUR, ποσό που συνιστά αύξηση κατά 12,46 % σε σύγκριση με το 2021· λαμβάνοντας υπόψη ότι ο προϋπολογισμός της Υπηρεσίας προέρχεται κυρίως από τον προϋπολογισμό της Ένωσης·</w:t>
      </w:r>
    </w:p>
    <w:p w:rsidR="00493CBC" w:rsidRPr="00A521AA" w:rsidRDefault="00493CBC" w:rsidP="00493CBC">
      <w:pPr>
        <w:pStyle w:val="Normal12Hanging"/>
        <w:rPr>
          <w:color w:val="000000" w:themeColor="text1"/>
          <w:szCs w:val="24"/>
          <w:lang w:val="el-GR"/>
        </w:rPr>
      </w:pPr>
      <w:r w:rsidRPr="00A521AA">
        <w:rPr>
          <w:color w:val="000000" w:themeColor="text1"/>
          <w:lang w:val="el-GR"/>
        </w:rPr>
        <w:t>Β.</w:t>
      </w:r>
      <w:r w:rsidRPr="00A521AA">
        <w:rPr>
          <w:color w:val="000000" w:themeColor="text1"/>
          <w:lang w:val="el-GR"/>
        </w:rPr>
        <w:tab/>
        <w:t xml:space="preserve">λαμβάνοντας υπόψη ότι, τον Ιούνιο του 2022, ο Οργανισμός υπέγραψε συμφωνία συνεισφοράς με την Επιτροπή για την εφαρμογή της φάσης ΙΙΙ του Μηχανισμού </w:t>
      </w:r>
      <w:proofErr w:type="spellStart"/>
      <w:r w:rsidRPr="00A521AA">
        <w:rPr>
          <w:color w:val="000000" w:themeColor="text1"/>
          <w:lang w:val="el-GR"/>
        </w:rPr>
        <w:t>Προενταξιακής</w:t>
      </w:r>
      <w:proofErr w:type="spellEnd"/>
      <w:r w:rsidRPr="00A521AA">
        <w:rPr>
          <w:color w:val="000000" w:themeColor="text1"/>
          <w:lang w:val="el-GR"/>
        </w:rPr>
        <w:t xml:space="preserve"> Βοήθειας (ΜΠΒ) «Περιφερειακή στήριξη της ΕΕ σε ευαίσθητα ως προς την προστασία συστήματα διαχείρισης της μετανάστευσης στα Δυτικά Βαλκάνια, φάση III, σύμβαση 2» (εφεξής «ΜΠΒ ΙΙΙ – Δυτικά Βαλκάνια»), συνολικής αξίας 6 εκατομμυρίων EUR και περίοδο εφαρμογής 47 μηνών·</w:t>
      </w:r>
    </w:p>
    <w:p w:rsidR="00493CBC" w:rsidRPr="00A521AA" w:rsidRDefault="00493CBC" w:rsidP="00493CBC">
      <w:pPr>
        <w:pStyle w:val="Normal12Hanging"/>
        <w:rPr>
          <w:color w:val="000000" w:themeColor="text1"/>
          <w:szCs w:val="24"/>
          <w:lang w:val="el-GR"/>
        </w:rPr>
      </w:pPr>
      <w:r w:rsidRPr="00A521AA">
        <w:rPr>
          <w:color w:val="000000" w:themeColor="text1"/>
          <w:lang w:val="el-GR"/>
        </w:rPr>
        <w:t>Γ.</w:t>
      </w:r>
      <w:r w:rsidRPr="00A521AA">
        <w:rPr>
          <w:color w:val="000000" w:themeColor="text1"/>
          <w:lang w:val="el-GR"/>
        </w:rPr>
        <w:tab/>
        <w:t>λαμβάνοντας υπόψη ότι το 2022 σημειώθηκε σημαντική αύξηση του προϋπολογισμού του Οργανισμού λόγω των διευρυμένων καθηκόντων δυνάμει του κανονισμού (ΕΕ) 2021/2303, με στόχο να καταστεί ο Οργανισμός κέντρο εμπειρογνωσίας σε θέματα ασύλου·</w:t>
      </w:r>
    </w:p>
    <w:p w:rsidR="00493CBC" w:rsidRPr="00A521AA" w:rsidRDefault="00493CBC" w:rsidP="00493CBC">
      <w:pPr>
        <w:pStyle w:val="Normal12Hanging"/>
        <w:rPr>
          <w:color w:val="000000" w:themeColor="text1"/>
          <w:szCs w:val="24"/>
          <w:lang w:val="el-GR"/>
        </w:rPr>
      </w:pPr>
      <w:r w:rsidRPr="00A521AA">
        <w:rPr>
          <w:color w:val="000000" w:themeColor="text1"/>
          <w:lang w:val="el-GR"/>
        </w:rPr>
        <w:t>Δ.</w:t>
      </w:r>
      <w:r w:rsidRPr="00A521AA">
        <w:rPr>
          <w:color w:val="000000" w:themeColor="text1"/>
          <w:lang w:val="el-GR"/>
        </w:rPr>
        <w:tab/>
        <w:t>λαμβάνοντας υπόψη ότι στην Ένωση υπήρχαν σχεδόν 1 εκατομμύρια αιτούντες άσυλο και περίπου 4 εκατομμύρια δικαιούχοι προσωρινής προστασίας το 2022·</w:t>
      </w:r>
    </w:p>
    <w:p w:rsidR="00493CBC" w:rsidRPr="00A521AA" w:rsidRDefault="00493CBC" w:rsidP="00493CBC">
      <w:pPr>
        <w:spacing w:after="240"/>
        <w:ind w:left="567" w:hanging="567"/>
        <w:rPr>
          <w:color w:val="000000" w:themeColor="text1"/>
          <w:szCs w:val="24"/>
        </w:rPr>
      </w:pPr>
      <w:r w:rsidRPr="00A521AA">
        <w:rPr>
          <w:color w:val="000000" w:themeColor="text1"/>
        </w:rPr>
        <w:t>Ε.</w:t>
      </w:r>
      <w:r w:rsidRPr="00A521AA">
        <w:rPr>
          <w:color w:val="000000" w:themeColor="text1"/>
        </w:rPr>
        <w:tab/>
      </w:r>
      <w:r w:rsidRPr="00A521AA">
        <w:t>λαμβάνοντας υπόψη ότι, στην έκθεσή του για τους ετήσιους λογαριασμούς του Οργανισμού για το οικονομικό έτος 2022 («έκθεση του Ελεγκτικού Συνεδρίου»), το Ελεγκτικό Συνέδριο δηλώνει ότι αποκόμισε εύλογη βεβαιότητα ότι οι ετήσιοι λογαριασμοί του Οργανισμού είναι αξιόπιστοι και ότι οι πράξεις στις οποίες βασίζονται είναι νόμιμες και κανονικές·</w:t>
      </w:r>
    </w:p>
    <w:p w:rsidR="00493CBC" w:rsidRPr="00A521AA" w:rsidRDefault="00493CBC" w:rsidP="00493CBC">
      <w:pPr>
        <w:spacing w:after="240"/>
        <w:ind w:left="567" w:hanging="567"/>
        <w:rPr>
          <w:b/>
          <w:i/>
          <w:szCs w:val="24"/>
        </w:rPr>
      </w:pPr>
      <w:r w:rsidRPr="00A521AA">
        <w:rPr>
          <w:b/>
          <w:i/>
        </w:rPr>
        <w:lastRenderedPageBreak/>
        <w:t>Δημοσιονομική και χρηματοοικονομική διαχείριση</w:t>
      </w:r>
    </w:p>
    <w:p w:rsidR="00493CBC" w:rsidRPr="00A521AA" w:rsidRDefault="00994EE9" w:rsidP="00994EE9">
      <w:pPr>
        <w:pStyle w:val="NormalHanging12a"/>
        <w:ind w:hanging="570"/>
        <w:rPr>
          <w:szCs w:val="24"/>
        </w:rPr>
      </w:pPr>
      <w:r w:rsidRPr="00A521AA">
        <w:rPr>
          <w:szCs w:val="24"/>
        </w:rPr>
        <w:t>1.</w:t>
      </w:r>
      <w:r w:rsidRPr="00A521AA">
        <w:rPr>
          <w:szCs w:val="24"/>
        </w:rPr>
        <w:tab/>
      </w:r>
      <w:r w:rsidR="00493CBC" w:rsidRPr="00A521AA">
        <w:t>σημειώνει ότι οι προσπάθειες παρακολούθησης του προϋπολογισμού κατά τη διάρκεια του οικονομικού έτους 2022 είχαν ως αποτέλεσμα ποσοστό εκτέλεσης των πιστώσεων αναλήψεων υποχρεώσεων (ΠΑΥ) του τρέχοντος έτους ύψους 96,23 %, το οποίο συνιστά μικρή μείωση κατά 0,44 % σε σύγκριση με το 2021 (96,67%)· σημειώνει ότι το ποσοστό εκτέλεσης των πιστώσεων πληρωμών (ΠΠ) άγγιζε το 89,55 %, το οποίο συνιστά μείωση κατά 1,36 % σε σύγκριση με το προηγούμενο έτος (90,91 % το 2021)· σημειώνει με ανησυχία το σχετικά υψηλό ποσοστό ακύρωσης (15 %) των κονδυλίων που μεταφέρθηκαν από το 2021 στο 2022, με αποτέλεσμα να μην καλύπτεται το ποσοστό ετήσιου στόχου του Οργανισμού που είναι χαμηλότερο από 10 %·</w:t>
      </w:r>
    </w:p>
    <w:p w:rsidR="00493CBC" w:rsidRPr="00A521AA" w:rsidRDefault="00994EE9" w:rsidP="00994EE9">
      <w:pPr>
        <w:pStyle w:val="NormalHanging12a"/>
        <w:ind w:hanging="570"/>
        <w:rPr>
          <w:szCs w:val="24"/>
        </w:rPr>
      </w:pPr>
      <w:r w:rsidRPr="00A521AA">
        <w:rPr>
          <w:szCs w:val="24"/>
        </w:rPr>
        <w:t>2.</w:t>
      </w:r>
      <w:r w:rsidRPr="00A521AA">
        <w:rPr>
          <w:szCs w:val="24"/>
        </w:rPr>
        <w:tab/>
      </w:r>
      <w:r w:rsidR="00493CBC" w:rsidRPr="00A521AA">
        <w:t xml:space="preserve">επισημαίνει ότι το 2022 το διοικητικό συμβούλιο (ΔΣ) του Οργανισμού ενέκρινε δύο τροπολογίες επί του προϋπολογισμού· σημειώνει, στο πλαίσιο αυτό, ότι ο Οργανισμός διενήργησε ενδιάμεση επανεξέταση του προϋπολογισμού του για το 2022, η οποία υποχρέωσε τον Οργανισμό να ζητήσει από την Επιτροπή πρόσθετη επιχορήγηση ύψους 12 εκατομμυρίων EUR σε ΠΑΥ και 6 εκατομμυρίων EUR σε ΠΠ για την αντιμετώπιση των πρόσθετων καθηκόντων που απορρέουν από την ανθρωπιστική κρίση που δημιουργήθηκε από την παράνομη και απρόκλητη ρωσική εισβολή στην Ουκρανία· σημειώνει ότι τα ποσά αυτά συμπεριλήφθηκαν στην πρώτη τροπολογία επί του προϋπολογισμού του Οργανισμού που εγκρίθηκε τον Σεπτέμβριο του 2022· εκφράζει, ωστόσο, τη λύπη του για το γεγονός ότι ο φθινοπωρινός προϋπολογισμός και η επανεξέταση του σχεδιασμού του Οργανισμού ανέδειξαν απρόβλεπτες καθυστερήσεις στην εφαρμογή των επιχειρησιακών σχεδίων που σχετίζονται με την κρίση στην Ουκρανία, με αποτέλεσμα μια αρνητική (δεύτερη) τροπολογία επί του προϋπολογισμού που εγκρίθηκε από το ΔΣ τον Νοέμβριο του 2022, με αποτέλεσμα τη μείωση των ΠΠ κατά 12 εκατομμύρια EUR· παρατηρεί, τέλος, ότι οι τροπολογίες επί του προϋπολογισμού του Οργανισμού αντικατόπτριζαν επίσης την εθελοντική συνεισφορά της Δανίας (δεύτερη δόση ύψους 94 063 EUR) για την εφαρμογή του «χάρτη πορείας για τη συνεργασία μεταξύ της EASO και της Αιγύπτου», και την πρώτη προχρηματοδότηση (ύψους 2 968 129 EUR) για τον </w:t>
      </w:r>
      <w:r w:rsidR="00493CBC" w:rsidRPr="00A521AA">
        <w:rPr>
          <w:color w:val="000000" w:themeColor="text1"/>
        </w:rPr>
        <w:t>ΜΠΒ ΙΙΙ – Δυτικά Βαλκάνια</w:t>
      </w:r>
      <w:r w:rsidR="00493CBC" w:rsidRPr="00A521AA">
        <w:t>·</w:t>
      </w:r>
    </w:p>
    <w:p w:rsidR="00493CBC" w:rsidRPr="00A521AA" w:rsidRDefault="00994EE9" w:rsidP="00994EE9">
      <w:pPr>
        <w:pStyle w:val="NormalHanging12a"/>
        <w:ind w:hanging="570"/>
        <w:rPr>
          <w:szCs w:val="24"/>
        </w:rPr>
      </w:pPr>
      <w:r w:rsidRPr="00A521AA">
        <w:rPr>
          <w:szCs w:val="24"/>
        </w:rPr>
        <w:t>3.</w:t>
      </w:r>
      <w:r w:rsidRPr="00A521AA">
        <w:rPr>
          <w:szCs w:val="24"/>
        </w:rPr>
        <w:tab/>
      </w:r>
      <w:r w:rsidR="00493CBC" w:rsidRPr="00A521AA">
        <w:t xml:space="preserve">σημειώνει την παρατήρηση της έκθεσης του Ελεγκτικού Συνεδρίου, όσον αφορά τις συνεισφορές των συνδεδεμένων χωρών Σένγκεν στον προϋπολογισμό του Οργανισμού, ότι οι ρυθμίσεις που έχουν συναφθεί μεταξύ της Ένωσης και των εν λόγω χωρών, οι οποίες χρησιμεύουν ως νομική βάση για τον υπολογισμό των εν λόγω συνεισφορών, είναι ασαφείς και επιτρέπουν αποκλίνουσες ερμηνείες, με αποτέλεσμα οι συνεισφορές κάθε συνδεδεμένης χώρας Σένγκεν (στον προϋπολογισμό του Οργανισμού) να ισοδυναμούν με </w:t>
      </w:r>
      <w:proofErr w:type="spellStart"/>
      <w:r w:rsidR="00493CBC" w:rsidRPr="00A521AA">
        <w:t>υποπληρωμές</w:t>
      </w:r>
      <w:proofErr w:type="spellEnd"/>
      <w:r w:rsidR="00493CBC" w:rsidRPr="00A521AA">
        <w:t xml:space="preserve"> ύψους περίπου 0,7 εκατομμυρίων EUR (7 %) λόγω της χρήσης ενός τύπου υπολογισμού τον οποίο το Ελεγκτικό Συνέδριο θεωρεί εσφαλμένο, διότι ο λόγος συνεισφοράς πολλαπλασιάζεται με ποσό που αντικατοπτρίζει μόνο την επιχορήγηση του προϋπολογισμού της Ένωσης για τις δραστηριότητες του Οργανισμού, ενώ, σύμφωνα με το Ελεγκτικό Συνέδριο, το ποσό αυτό θα πρέπει επίσης να περιλαμβάνει το μερίδιο της συνδεδεμένης χώρας Σένγκεν· καλεί την Επιτροπή να εξετάσει το ζήτημα αυτό στις προσεχείς διαπραγματεύσεις με τις συνδεδεμένες χώρες Σένγκεν σχετικά με νέες συμφωνίες που θα καλύπτουν τη συμμετοχή των συνδεδεμένων χωρών Σένγκεν στις εργασίες του Οργανισμού, με σκοπό να διασφαλιστεί μεγαλύτερη σαφήνεια·</w:t>
      </w:r>
    </w:p>
    <w:p w:rsidR="00493CBC" w:rsidRPr="00A521AA" w:rsidRDefault="00493CBC" w:rsidP="00493CBC">
      <w:pPr>
        <w:spacing w:after="240"/>
        <w:ind w:left="567" w:hanging="567"/>
        <w:rPr>
          <w:szCs w:val="24"/>
        </w:rPr>
      </w:pPr>
      <w:r w:rsidRPr="00A521AA">
        <w:rPr>
          <w:b/>
          <w:i/>
        </w:rPr>
        <w:t>Επιδόσεις</w:t>
      </w:r>
    </w:p>
    <w:p w:rsidR="00493CBC" w:rsidRPr="00A521AA" w:rsidRDefault="00994EE9" w:rsidP="00994EE9">
      <w:pPr>
        <w:pStyle w:val="NormalHanging12a"/>
        <w:ind w:hanging="570"/>
        <w:rPr>
          <w:szCs w:val="24"/>
        </w:rPr>
      </w:pPr>
      <w:r w:rsidRPr="00A521AA">
        <w:rPr>
          <w:szCs w:val="24"/>
        </w:rPr>
        <w:t>4.</w:t>
      </w:r>
      <w:r w:rsidRPr="00A521AA">
        <w:rPr>
          <w:szCs w:val="24"/>
        </w:rPr>
        <w:tab/>
      </w:r>
      <w:r w:rsidR="00493CBC" w:rsidRPr="00A521AA">
        <w:t>παρατηρεί ότι για το 2022 οι επιδόσεις του Οργανισμού μετρήθηκαν σε σχέση με 204 ετήσιους στόχους, εκ των οποίων το 48 % ξεπεράστηκε, το 26 % επιτεύχθηκε, το 10 % σχεδόν επιτεύχθηκε, το 12 % καθυστέρησε και το 4 % δεν εφαρμόζεται·</w:t>
      </w:r>
    </w:p>
    <w:p w:rsidR="00493CBC" w:rsidRPr="00A521AA" w:rsidRDefault="00994EE9" w:rsidP="00994EE9">
      <w:pPr>
        <w:pStyle w:val="NormalHanging12a"/>
        <w:ind w:hanging="570"/>
        <w:rPr>
          <w:szCs w:val="24"/>
        </w:rPr>
      </w:pPr>
      <w:r w:rsidRPr="00A521AA">
        <w:rPr>
          <w:szCs w:val="24"/>
        </w:rPr>
        <w:t>5.</w:t>
      </w:r>
      <w:r w:rsidRPr="00A521AA">
        <w:rPr>
          <w:szCs w:val="24"/>
        </w:rPr>
        <w:tab/>
      </w:r>
      <w:r w:rsidR="00493CBC" w:rsidRPr="00A521AA">
        <w:t xml:space="preserve">συγχαίρει τον Οργανισμό για τη σημαντική πρόοδο που σημείωσε το 2022 όσον αφορά την πλήρη εφαρμογή των νέων διατάξεων του κανονισμού (ΕΕ) 2021/2033· σημειώνει ειδικότερα, με βάση την έκθεση </w:t>
      </w:r>
      <w:proofErr w:type="spellStart"/>
      <w:r w:rsidR="00493CBC" w:rsidRPr="00A521AA">
        <w:t>μεταπαρακολούθησης</w:t>
      </w:r>
      <w:proofErr w:type="spellEnd"/>
      <w:r w:rsidR="00493CBC" w:rsidRPr="00A521AA">
        <w:t xml:space="preserve"> του Οργανισμού για την απαλλαγή για το 2021 («έκθεση </w:t>
      </w:r>
      <w:proofErr w:type="spellStart"/>
      <w:r w:rsidR="00493CBC" w:rsidRPr="00A521AA">
        <w:t>μεταπαρακολούθησης</w:t>
      </w:r>
      <w:proofErr w:type="spellEnd"/>
      <w:r w:rsidR="00493CBC" w:rsidRPr="00A521AA">
        <w:t>»), ότι ο Οργανισμός συγκρότησε το συμβουλευτικό φόρουμ, καθώς και την εφεδρική δύναμη επέμβασης για το άσυλο, η οποία στα μέσα Ιουνίου 2023 περιλάμβανε ήδη 360 εγκεκριμένους εμπειρογνώμονες των κρατών μελών (από τους 500, όπως απαιτείται από τον εν λόγω κανονισμό), και διεξήγαγε τη διαδικασία πρόσληψης υπευθύνου θεμελιωδών δικαιωμάτων που ανέλαβε καθήκοντα τον Μάιο του 2023, καθώς και διαβουλεύσεις με τα ενδιαφερόμενα μέρη με σκοπό την κατάρτιση και την έγκριση του μηχανισμού καταγγελιών· παρατηρεί, όσον αφορά τον μηχανισμό παρακολούθησης, ότι η μεθοδολογία και το πρόγραμμα βρίσκονται στο στάδιο της ανάπτυξης και ότι η έγκρισή τους έχει προγραμματιστεί για το πρώτο τρίμηνο του 2024, ακολουθούμενη από πιλοτική άσκηση παρακολούθησης·</w:t>
      </w:r>
    </w:p>
    <w:p w:rsidR="00493CBC" w:rsidRPr="00A521AA" w:rsidRDefault="00994EE9" w:rsidP="00994EE9">
      <w:pPr>
        <w:pStyle w:val="NormalHanging12a"/>
        <w:ind w:hanging="570"/>
        <w:rPr>
          <w:szCs w:val="24"/>
        </w:rPr>
      </w:pPr>
      <w:r w:rsidRPr="00A521AA">
        <w:rPr>
          <w:szCs w:val="24"/>
        </w:rPr>
        <w:t>6.</w:t>
      </w:r>
      <w:r w:rsidRPr="00A521AA">
        <w:rPr>
          <w:szCs w:val="24"/>
        </w:rPr>
        <w:tab/>
      </w:r>
      <w:r w:rsidR="00493CBC" w:rsidRPr="00A521AA">
        <w:t>σημειώνει, όσον αφορά τον τομέα δραστηριότητας που καλύπτει την αποστολή υπαλλήλων-συνδέσμων στα κράτη μέλη και σε τρίτες χώρες, ότι οι περιορισμοί των ανθρώπινων πόρων οδήγησαν τον Οργανισμό στην ομαδοποίηση κρατών μελών, όπου ένας υπάλληλος-σύνδεσμος καλύπτει έως και τέσσερα κράτη μέλη, καθώς και στην έλλειψη χρονοδιαγράμματος για την αποστολή υπαλλήλων-συνδέσμων σε τρίτες χώρες· αναγνωρίζει την ανάγκη του Οργανισμού για πρόσθετους πόρους για την πλήρη εφαρμογή των απαιτήσεων του κανονισμού (ΕΕ) 2021/2303 στον εν λόγω τομέα και επαναλαμβάνει την έκκλησή του προς την Επιτροπή να αντικατοπτρίζει καλύτερα τις επιχειρησιακές ανάγκες του Οργανισμού κατά τη λήψη αποφάσεων σχετικά με μελλοντικούς πίνακες προσωπικού·</w:t>
      </w:r>
    </w:p>
    <w:p w:rsidR="00493CBC" w:rsidRPr="00A521AA" w:rsidRDefault="00994EE9" w:rsidP="00994EE9">
      <w:pPr>
        <w:pStyle w:val="NormalHanging12a"/>
        <w:ind w:hanging="570"/>
        <w:rPr>
          <w:szCs w:val="24"/>
        </w:rPr>
      </w:pPr>
      <w:r w:rsidRPr="00A521AA">
        <w:rPr>
          <w:szCs w:val="24"/>
        </w:rPr>
        <w:t>7.</w:t>
      </w:r>
      <w:r w:rsidRPr="00A521AA">
        <w:rPr>
          <w:szCs w:val="24"/>
        </w:rPr>
        <w:tab/>
      </w:r>
      <w:r w:rsidR="00493CBC" w:rsidRPr="00A521AA">
        <w:t xml:space="preserve">αναγνωρίζει ότι το 2022 ο Οργανισμός αντιμετώπισε νέα καθήκοντα και πολλαπλές προκλήσεις λόγω της ρωσικής παράνομης εισβολής στην Ουκρανία· σημειώνει, στο πλαίσιο αυτό, ότι, κατόπιν αιτήματος των αρμόδιων εθνικών αρχών, ο Οργανισμός επέκτεινε τις δραστηριότητές του σε έξι επιπλέον κράτη μέλη, με αποτέλεσμα την κατάρτιση επιχειρησιακών σχεδίων σε συνολικά 14 κράτη μέλη· συγχαίρει τον Οργανισμό για το γεγονός ότι βοηθά επίσης τα εν λόγω κράτη μέλη στην εφαρμογή της οδηγίας για την προσωρινή προστασία· σημειώνει, επιπλέον, ότι ο Οργανισμός υποστήριξε ένα πρόγραμμα εθελοντικής μεταφοράς που βοηθά τα άτομα που εγκαταλείπουν την Ουκρανία να </w:t>
      </w:r>
      <w:proofErr w:type="spellStart"/>
      <w:r w:rsidR="00493CBC" w:rsidRPr="00A521AA">
        <w:t>μετεγκατασταθούν</w:t>
      </w:r>
      <w:proofErr w:type="spellEnd"/>
      <w:r w:rsidR="00493CBC" w:rsidRPr="00A521AA">
        <w:t xml:space="preserve"> στην Ένωση και να υποβάλουν αίτηση προσωρινής προστασίας, παρείχε κατάρτιση σχετικά με την οδηγία περί προσωρινής προστασίας στις εθνικές διοικήσεις, δημιούργησε ειδικό ανά χώρα ενημερωτικό υλικό (βιβλιάρια, φυλλάδια και αφίσες) με εξατομικευμένες πληροφορίες σχετικά με την προσωρινή προστασία, αύξησε τις αναλύσεις κατάστασης και απέστειλε προσωπικό για πρώτη φορά σε χώρα εκτός της Ένωσης (Μολδαβία)· εκτιμά επίσης την ισχυρή δέσμευση του οργανισμού στην εξωτερική διάσταση του Κοινού Ευρωπαϊκού Συστήματος Ασύλου (ΚΕΣΑ) που στηρίζει τις χώρες της ΕΕ + για την επανεγκατάσταση 2 585 ατόμων μέσω της στήριξης 13 αποστολών επιλογής και 3 αποστολών πριν από την αναχώρηση·</w:t>
      </w:r>
    </w:p>
    <w:p w:rsidR="00493CBC" w:rsidRPr="00A521AA" w:rsidRDefault="00994EE9" w:rsidP="00994EE9">
      <w:pPr>
        <w:pStyle w:val="NormalHanging12a"/>
        <w:ind w:hanging="570"/>
      </w:pPr>
      <w:r w:rsidRPr="00A521AA">
        <w:t>8.</w:t>
      </w:r>
      <w:r w:rsidRPr="00A521AA">
        <w:tab/>
      </w:r>
      <w:r w:rsidR="00493CBC" w:rsidRPr="00A521AA">
        <w:t xml:space="preserve">επισημαίνει, μεταξύ άλλων επιτευγμάτων για το 2022, ότι ο Οργανισμός δημιούργησε περίπου 3 000 σελίδες προϊόντων από τη χώρα προέλευσης, ανταποκρίθηκε σε περισσότερα από 1 000 μεμονωμένα ιατρικά αιτήματα που συνδέονταν με τις ιατρικές δραστηριότητες του Οργανισμού σχετικά με τη χώρα προέλευσης, παρείχε κατάρτιση που έφτασε, συνολικά, σε αριθμό ρεκόρ 13 000 συμμετεχόντων, και δημοσίευσε και/ή </w:t>
      </w:r>
      <w:proofErr w:type="spellStart"/>
      <w:r w:rsidR="00493CBC" w:rsidRPr="00A521AA">
        <w:t>επικαιροποίησε</w:t>
      </w:r>
      <w:proofErr w:type="spellEnd"/>
      <w:r w:rsidR="00493CBC" w:rsidRPr="00A521AA">
        <w:t xml:space="preserve"> κατευθυντήριες οδηγίες (σχετικά με τη Σομαλία, το Αφγανιστάν και το Ιράκ)· συγχαίρει επίσης τον Οργανισμό για την παροχή βοήθειας στις χώρες των Δυτικών Βαλκανίων μέσω της ανάπτυξης θεσμικών ικανοτήτων, της κατάρτισης και της επιμόρφωσης στον χώρο της εργασίας σχετικά με βασικές διαδικασίες ασύλου στην Αλβανία, τη Βοσνία και Ερζεγοβίνη, το Κόσοβο, το Μαυροβούνιο, τη Βόρεια Μακεδονία και τη Σερβία·</w:t>
      </w:r>
    </w:p>
    <w:p w:rsidR="00493CBC" w:rsidRPr="00A521AA" w:rsidRDefault="00493CBC" w:rsidP="00493CBC">
      <w:pPr>
        <w:pStyle w:val="NormalHanging12a"/>
        <w:rPr>
          <w:b/>
          <w:i/>
        </w:rPr>
      </w:pPr>
      <w:r w:rsidRPr="00A521AA">
        <w:rPr>
          <w:b/>
          <w:i/>
        </w:rPr>
        <w:t>Βελτίωση της αποδοτικότητας</w:t>
      </w:r>
    </w:p>
    <w:p w:rsidR="00493CBC" w:rsidRPr="00A521AA" w:rsidRDefault="00994EE9" w:rsidP="00994EE9">
      <w:pPr>
        <w:pStyle w:val="NormalHanging12a"/>
        <w:ind w:hanging="570"/>
      </w:pPr>
      <w:r w:rsidRPr="00A521AA">
        <w:t>9.</w:t>
      </w:r>
      <w:r w:rsidRPr="00A521AA">
        <w:tab/>
      </w:r>
      <w:r w:rsidR="00493CBC" w:rsidRPr="00A521AA">
        <w:t xml:space="preserve">σημειώνει ότι ο Οργανισμός συνεργάζεται με διάφορους οργανισμούς στον τομέα της δικαιοσύνης και των εσωτερικών υποθέσεων (π.χ. </w:t>
      </w:r>
      <w:proofErr w:type="spellStart"/>
      <w:r w:rsidR="00493CBC" w:rsidRPr="00A521AA">
        <w:t>Frontex</w:t>
      </w:r>
      <w:proofErr w:type="spellEnd"/>
      <w:r w:rsidR="00493CBC" w:rsidRPr="00A521AA">
        <w:t xml:space="preserve">, </w:t>
      </w:r>
      <w:proofErr w:type="spellStart"/>
      <w:r w:rsidR="00493CBC" w:rsidRPr="00A521AA">
        <w:t>eu</w:t>
      </w:r>
      <w:proofErr w:type="spellEnd"/>
      <w:r w:rsidR="00493CBC" w:rsidRPr="00A521AA">
        <w:t xml:space="preserve">-LISA, FRA, CEPOL) όσον αφορά, μεταξύ άλλων, προϊόντα επίγνωσης της κατάστασης, υποστήριξη για την αντιμετώπιση επιχειρησιακών προκλήσεων (συμπεριλαμβανομένου του απεσταλμένου προσωπικού), μάθηση και ανταλλαγή πληροφοριών, καθώς και κατάρτιση και ανάπτυξη ικανοτήτων· τονίζει τη σημασία της συνεργασίας για την ορθή κατανομή των πόρων· σημειώνει περαιτέρω ότι, βάσει συμφωνίας επιπέδου υπηρεσιών, ο </w:t>
      </w:r>
      <w:proofErr w:type="spellStart"/>
      <w:r w:rsidR="00493CBC" w:rsidRPr="00A521AA">
        <w:t>eu</w:t>
      </w:r>
      <w:proofErr w:type="spellEnd"/>
      <w:r w:rsidR="00493CBC" w:rsidRPr="00A521AA">
        <w:t>-LISA φιλοξενεί τον τόπο ανάκτησης για τη λογική υποδομή και τις επικοινωνίες ΤΠΕ του Οργανισμού· ενθαρρύνει τον Οργανισμό να συνεχίσει να διερευνά τρόπους για την ανταλλαγή βέλτιστων πρακτικών και ευκαιριών, στο πλαίσιο της νέας εντολής του Οργανισμού, προκειμένου να μοιράζεται πόρους και να αναπτύσσει περαιτέρω συνέργειες με άλλους οργανισμούς σε τομείς αμοιβαίου ενδιαφέροντος με σκοπό τη βελτίωση της αποδοτικότητας·</w:t>
      </w:r>
    </w:p>
    <w:p w:rsidR="00493CBC" w:rsidRPr="00A521AA" w:rsidRDefault="00994EE9" w:rsidP="00994EE9">
      <w:pPr>
        <w:pStyle w:val="NormalHanging12a"/>
        <w:ind w:hanging="570"/>
      </w:pPr>
      <w:r w:rsidRPr="00A521AA">
        <w:t>10.</w:t>
      </w:r>
      <w:r w:rsidRPr="00A521AA">
        <w:tab/>
      </w:r>
      <w:r w:rsidR="00493CBC" w:rsidRPr="00A521AA">
        <w:t>εκφράζει την ικανοποίησή του για τα μέτρα που έλαβε ο Οργανισμός το 2022 για την αύξηση της αποδοτικότητας και της απλούστευσης, όπως η μείωση των διαδικαστικών σταδίων, η αυτοματοποίηση των επαναλαμβανόμενων καθηκόντων και η ανάπτυξη ενός οργανωτικού μοντέλου για την παροχή οριζόντιων υπηρεσιών που φέρνει τη διοικητική εμπειρογνωμοσύνη πιο κοντά στο σημείο χρήσης μέσω εξ αποστάσεως, επιτόπιας ή υβριδικής παρουσίας, ωφελώντας έτσι τις δραστηριότητες των χωρών σε τομείς όπως η χρηματοδοτική έναρξη συναλλαγών, η στήριξη ΤΠΕ, η νομική υποστήριξη και η διαχείριση εγκαταστάσεων· επαινεί την αυξημένη αποτελεσματικότητα του Οργανισμού όσον αφορά τη διασφάλιση της ασφάλειας του προσωπικού σε περισσότερες εθνικές επιχειρήσεις χρησιμοποιώντας τους ίδιους πόρους όπως και το 2021· σημειώνει περαιτέρω ότι ο Οργανισμός υλοποίησε διάφορες δράσεις που αποσκοπούν στη βελτίωση της αποδοτικότητας στους τομείς της κυβερνοασφάλειας (π.χ. μέσω αυτοματοποιημένης ροής εργασίας για την αντιμετώπιση συμβάντων), των δημόσιων συμβάσεων (μέσω του ορισμού σημείων επαφής για τα αγαθά και τις υπηρεσίες που αγοράζονται συχνότερα, προκειμένου να ενισχυθεί η ποιότητα και η επικαιρότητα των διαδικασιών και να παρασχεθεί στήριξη από τα πρώτα στάδια της σύναψης συμβάσεων), των ΤΠΕ (παρέχοντας στους χρήστες ένα ενιαίο σημείο αναφοράς σχετικά με την κατάσταση των αιτημάτων τους) και των ανθρώπινων πόρων (ανοίγοντας τις πρώτες ενότητες SYSPER σχετικά με την ταυτότητα, την οργάνωση, τη σταδιοδρομία, τα δεδομένα προσωπικού χαρακτήρα και τη διαχείριση του χρόνου, μεταξύ άλλων, καθώς και ένα σύστημα καταγραφής πληροφοριών ανθρώπινου δυναμικού για υπηρεσίες υποστήριξης που παρέχονται σε όλο το προσωπικό του Οργανισμού)· καλεί τον Οργανισμό να εφαρμόσει πλήρως το εργαλείο της Επιτροπής για τη διαχείριση των δημόσιων συμβάσεων· σημειώνει, με βάση την ενοποιημένη έκθεση δραστηριοτήτων του Οργανισμού για το 2022 (εφεξής «έκθεση δραστηριοτήτων 2022»), νέα αύξηση του μεριδίου των πόρων που διατίθενται για τις επιχειρησιακές δραστηριότητες του Οργανισμού, που αντιστοιχεί σε 79,13 % το 2022 (σε σύγκριση με 72,14 % το 2021 και 68,68 % το 2020)·</w:t>
      </w:r>
    </w:p>
    <w:p w:rsidR="00493CBC" w:rsidRPr="00A521AA" w:rsidRDefault="00994EE9" w:rsidP="00994EE9">
      <w:pPr>
        <w:pStyle w:val="NormalHanging12a"/>
        <w:ind w:hanging="570"/>
      </w:pPr>
      <w:r w:rsidRPr="00A521AA">
        <w:t>11.</w:t>
      </w:r>
      <w:r w:rsidRPr="00A521AA">
        <w:tab/>
      </w:r>
      <w:r w:rsidR="00493CBC" w:rsidRPr="00A521AA">
        <w:t>σημειώνει με λύπη, με βάση την έκθεση του Ελεγκτικού Συνεδρίου, ότι ο Οργανισμός δεν συγκαταλέγεται μεταξύ των οργανισμών που έχουν καταρτίσει επιχειρησιακά σχέδια για τη βελτίωση της ενεργειακής απόδοσης και της κλιματικής ουδετερότητας των δραστηριοτήτων τους, έχουν ενσωματώσει στις ετήσιες εκθέσεις δραστηριοτήτων τους κάποια μορφή αναφοράς περιβαλλοντικών στοιχείων και έχουν λάβει καταχώριση στο EMAS· επισημαίνει, ωστόσο, από τις απαντήσεις του Οργανισμού στις γραπτές ερωτήσεις του Κοινοβουλίου, ότι το 2022 ο Οργανισμός δρομολόγησε μια πρώτη φάση προετοιμασίας για τον σχεδιασμό και την εφαρμογή ενός συστήματος περιβαλλοντικής διαχείρισης και προέβη σε προπαρασκευαστικές ενέργειες για τα επόμενα στάδιά του· ενθαρρύνει τον Οργανισμό να συνεχίσει να συμμετέχει σε δραστηριότητες ανάπτυξης ικανοτήτων, καθώς και να συνεργάζεται με άλλους οργανισμούς και θεσμικά όργανα της Ένωσης με σκοπό την επιτάχυνση της διαδικασίας πιστοποίησης EMAS του Οργανισμού· επισημαίνει ότι ο Οργανισμός περιλαμβάνει περιβαλλοντικές πτυχές στις τεχνικές προδιαγραφές ή στα κριτήρια ανάθεσης, π.χ. για συμβάσεις κτιρίων, υπηρεσίες εστίασης, υπηρεσίες καθαρισμού, μεταξύ άλλων· καλεί τον Οργανισμό να εξετάσει επίσης το ενδεχόμενο ανάπτυξης της πολιτικής του για τις πράσινες δημόσιες συμβάσεις·</w:t>
      </w:r>
      <w:r w:rsidR="00493CBC" w:rsidRPr="00A521AA">
        <w:rPr>
          <w:b/>
          <w:i/>
        </w:rPr>
        <w:t> </w:t>
      </w:r>
      <w:r w:rsidR="00493CBC" w:rsidRPr="00A521AA">
        <w:t>παροτρύνει τον Οργανισμό να εξετάσει το ενδεχόμενο εφαρμογής ενδιάμεσων βιώσιμων και ενεργειακά αποδοτικών λύσεων τόσο στις υποδομές του όσο και στις εσωτερικές του διαδικασίες, όπως η αυξημένη χρήση ψηφιακών εργαλείων και η διαχείριση εγγράφων·</w:t>
      </w:r>
    </w:p>
    <w:p w:rsidR="00493CBC" w:rsidRPr="00A521AA" w:rsidRDefault="00493CBC" w:rsidP="00493CBC">
      <w:pPr>
        <w:spacing w:after="240"/>
        <w:ind w:left="567" w:hanging="567"/>
        <w:rPr>
          <w:b/>
          <w:i/>
          <w:szCs w:val="24"/>
        </w:rPr>
      </w:pPr>
      <w:r w:rsidRPr="00A521AA">
        <w:rPr>
          <w:b/>
          <w:i/>
        </w:rPr>
        <w:t>Πολιτική προσωπικού</w:t>
      </w:r>
    </w:p>
    <w:p w:rsidR="00493CBC" w:rsidRPr="00A521AA" w:rsidRDefault="00994EE9" w:rsidP="00994EE9">
      <w:pPr>
        <w:pStyle w:val="NormalHanging12a"/>
        <w:ind w:hanging="573"/>
      </w:pPr>
      <w:r w:rsidRPr="00A521AA">
        <w:t>12.</w:t>
      </w:r>
      <w:r w:rsidRPr="00A521AA">
        <w:tab/>
      </w:r>
      <w:r w:rsidR="00493CBC" w:rsidRPr="00A521AA">
        <w:t>σημειώνει την κατανομή των φύλων στον Οργανισμό με 9 άνδρες (69 %) και 4 γυναίκες (31 %) στις ανώτερες και μεσαίες διευθυντικές θέσεις του (ίδια κατανομή με το 2021), με 27 άνδρες (48 %) και 29 γυναίκες (52 %) στο ΔΣ του (βελτιωμένη κατανομή σε σύγκριση με το 2021) και με 203 άνδρες (39 %) και 316 γυναίκες (61 %) για το προσωπικό συνολικά (ίδια κατανομή με το 2021)· υπενθυμίζει πόσο σημαντικό είναι να διασφαλιστεί η ισόρροπη εκπροσώπηση των φύλων στο προσωπικό, και καλεί την Υπηρεσία να λαμβάνει υπόψη την πτυχή αυτή όσον αφορά τις μελλοντικές προσλήψεις προσωπικού και τους διορισμούς σε ανώτερες και μεσαίες διευθυντικές θέσεις· παρατηρεί με ικανοποίηση τη δέσμευση του Οργανισμού να συμπεριλάβει στην επικείμενη στρατηγική του για τους ανθρώπινους πόρους δράσεις που θα δώσουν προτεραιότητα στην προώθηση της εκπροσώπησης των φύλων και της διαφορετικότητας σε συνεργασία με τον Οργανισμό, και θα προωθήσουν προγράμματα ανάπτυξης ηγετικών ικανοτήτων προσαρμοσμένα στα επίδοξα διευθυντικά στελέχη· ζητεί από τον Οργανισμό να υποβάλει έκθεση στην αρμόδια για την απαλλαγή αρχή σχετικά με την υλοποίηση αυτής της δέσμευσης·</w:t>
      </w:r>
    </w:p>
    <w:p w:rsidR="00493CBC" w:rsidRPr="00A521AA" w:rsidRDefault="00994EE9" w:rsidP="00994EE9">
      <w:pPr>
        <w:pStyle w:val="NormalHanging12a"/>
        <w:ind w:hanging="573"/>
        <w:rPr>
          <w:szCs w:val="24"/>
        </w:rPr>
      </w:pPr>
      <w:r w:rsidRPr="00A521AA">
        <w:rPr>
          <w:szCs w:val="24"/>
        </w:rPr>
        <w:t>13.</w:t>
      </w:r>
      <w:r w:rsidRPr="00A521AA">
        <w:rPr>
          <w:szCs w:val="24"/>
        </w:rPr>
        <w:tab/>
      </w:r>
      <w:r w:rsidR="00493CBC" w:rsidRPr="00A521AA">
        <w:t>σημειώνει ότι, στις 31 Δεκεμβρίου 2022, το ποσοστό εκτέλεσης του πίνακα προσωπικού ανερχόταν σε 90 % (σε σχέση με 87 % το 2021) καθώς καλύπτονταν οι 333 από τις 371 θέσεις εκτάκτων υπαλλήλων που είχαν εγκριθεί στο πλαίσιο του προϋπολογισμού της Ένωσης (σε σύγκριση με 366 εγκεκριμένες θέσεις το 2021)· εκφράζει την ικανοποίησή του για την εκ νέου αύξηση του ποσοστού πληρότητας του Οργανισμού· εκφράζει τη λύπη του για την αύξηση του ποσοστού εναλλαγής προσωπικού του Οργανισμού από 4,1 % το 2021 σε 8,2 % το 2022· σημειώνει ότι, επιπλέον, το 2022 εργάστηκαν για τον Οργανισμό 184 συμβασιούχοι υπάλληλοι και 10 αποσπασμένοι εθνικοί εμπειρογνώμονες· επισημαίνει ότι, στο πλαίσιο του πολέμου στην Ουκρανία και της εφαρμογής της οδηγίας περί προσωρινής προστασίας, η Επιτροπή ενέκρινε στον Οργανισμό 90 θέσεις συμβασιούχων υπαλλήλων με βραχυπρόθεσμη σύμβαση δύο ετών· παρατηρεί ότι το 2022 ο Οργανισμός δημοσίευσε 29 κενές θέσεις εργασίας και δημιούργησε 138 προσφορές εργασίας για έκτακτους και συμβασιούχους υπαλλήλους·</w:t>
      </w:r>
    </w:p>
    <w:p w:rsidR="00493CBC" w:rsidRPr="00A521AA" w:rsidRDefault="00994EE9" w:rsidP="00994EE9">
      <w:pPr>
        <w:pStyle w:val="NormalHanging12a"/>
        <w:ind w:hanging="573"/>
      </w:pPr>
      <w:r w:rsidRPr="00A521AA">
        <w:t>14.</w:t>
      </w:r>
      <w:r w:rsidRPr="00A521AA">
        <w:tab/>
      </w:r>
      <w:r w:rsidR="00493CBC" w:rsidRPr="00A521AA">
        <w:t>εκφράζει την ικανοποίησή του με την πολιτική του Οργανισμού για την προστασία της αξιοπρέπειας του ατόμου και την πρόληψη της ψυχολογικής και σεξουαλικής παρενόχλησης, για την εφαρμογή των κανόνων της Επιτροπής σχετικά με τη διεξαγωγή διοικητικών ερευνών και πειθαρχικών διαδικασιών, καθώς και για την εσωτερική καθοδήγηση σχετικά με τις αιτήσεις συνδρομής σύμφωνα με το άρθρο 24 του κανονισμού υπηρεσιακής κατάστασης των υπαλλήλων της Ένωσης· σημειώνει, με βάση τις απαντήσεις του Οργανισμού στις γραπτές ερωτήσεις του Κοινοβουλίου, ότι ο Οργανισμός έλαβε τρεις υποθέσεις παρενόχλησης το 2022, δύο εκ των οποίων απορρίφθηκαν, δεδομένου ότι δεν υπήρχαν εκ πρώτης όψεως αποδεικτικά στοιχεία παρενόχλησης και περατώθηκαν χωρίς περαιτέρω ενέργειες, ενώ στην τρίτη υπόθεση κινήθηκε διοικητική έρευνα· καλεί τον Οργανισμό να τηρεί ενήμερη την αρμόδια για την απαλλαγή αρχή όσον αφορά το αποτέλεσμα της εν λόγω έρευνας· σημειώνει με ικανοποίηση ότι, μετά από σύσταση της Υπηρεσίας Εσωτερικού Λογιστικού Ελέγχου της Επιτροπής, ο Οργανισμός ενέκρινε τον Απρίλιο του 2023 τις κατευθυντήριες γραμμές σχετικά με τις διοικητικές έρευνες και τις πειθαρχικές διαδικασίες· τονίζει τη σημασία της ύπαρξης ισχυρών πλαισίων κατά της παρενόχλησης, ιδίως σε εξαιρετικά αγχωτικά και απαιτητικά εργασιακά περιβάλλοντα· καλεί τον Οργανισμό να θεσπίσει πρόγραμμα κατάρτισης τόσο για τους νεοεισερχόμενους όσο και για το υφιστάμενο προσωπικό·</w:t>
      </w:r>
    </w:p>
    <w:p w:rsidR="00493CBC" w:rsidRPr="00A521AA" w:rsidRDefault="00994EE9" w:rsidP="00994EE9">
      <w:pPr>
        <w:pStyle w:val="NormalHanging12a"/>
        <w:ind w:hanging="573"/>
      </w:pPr>
      <w:r w:rsidRPr="00A521AA">
        <w:t>15.</w:t>
      </w:r>
      <w:r w:rsidRPr="00A521AA">
        <w:tab/>
      </w:r>
      <w:r w:rsidR="00493CBC" w:rsidRPr="00A521AA">
        <w:t xml:space="preserve">σημειώνει, με βάση τη </w:t>
      </w:r>
      <w:proofErr w:type="spellStart"/>
      <w:r w:rsidR="00493CBC" w:rsidRPr="00A521AA">
        <w:t>μεταπαρακολούθηση</w:t>
      </w:r>
      <w:proofErr w:type="spellEnd"/>
      <w:r w:rsidR="00493CBC" w:rsidRPr="00A521AA">
        <w:t xml:space="preserve"> του Οργανισμού σχετικά με τις οριζόντιες παρατηρήσεις του Κοινοβουλίου σε σχέση με τη διαδικασία απαλλαγής για το 2021, καθώς και στην έκθεση </w:t>
      </w:r>
      <w:proofErr w:type="spellStart"/>
      <w:r w:rsidR="00493CBC" w:rsidRPr="00A521AA">
        <w:t>μεταπαρακολούθησης</w:t>
      </w:r>
      <w:proofErr w:type="spellEnd"/>
      <w:r w:rsidR="00493CBC" w:rsidRPr="00A521AA">
        <w:t xml:space="preserve"> του Οργανισμού, ότι τα τελευταία χρόνια (από το 2019) ο Οργανισμός χρησιμοποιεί τις υπηρεσίες εξωτερικής νομικής εταιρείας (ειδικευμένης στο δίκαιο των δημοσίων υπαλλήλων της Ένωσης) όταν χειρίζεται υποθέσεις εικαζόμενης παρενόχλησης (δηλαδή αιτήσεις συνδρομής σύμφωνα με το άρθρο 24 του κανονισμού υπηρεσιακής κατάστασης των υπαλλήλων της Ένωσης)· παρατηρεί, στο πλαίσιο αυτό, ότι η Μονάδα Νομικών Υπηρεσιών του Οργανισμού διενεργεί αξιολόγηση για να διαπιστώσει κατά πόσον υπάρχει ανάγκη να ζητηθεί στήριξη ή συμβουλές από εξωτερική νομική εταιρεία και ότι η εν λόγω μονάδα διαχειρίζεται τη σχετική διαδικασία και συνεργάζεται με τη Μονάδα Ανθρώπινων Πόρων του Οργανισμού σε όλες αυτές τις περιπτώσεις·</w:t>
      </w:r>
    </w:p>
    <w:p w:rsidR="00493CBC" w:rsidRPr="00A521AA" w:rsidRDefault="00994EE9" w:rsidP="00994EE9">
      <w:pPr>
        <w:pStyle w:val="NormalHanging12a"/>
        <w:ind w:hanging="573"/>
      </w:pPr>
      <w:r w:rsidRPr="00A521AA">
        <w:t>16.</w:t>
      </w:r>
      <w:r w:rsidRPr="00A521AA">
        <w:tab/>
      </w:r>
      <w:r w:rsidR="00493CBC" w:rsidRPr="00A521AA">
        <w:t xml:space="preserve">υπενθυμίζει τη διαπίστωση του Ελεγκτικού Συνεδρίου ότι το 2020 ο Οργανισμός είχε 16 κενές διευθυντικές θέσεις, εκ των οποίων 10 ήταν καλυμμένες από ασκούντες καθήκοντα διευθυντικών στελεχών για περισσότερο από ένα έτος, καθώς και άλλα ζητήματα, όπως ασκούντες καθήκοντα διευθυντικών στελεχών που κατείχαν δύο θέσεις, στον πίνακα προσωπικού του Οργανισμού· σημειώνει με ικανοποίηση, με βάση την έκθεση </w:t>
      </w:r>
      <w:proofErr w:type="spellStart"/>
      <w:r w:rsidR="00493CBC" w:rsidRPr="00A521AA">
        <w:t>μεταπαρακολούθησης</w:t>
      </w:r>
      <w:proofErr w:type="spellEnd"/>
      <w:r w:rsidR="00493CBC" w:rsidRPr="00A521AA">
        <w:t xml:space="preserve"> του Οργανισμού, τα επακόλουθα μέτρα μετριασμού που έλαβε προκειμένου να συμμορφωθεί με το άρθρο 7 παράγραφος 2 του κανονισμού υπηρεσιακής κατάστασης των υπαλλήλων της Ένωσης, πρώτον μειώνοντας τον αριθμό των προσωρινών στελεχώσεων διευθυντικών θέσεων που θα έχουν φτάσει τα δύο έτη (αντί για ένα) στο τέλος του 2022 και, από το 2023, καταργώντας τες εντελώς, ενώ κανένα μέλος του προσωπικού δεν κατέχει πλέον προσωρινά διευθυντικές θέσεις για διάστημα μεγαλύτερο του ενός έτους· εκφράζει την ικανοποίησή του για τη δέσμευση του Οργανισμού να δώσει προτεραιότητα στη στελέχωση διευθυντικών θέσεων· συγχαίρει τον Οργανισμό για την πρόοδο που σημειώθηκε το 2022 και το 2023 όσον αφορά τις διαδικασίες πρόσληψης για διάφορες μεσαίες και ανώτερες διευθυντικές θέσεις, συμπεριλαμβανομένων των θέσεων του αναπληρωτή εκτελεστικού διευθυντή, ενώ, σύμφωνα με την έκθεση </w:t>
      </w:r>
      <w:proofErr w:type="spellStart"/>
      <w:r w:rsidR="00493CBC" w:rsidRPr="00A521AA">
        <w:t>μεταπαρακολούθησης</w:t>
      </w:r>
      <w:proofErr w:type="spellEnd"/>
      <w:r w:rsidR="00493CBC" w:rsidRPr="00A521AA">
        <w:t xml:space="preserve"> του Οργανισμού, έχουν ολοκληρωθεί δύο διαδικασίες επιλογής, ενώ εννέα διαδικασίες επιλογής βρίσκονται σε εξέλιξη ή δεν έχουν ολοκληρωθεί· παρατηρεί, τέλος, από τον ιστότοπο του Οργανισμού ότι, στις 15 Ιανουαρίου 2024, ο επικεφαλής του Κέντρου Διοίκησης του Οργανισμού καλύπτει την εν λόγω θέση προσωρινά, ενώ ο επικεφαλής του Κέντρου Θεσμικών και Οριζόντιων Υποθέσεων του Οργανισμού εργάζεται υπό καθεστώς άσκησης καθηκόντων· σημειώνει ότι η διαδικασία επιλογής του προϊσταμένου του Κέντρου Διοίκησης βρίσκεται σε εξέλιξη και αναμένεται να ολοκληρωθεί το πρώτο τρίμηνο του 2024· σημειώνει περαιτέρω ότι η διαδικασία επιλογής του προϊσταμένου του Κέντρου Θεσμικών και Οριζόντιων Υποθέσεων βρίσκεται σε εξέλιξη και αναμένεται να ολοκληρωθεί το πρώτο τρίμηνο του 2024· καλεί τον Οργανισμό να τηρεί ενήμερη την αρμόδια για την απαλλαγή αρχή όσον αφορά το αποτέλεσμα όλων αυτών των διαδικασιών·</w:t>
      </w:r>
    </w:p>
    <w:p w:rsidR="00493CBC" w:rsidRPr="00A521AA" w:rsidRDefault="00994EE9" w:rsidP="00994EE9">
      <w:pPr>
        <w:pStyle w:val="NormalHanging12a"/>
        <w:ind w:hanging="573"/>
        <w:rPr>
          <w:szCs w:val="24"/>
        </w:rPr>
      </w:pPr>
      <w:r w:rsidRPr="00A521AA">
        <w:rPr>
          <w:szCs w:val="24"/>
        </w:rPr>
        <w:t>17.</w:t>
      </w:r>
      <w:r w:rsidRPr="00A521AA">
        <w:rPr>
          <w:szCs w:val="24"/>
        </w:rPr>
        <w:tab/>
      </w:r>
      <w:r w:rsidR="00493CBC" w:rsidRPr="00A521AA">
        <w:t>επισημαίνει ότι τα μέτρα μετριασμού που έλαβε ο Οργανισμός προκειμένου να συμμορφωθεί με το άρθρο 7 παράγραφος 2 του κανονισμού υπηρεσιακής κατάστασης των υπαλλήλων της Ένωσης, η διερευνητική αποστολή που πραγματοποίησε η Υπηρεσία Εσωτερικού Λογιστικού Ελέγχου τον Οκτώβριο του 2022, οι επιτόπιες εργασίες του Ελεγκτικού Συνεδρίου για τον έλεγχο του οικονομικού έτους 2022, οι σχετικές παρατηρήσεις του Κοινοβουλίου προς τον Οργανισμό στο ψήφισμα απαλλαγής του Κοινοβουλίου για το 2021, καθώς και η (εν εξελίξει) έρευνα που ξεκίνησε η Ευρωπαϊκή Υπηρεσία Καταπολέμησης της Απάτης (OLAF) στις 24 Νοεμβρίου 2022 προέκυψαν επίσης ως αποτέλεσμα ανώνυμου μηνύματος ηλεκτρονικού ταχυδρομείου που περιείχε πολυάριθμες καταγγελίες, μεταξύ άλλων, για παρατυπίες που σχετίζονται με το προσωπικό και που προκλήθηκαν από ολόκληρη την ομάδα ανώτερων διευθυντικών στελεχών του Οργανισμού· ζητεί την πλήρη συνεργασία του Οργανισμού με την OLAF στην εν εξελίξει έρευνα· σημειώνει, με βάση την έκθεση δραστηριοτήτων του 2022, τα συμπεράσματα του Ελεγκτικού Συνεδρίου σύμφωνα με τα οποία ο υπολογισμός των επιδομάτων για την κατάταξη της προσωρινής στελέχωσης διευθυντικών θέσεων ήταν νόμιμος και κανονικός, ενώ η προσωρινή στελέχωση θέσεων για μεγαλύτερο διάστημα του ενός έτους δεν ήταν συμμορφούμενη, ωστόσο, χωρίς να οδηγήσει σε παράτυπες πληρωμές· καλεί τον Οργανισμό να ενημερώσει την αρμόδια για την απαλλαγή αρχή σχετικά με την πρόοδο και τα στάδια της έρευνας·</w:t>
      </w:r>
    </w:p>
    <w:p w:rsidR="00493CBC" w:rsidRPr="00A521AA" w:rsidRDefault="00994EE9" w:rsidP="00994EE9">
      <w:pPr>
        <w:pStyle w:val="NormalHanging12a"/>
        <w:ind w:hanging="573"/>
      </w:pPr>
      <w:r w:rsidRPr="00A521AA">
        <w:t>18.</w:t>
      </w:r>
      <w:r w:rsidRPr="00A521AA">
        <w:tab/>
      </w:r>
      <w:r w:rsidR="00493CBC" w:rsidRPr="00A521AA">
        <w:t>εκφράζει την ανησυχία του για την εσωτερική διαχείριση και τις διαδικασίες του Οργανισμού, δεδομένου ότι το 2022 η OLAF κίνησε μία έρευνα σχετικά με τις πολιτικές διαχείρισης και στελέχωσης, η οποία φέρεται να συνεπάγεται νεποτισμό· η OLAF κίνησε επίσης έρευνα σχετικά με την έλλειψη σεβασμού των ανθρωπίνων δικαιωμάτων· επαναλαμβάνει την έκκλησή του προς τον Οργανισμό να συνεργαστεί πλήρως με τον οργανισμό ερευνών και να ενημερώσει εγκαίρως την αρμόδια για την απαλλαγή αρχή σχετικά με τα αποτελέσματα και τα διορθωτικά μέτρα·</w:t>
      </w:r>
    </w:p>
    <w:p w:rsidR="00493CBC" w:rsidRPr="00A521AA" w:rsidRDefault="00994EE9" w:rsidP="00994EE9">
      <w:pPr>
        <w:spacing w:after="240"/>
        <w:ind w:left="567" w:hanging="573"/>
      </w:pPr>
      <w:r w:rsidRPr="00A521AA">
        <w:t>19.</w:t>
      </w:r>
      <w:r w:rsidRPr="00A521AA">
        <w:tab/>
      </w:r>
      <w:r w:rsidR="00493CBC" w:rsidRPr="00A521AA">
        <w:t>υπενθυμίζει ότι το 2018 η OLAF ολοκλήρωσε μια άλλη έρευνα η οποία οδήγησε σε πορίσματα που συνδέονται π.χ. με κακοδιαχείριση των ανθρώπινων πόρων, την παραίτηση του τότε εκτελεστικού διευθυντή του Οργανισμού και την έγκριση από το διοικητικό συμβούλιο του Οργανισμού σχεδίου δράσης για τη διακυβέρνηση με στόχο την αποκατάσταση της εμπιστοσύνης τόσο εσωτερικά όσο και εξωτερικά, την ενίσχυση της δομής διακυβέρνησης και την αποκατάσταση της εσωτερικής ικανότητας· παρατηρεί ότι, το Ελεγκτικό Συνέδριο, στην ετήσια έκθεσή του, έκλεισε και θεώρησε ότι εξετάστηκε η παρατήρηση σχετικά με τον υψηλό αριθμό κενών διευθυντικών θέσεων, καθώς και τα ζητήματα που σχετίζονται με την επισφάλεια σε επίπεδο διευθυντικών θέσεων, γεγονός που μπορεί να έχει επηρεάσει την ηγεσία του Οργανισμού και τη στρατηγική του συνέχεια· αναγνωρίζει ότι, σύμφωνα με το άρθρο 41 παράγραφος 1 στοιχείο κ) του κανονισμού για τον Οργανισμό της Ευρωπαϊκής Ένωσης για το Άσυλο, το διοικητικό συμβούλιο λαμβάνει όλες τις αποφάσεις σχετικά με τη δημιουργία των εσωτερικών δομών του Οργανισμού, ενώ η Επιτροπή, ως μέλος του διοικητικού συμβουλίου του Οργανισμού, επιβλέπει τακτικά τις αναδιοργανώσεις του Οργανισμού· παρατηρεί ότι, παρόλα αυτά, παρά τις αναδιοργανώσεις που πραγματοποίησε ο Οργανισμός τα τελευταία χρόνια, εξακολουθούν να υπάρχουν ζητήματα, όπως καταδεικνύει ανώνυμη επιστολή από τον Ιανουάριο 2023· σημειώνει τα συμπεράσματα του Ελεγκτικού Συνεδρίου για το οικονομικό έτος 2022 με βάση τα διορθωτικά μέτρα που έλαβε ο Οργανισμός· καλεί, στο πλαίσιο αυτό, την Επιτροπή να εντοπίσει λύσεις για τη διενέργεια ανεξάρτητης αξιολόγησης των πρόσφατων αναδιοργανώσεων του Οργανισμού, και αναμένει ότι ο εν εξελίξει έλεγχος από την IAS για τη διαχείριση των ανθρώπινων πόρων θα παράσχει σχετική αξιολόγηση σχετικά με τον βαθμό στον οποίο το τρέχον οργανόγραμμα του Οργανισμού και η κατανομή των αρμοδιοτήτων μεταξύ των μεσαίων και ανώτερων διευθυντικών θέσεων του Οργανισμού είναι επιρρεπείς σε κινδύνους ανεπαρκειών, κακής διαχείρισης των ανθρώπινων πόρων και έλλειψης διαφάνειας (μεταξύ άλλων έναντι του ΔΣ του Οργανισμού)·</w:t>
      </w:r>
    </w:p>
    <w:p w:rsidR="00493CBC" w:rsidRPr="00A521AA" w:rsidRDefault="00994EE9" w:rsidP="00994EE9">
      <w:pPr>
        <w:pStyle w:val="NormalHanging12a"/>
        <w:ind w:hanging="573"/>
        <w:rPr>
          <w:szCs w:val="24"/>
        </w:rPr>
      </w:pPr>
      <w:r w:rsidRPr="00A521AA">
        <w:rPr>
          <w:szCs w:val="24"/>
        </w:rPr>
        <w:t>20.</w:t>
      </w:r>
      <w:r w:rsidRPr="00A521AA">
        <w:rPr>
          <w:szCs w:val="24"/>
        </w:rPr>
        <w:tab/>
      </w:r>
      <w:r w:rsidR="00493CBC" w:rsidRPr="00A521AA">
        <w:t xml:space="preserve">σημειώνει με ανησυχία ότι ο Οργανισμός δεν έχει εγκρίνει τον «Χάρτη για την πολυμορφία και την ένταξη», ούτε έχει υποβάλει έκθεση σχετικά με τα μέτρα που έχουν ληφθεί για την ένταξη των ατόμων με αναπηρία· υπενθυμίζει ότι ο Χάρτης των Θεμελιωδών Δικαιωμάτων απαγορεύει τις διακρίσεις λόγω αναπηρίας και αναγνωρίζει το δικαίωμα των ατόμων με αναπηρίες να επωφελούνται από μέτρα που τους εξασφαλίζουν αυτονομία, κοινωνική και επαγγελματική ένταξη και συμμετοχή στον κοινοτικό βίο· σημειώνει, ωστόσο, τη δέσμευση του Οργανισμού να αντιμετωπίσει αυτούς τους τομείς μέσω μέτρων που θα εφαρμοστούν μόλις εγκριθεί η επικείμενη στρατηγική για τους ανθρώπινους πόρους· παρατηρεί επίσης ότι ο Οργανισμός έχει αναλάβει πρωτοβουλίες και έχει θέσει σε εφαρμογή διάφορα μέτρα για τη βελτίωση της ευεξίας του προσωπικού του στην εργασία και της ισορροπίας μεταξύ επαγγελματικής και προσωπικής ζωής, όπως </w:t>
      </w:r>
      <w:proofErr w:type="spellStart"/>
      <w:r w:rsidR="00493CBC" w:rsidRPr="00A521AA">
        <w:t>στοχευμένα</w:t>
      </w:r>
      <w:proofErr w:type="spellEnd"/>
      <w:r w:rsidR="00493CBC" w:rsidRPr="00A521AA">
        <w:t xml:space="preserve"> μαθήματα κατάρτισης, συμφωνίες επιπέδου υπηρεσιών με παρόχους φροντίδας παιδιών και σχολεία, μια υπηρεσία ψυχολογικής και κοινωνικής υποστήριξης, εκστρατείες ευαισθητοποίησης, καθώς και δραστηριότητες ελεύθερου χρόνου·</w:t>
      </w:r>
    </w:p>
    <w:p w:rsidR="00493CBC" w:rsidRPr="00A521AA" w:rsidRDefault="00493CBC" w:rsidP="00493CBC">
      <w:pPr>
        <w:pStyle w:val="NormalHanging12a"/>
        <w:rPr>
          <w:b/>
          <w:i/>
          <w:szCs w:val="24"/>
        </w:rPr>
      </w:pPr>
      <w:r w:rsidRPr="00A521AA">
        <w:rPr>
          <w:b/>
          <w:i/>
        </w:rPr>
        <w:t>Σύναψη συμβάσεων</w:t>
      </w:r>
    </w:p>
    <w:p w:rsidR="00493CBC" w:rsidRPr="00A521AA" w:rsidRDefault="00994EE9" w:rsidP="00994EE9">
      <w:pPr>
        <w:pStyle w:val="NormalHanging12a"/>
        <w:ind w:hanging="570"/>
        <w:rPr>
          <w:szCs w:val="24"/>
        </w:rPr>
      </w:pPr>
      <w:r w:rsidRPr="00A521AA">
        <w:rPr>
          <w:szCs w:val="24"/>
        </w:rPr>
        <w:t>21.</w:t>
      </w:r>
      <w:r w:rsidRPr="00A521AA">
        <w:rPr>
          <w:szCs w:val="24"/>
        </w:rPr>
        <w:tab/>
      </w:r>
      <w:r w:rsidR="00493CBC" w:rsidRPr="00A521AA">
        <w:t>υπενθυμίζει τις παρατηρήσεις του Ελεγκτικού Συνεδρίου για τα οικονομικά έτη 2017 και 2020, σύμφωνα με τις οποίες οι διαδικασίες σύναψης δημόσιων συμβάσεων για τις μισθωμένες εγκαταστάσεις στη Λέσβο και στη Ρώμη ήταν παράτυπες λόγω ανεπαρκούς ανταγωνισμού και μη τήρησης της αρχής της οικονομίας· σημειώνει, με βάση την έκθεση του Ελεγκτικού Συνεδρίου, ότι όλες οι επακόλουθες πληρωμές που πραγματοποιήθηκαν σε σχέση με τις εν λόγω διαδικασίες είναι παράτυπες, συμπεριλαμβανομένων των σχετικών πληρωμών ύψους 281 095 EUR που πραγματοποιήθηκαν το 2022· σημειώνει με ικανοποίηση, με βάση την έκθεση του Ελεγκτικού Συνεδρίου, τα διορθωτικά μέτρα που έλαβε ο Οργανισμός, σύμφωνα με τα οποία οι συμβάσεις μίσθωσης για τις εγκαταστάσεις στη Λέσβο και τη Ρώμη έληξαν στις 30 Απριλίου 2023 και στις 31 Ιουλίου 2023, αντίστοιχα· σημειώνει, με βάση την έκθεση δραστηριοτήτων του 2022, ότι επιδιώκεται, σε συνεργασία με τις ελληνικές αρχές, βιώσιμη λύση για τη μίσθωση στη Λέσβο·</w:t>
      </w:r>
    </w:p>
    <w:p w:rsidR="00493CBC" w:rsidRPr="00A521AA" w:rsidRDefault="00994EE9" w:rsidP="00994EE9">
      <w:pPr>
        <w:pStyle w:val="NormalHanging12a"/>
        <w:ind w:hanging="570"/>
        <w:rPr>
          <w:szCs w:val="24"/>
        </w:rPr>
      </w:pPr>
      <w:r w:rsidRPr="00A521AA">
        <w:rPr>
          <w:szCs w:val="24"/>
        </w:rPr>
        <w:t>22.</w:t>
      </w:r>
      <w:r w:rsidRPr="00A521AA">
        <w:rPr>
          <w:szCs w:val="24"/>
        </w:rPr>
        <w:tab/>
      </w:r>
      <w:r w:rsidR="00493CBC" w:rsidRPr="00A521AA">
        <w:t xml:space="preserve">σημειώνει την παρατήρηση που διατυπώνεται στην έκθεση του Ελεγκτικού Συνεδρίου, σύμφωνα με την οποία ο Οργανισμός είχε αγοράσει εξοπλισμό ΤΠ από διαδικτυακό κατάλογο παρόχου αντί από τον </w:t>
      </w:r>
      <w:proofErr w:type="spellStart"/>
      <w:r w:rsidR="00493CBC" w:rsidRPr="00A521AA">
        <w:t>προεγκεκριμένο</w:t>
      </w:r>
      <w:proofErr w:type="spellEnd"/>
      <w:r w:rsidR="00493CBC" w:rsidRPr="00A521AA">
        <w:t xml:space="preserve"> τιμοκατάλογο που περιλαμβάνεται στις οικονομικές και τεχνικές προσφορές· το γεγονός αυτό είχε ως αποτέλεσμα τιμή αγοράς που ήταν 44 % (το ισοδύναμο του ποσού των 49 224 EUR που κρίθηκε παράτυπο από το Ελεγκτικό Συνέδριο) ακριβότερη από ό,τι θα ήταν εάν είχε βασιστεί στον </w:t>
      </w:r>
      <w:proofErr w:type="spellStart"/>
      <w:r w:rsidR="00493CBC" w:rsidRPr="00A521AA">
        <w:t>προεγκεκριμένο</w:t>
      </w:r>
      <w:proofErr w:type="spellEnd"/>
      <w:r w:rsidR="00493CBC" w:rsidRPr="00A521AA">
        <w:t xml:space="preserve"> τιμοκατάλογο· σημειώνει, με βάση την απάντηση του Οργανισμού, ότι η απόφαση αγοράς των εν λόγω ειδών καθορίστηκε από τις επιχειρησιακές ανάγκες και τον επείγοντα χαρακτήρα, καθώς και από την περιορισμένη διαθεσιμότητα προμηθειών ΤΠ στην αγορά και έχουν καθοριστεί επαρκείς έλεγχοι ώστε να παρέχεται εύλογη βεβαιότητα ότι η αγορά ειδών αντικατάστασης από τον διαδικτυακό κατάλογο θα περιορίζεται στην τιμή για το αντίστοιχο αντικείμενο, όπως αναφέρεται στην αρχική προσφορά του αναδόχου έργου·</w:t>
      </w:r>
    </w:p>
    <w:p w:rsidR="00493CBC" w:rsidRPr="00A521AA" w:rsidRDefault="00493CBC" w:rsidP="00493CBC">
      <w:pPr>
        <w:spacing w:after="240"/>
        <w:ind w:left="567" w:hanging="567"/>
        <w:rPr>
          <w:szCs w:val="24"/>
        </w:rPr>
      </w:pPr>
      <w:r w:rsidRPr="00A521AA">
        <w:rPr>
          <w:b/>
          <w:i/>
        </w:rPr>
        <w:t>Πρόληψη και διαχείριση συγκρούσεων συμφερόντων και διαφάνεια</w:t>
      </w:r>
    </w:p>
    <w:p w:rsidR="00493CBC" w:rsidRPr="00A521AA" w:rsidRDefault="00994EE9" w:rsidP="00994EE9">
      <w:pPr>
        <w:pStyle w:val="NormalHanging12a"/>
        <w:ind w:hanging="570"/>
        <w:rPr>
          <w:szCs w:val="24"/>
        </w:rPr>
      </w:pPr>
      <w:r w:rsidRPr="00A521AA">
        <w:rPr>
          <w:szCs w:val="24"/>
        </w:rPr>
        <w:t>23.</w:t>
      </w:r>
      <w:r w:rsidRPr="00A521AA">
        <w:rPr>
          <w:szCs w:val="24"/>
        </w:rPr>
        <w:tab/>
      </w:r>
      <w:r w:rsidR="00493CBC" w:rsidRPr="00A521AA">
        <w:t>επαινεί την πρόοδο που σημείωσε ο Οργανισμός το 2022 στον τομέα της διαχείρισης και της πρόληψης συγκρούσεων συμφερόντων, καθώς και τη δεοντολογική καθοδήγηση μέσω προπαρασκευαστικών εργασιών που οδήγησαν στην έγκριση, τον Ιανουάριο του 2023, μίας απόφασης που ισχύει για τα μέλη του ΔΣ του Οργανισμού, καθώς και για τους οργανισμούς και τα αρμόδια όργανα που είναι μέλη του συμβουλευτικού φόρουμ του Οργανισμού, και δύο αποφάσεων που ισχύουν για το προσωπικό του Οργανισμού· εκφράζει την ικανοποίησή του για τον διορισμό του ανταποκριτή δεοντολογίας του Οργανισμού, καθώς και για τη δέσμευση του Οργανισμού να συμπεριλάβει τυποποιημένα κείμενα σχετικά με τις δηλώσεις σύγκρουσης συμφερόντων στις προσκλήσεις σε συνεδριάσεις που περιλαμβάνουν εξωτερικούς συμμετέχοντες· σημειώνει με ικανοποίηση ότι ο Οργανισμός έχει αναπτύξει καθοδήγηση σχετικά με τους κανόνες και τις διαδικασίες μετά την έξοδο από την υπηρεσία που ισχύουν για το προσωπικό που αποχωρεί από τον Οργανισμό·</w:t>
      </w:r>
    </w:p>
    <w:p w:rsidR="00493CBC" w:rsidRPr="00A521AA" w:rsidRDefault="00994EE9" w:rsidP="00994EE9">
      <w:pPr>
        <w:pStyle w:val="NormalHanging12a"/>
        <w:ind w:hanging="570"/>
        <w:rPr>
          <w:szCs w:val="24"/>
        </w:rPr>
      </w:pPr>
      <w:r w:rsidRPr="00A521AA">
        <w:rPr>
          <w:szCs w:val="24"/>
        </w:rPr>
        <w:t>24.</w:t>
      </w:r>
      <w:r w:rsidRPr="00A521AA">
        <w:rPr>
          <w:szCs w:val="24"/>
        </w:rPr>
        <w:tab/>
      </w:r>
      <w:r w:rsidR="00493CBC" w:rsidRPr="00A521AA">
        <w:t xml:space="preserve">σημειώνει ότι οι δηλώσεις συμφερόντων και τα βιογραφικά σημειώματα των μελών του ΔΣ δημοσιεύονται στον ιστότοπο του Οργανισμού, όπως και οι δηλώσεις συμφερόντων και τα βιογραφικά σημειώματα του διοικητικού προσωπικού του Οργανισμού· παρατηρεί, ωστόσο, ότι τα βιογραφικά σημειώματα εσωτερικών και εξωτερικών εμπειρογνωμόνων δεν είναι διαθέσιμα στον ιστότοπο του Οργανισμού· σημειώνει, με βάση τις απαντήσεις του Οργανισμού στις γραπτές ερωτήσεις του Κοινοβουλίου, ότι το 2022 δεν υπήρχαν εκκρεμείς, </w:t>
      </w:r>
      <w:proofErr w:type="spellStart"/>
      <w:r w:rsidR="00493CBC" w:rsidRPr="00A521AA">
        <w:t>περατωθείσες</w:t>
      </w:r>
      <w:proofErr w:type="spellEnd"/>
      <w:r w:rsidR="00493CBC" w:rsidRPr="00A521AA">
        <w:t xml:space="preserve"> ή εν ενεργεία περιπτώσεις σύγκρουσης συμφερόντων ή καταγγελίας δυσλειτουργιών σε επίπεδο Οργανισμού· συγχαίρει τον Οργανισμό για τη διατήρηση στενού διαλόγου με τις σχετικές οργανώσεις της κοινωνίας των πολιτών που δραστηριοποιούνται στον τομέα του ασύλου μέσω του συμβουλευτικού φόρουμ του Οργανισμού, το οποίο </w:t>
      </w:r>
      <w:proofErr w:type="spellStart"/>
      <w:r w:rsidR="00493CBC" w:rsidRPr="00A521AA">
        <w:t>ανασυστάθηκε</w:t>
      </w:r>
      <w:proofErr w:type="spellEnd"/>
      <w:r w:rsidR="00493CBC" w:rsidRPr="00A521AA">
        <w:t xml:space="preserve"> (116 μέλη) τον Ιούνιο του 2022 με μια νέα δέσμη κανόνων που απορρέουν από τον </w:t>
      </w:r>
      <w:r w:rsidR="00493CBC" w:rsidRPr="00A521AA">
        <w:rPr>
          <w:color w:val="000000" w:themeColor="text1"/>
        </w:rPr>
        <w:t>κανονισμό (ΕΕ) 2021/2303</w:t>
      </w:r>
      <w:r w:rsidR="00493CBC" w:rsidRPr="00A521AA">
        <w:t>·</w:t>
      </w:r>
    </w:p>
    <w:p w:rsidR="00493CBC" w:rsidRPr="00A521AA" w:rsidRDefault="00493CBC" w:rsidP="00493CBC">
      <w:pPr>
        <w:spacing w:after="240"/>
        <w:ind w:left="567" w:hanging="567"/>
        <w:rPr>
          <w:b/>
          <w:i/>
          <w:szCs w:val="24"/>
        </w:rPr>
      </w:pPr>
      <w:r w:rsidRPr="00A521AA">
        <w:rPr>
          <w:b/>
          <w:i/>
        </w:rPr>
        <w:t>Εσωτερικός έλεγχος</w:t>
      </w:r>
    </w:p>
    <w:p w:rsidR="00493CBC" w:rsidRPr="00A521AA" w:rsidRDefault="00994EE9" w:rsidP="00994EE9">
      <w:pPr>
        <w:pStyle w:val="NormalHanging12a"/>
        <w:ind w:hanging="570"/>
        <w:rPr>
          <w:szCs w:val="24"/>
        </w:rPr>
      </w:pPr>
      <w:r w:rsidRPr="00A521AA">
        <w:rPr>
          <w:szCs w:val="24"/>
        </w:rPr>
        <w:t>25.</w:t>
      </w:r>
      <w:r w:rsidRPr="00A521AA">
        <w:rPr>
          <w:szCs w:val="24"/>
        </w:rPr>
        <w:tab/>
      </w:r>
      <w:r w:rsidR="00493CBC" w:rsidRPr="00A521AA">
        <w:t xml:space="preserve">σημειώνει την παρατήρηση της έκθεσης του Ελεγκτικού Συνεδρίου, σύμφωνα με την οποία τρεις περιπτώσεις δευτερεύουσας μεταβίβασης αρμοδιοτήτων για τις οποίες απαιτήθηκε εκ νέου επιβεβαίωση τον Απρίλιο του 2021 δεν είχαν επιβεβαιωθεί εκ νέου έως τον Φεβρουάριο του 2022, όταν διορθώθηκε η κατάσταση, με αποτέλεσμα ο Οργανισμός να παραβιάζει τους εσωτερικούς κανόνες του, οι οποίοι ορίζουν ότι οι δευτερεύουσες μεταβιβάσεις δημοσιονομικών αρμοδιοτήτων πρέπει να ανανεώνονται μόλις οριστεί νέος κύριος </w:t>
      </w:r>
      <w:proofErr w:type="spellStart"/>
      <w:r w:rsidR="00493CBC" w:rsidRPr="00A521AA">
        <w:t>διατάκτης</w:t>
      </w:r>
      <w:proofErr w:type="spellEnd"/>
      <w:r w:rsidR="00493CBC" w:rsidRPr="00A521AA">
        <w:t>·</w:t>
      </w:r>
    </w:p>
    <w:p w:rsidR="00493CBC" w:rsidRPr="00A521AA" w:rsidRDefault="00994EE9" w:rsidP="00994EE9">
      <w:pPr>
        <w:pStyle w:val="NormalHanging12a"/>
        <w:ind w:hanging="570"/>
        <w:rPr>
          <w:szCs w:val="24"/>
        </w:rPr>
      </w:pPr>
      <w:r w:rsidRPr="00A521AA">
        <w:rPr>
          <w:szCs w:val="24"/>
        </w:rPr>
        <w:t>26.</w:t>
      </w:r>
      <w:r w:rsidRPr="00A521AA">
        <w:rPr>
          <w:szCs w:val="24"/>
        </w:rPr>
        <w:tab/>
      </w:r>
      <w:r w:rsidR="00493CBC" w:rsidRPr="00A521AA">
        <w:t>εκφράζει την ικανοποίησή του για την πρόοδο που σημείωσε ο Οργανισμός όσον αφορά την εφαρμογή των συστάσεων, η οποία παρέμεινε ανοικτή σε σχέση με προηγούμενους ελέγχους που διενεργήθηκαν από την Υπηρεσία Εσωτερικού Λογιστικού Ελέγχου και το Ελεγκτικό Συνέδριο· σημειώνει, με βάση την έκθεση δραστηριοτήτων του 2022, ότι ορισμένες συστάσεις, σε σχέση με τον έλεγχο της Υπηρεσίας Εσωτερικού Λογιστικού Ελέγχου του 2020 («Διαχείριση ανθρώπινων πόρων και δεοντολογία στην EASO») και του 2021 («Διαχείριση έργων ΤΠ») εξακολουθούν να βρίσκονται σε εξέλιξη ή να σημειώνουν σημαντική καθυστέρηση· σημειώνει περαιτέρω, με βάση την έκθεση του Ελεγκτικού Συνεδρίου, ότι τρεις συστάσεις από προηγούμενους ελέγχους που διενήργησε το Ελεγκτικό Συνέδριο παραμένουν ανοικτές: δύο συστάσεις σχετικά με τις συμβάσεις μίσθωσης για τις εγκαταστάσεις της Λέσβου και της Ρώμης, τις οποίες ο Οργανισμός αναμένει ότι το Ελεγκτικό Συνέδριο θα θεωρήσει κλειστές το 2024, μετά την πραγματοποίηση των τελευταίων σχετικών (παράτυπων) πληρωμών το 2023 και μία σύσταση σχετικά με τη θέσπιση αποτελεσματικών εκ των υστέρων δημοσιονομικών ελέγχων από τον Οργανισμό· καλεί, στο πλαίσιο αυτό, τον Οργανισμό να επιταχύνει την εφαρμογή των διορθωτικών μέτρων που εκκρεμούν και να τηρεί ενήμερη την αρμόδια για την απαλλαγή αρχή σχετικά με την πρόοδο που σημειώνεται εν προκειμένω·</w:t>
      </w:r>
    </w:p>
    <w:p w:rsidR="00493CBC" w:rsidRPr="00A521AA" w:rsidRDefault="00994EE9" w:rsidP="00994EE9">
      <w:pPr>
        <w:pStyle w:val="NormalHanging12a"/>
        <w:ind w:hanging="570"/>
        <w:rPr>
          <w:szCs w:val="24"/>
        </w:rPr>
      </w:pPr>
      <w:r w:rsidRPr="00A521AA">
        <w:rPr>
          <w:szCs w:val="24"/>
        </w:rPr>
        <w:t>27.</w:t>
      </w:r>
      <w:r w:rsidRPr="00A521AA">
        <w:rPr>
          <w:szCs w:val="24"/>
        </w:rPr>
        <w:tab/>
      </w:r>
      <w:r w:rsidR="00493CBC" w:rsidRPr="00A521AA">
        <w:t xml:space="preserve">σημειώνει ότι ο Οργανισμός διενήργησε </w:t>
      </w:r>
      <w:proofErr w:type="spellStart"/>
      <w:r w:rsidR="00493CBC" w:rsidRPr="00A521AA">
        <w:t>αυτοαξιολόγηση</w:t>
      </w:r>
      <w:proofErr w:type="spellEnd"/>
      <w:r w:rsidR="00493CBC" w:rsidRPr="00A521AA">
        <w:t xml:space="preserve"> του συστήματος εσωτερικού ελέγχου για το 2022, καταλήγοντας στο συμπέρασμα ότι οι συνολικοί έλεγχοι λειτουργούν όπως προβλέπεται, με 10 αρχές να είναι πλήρως αποτελεσματικές και 7 να είναι αποτελεσματικές, ενώ απαιτούνται ορισμένες βελτιώσεις στο επίπεδο των συνιστωσών «Περιβάλλον ελέγχου», «Δραστηριότητες ελέγχου» και «Δραστηριότητες παρακολούθησης»· επισημαίνει, επιπλέον, ότι το 2022 εφαρμόστηκε στρατηγική βάσει κινδύνου για τους εκ των υστέρων δημοσιονομικούς ελέγχους με βάση τις πράξεις του δείγματος και τις πράξεις σύναψης συμβάσεων που κάλυπταν δύο οικονομικά έτη (2020-2021)· παρατηρεί, με βάση την έκθεση δραστηριοτήτων του 2022, ότι τα αποτελέσματα των εν λόγω ελέγχων περιλάμβαναν 44 παρατηρήσεις και πρότειναν 122 διορθωτικά μέτρα· σημειώνει ότι, στο πλαίσιο της άσκησης του συστήματος εσωτερικού ελέγχου για το 2022, κατά το πρώτο τρίμηνο του 2023, ο Οργανισμός διενήργησε ελέγχους σχετικά με την τρέχουσα κατάσταση όσον αφορά την εφαρμογή των εν λόγω 122 (προσυμφωνημένων) διορθωτικών μέτρων, εκ των οποίων μόνο 45 διορθωτικά μέτρα (40 %) είχαν εφαρμοστεί εγκαίρως και επαρκώς από τους σχετικούς ιδιοκτήτες επιχειρήσεων· ζητεί από τον Οργανισμό να επιληφθεί όλων των διορθωτικών μέτρων που εξακολουθούν να παραμένουν ανοικτά και να κρατήσει ενήμερη την αρμόδια για την απαλλαγή αρχή όσον αφορά τη σχετική πρόοδο· παρατηρεί με ικανοποίηση ότι ο Οργανισμός παρουσιάζει με διαφάνεια (παράρτημα IX της έκθεσης δραστηριοτήτων 2022) τις λεπτομέρειες και την τρέχουσα κατάσταση των </w:t>
      </w:r>
      <w:proofErr w:type="spellStart"/>
      <w:r w:rsidR="00493CBC" w:rsidRPr="00A521AA">
        <w:t>εντοπισθέντων</w:t>
      </w:r>
      <w:proofErr w:type="spellEnd"/>
      <w:r w:rsidR="00493CBC" w:rsidRPr="00A521AA">
        <w:t xml:space="preserve"> ελλείψεων και των συμφωνηθέντων διορθωτικών μέτρων που απορρέουν από διάφορες πηγές (διαχείριση εξαιρέσεων και περιστατικών μη συμμόρφωσης, κριτήρια παρακολούθησης εσωτερικού ελέγχου, συστήματα εσωτερικού ελέγχου, δημοσιονομικοί εκ των προτέρων και εκ των υστέρων έλεγχοι, εκθέσεις λογιστικού ελέγχου, διαχείριση κινδύνων κ.λπ.)·</w:t>
      </w:r>
    </w:p>
    <w:p w:rsidR="00493CBC" w:rsidRPr="00A521AA" w:rsidRDefault="00994EE9" w:rsidP="00994EE9">
      <w:pPr>
        <w:pStyle w:val="NormalHanging12a"/>
        <w:ind w:hanging="570"/>
        <w:rPr>
          <w:szCs w:val="24"/>
        </w:rPr>
      </w:pPr>
      <w:r w:rsidRPr="00A521AA">
        <w:rPr>
          <w:szCs w:val="24"/>
        </w:rPr>
        <w:t>28.</w:t>
      </w:r>
      <w:r w:rsidRPr="00A521AA">
        <w:rPr>
          <w:szCs w:val="24"/>
        </w:rPr>
        <w:tab/>
      </w:r>
      <w:r w:rsidR="00493CBC" w:rsidRPr="00A521AA">
        <w:t>υπενθυμίζει ότι η στρατηγική του Οργανισμού για την καταπολέμηση της απάτης για την περίοδο 2020-2022 εγκρίθηκε τον Ιούλιο του 2020, θεσπίζοντας 25 μέτρα προτεραιότητας που παρακολουθούνται μέσω μιας σειράς δραστηριοτήτων ελέγχου· σημειώνει με ικανοποίηση ότι, το 2022, το 93 % των δραστηριοτήτων ελέγχου που σχετίζονται με την εφαρμογή της εν λόγω στρατηγικής θεωρήθηκε ότι υλοποιήθηκαν· εκφράζει την ικανοποίησή του για τις προσπάθειες ευαισθητοποίησης του Οργανισμού όσον αφορά θέματα που σχετίζονται με την καταπολέμηση της απάτης, ενώ το 56,7 % του μόνιμου και λοιπού προσωπικού του Οργανισμού έχει συμμετάσχει σε προγράμματα κατάρτισης σχετικά με την πρόληψη της απάτης και τον εντοπισμό των κινδύνων απάτης· σημειώνει με ικανοποίηση ότι ο Οργανισμός παρουσιάζει με διαφάνεια (παράρτημα XII της έκθεσης δραστηριοτήτων του 2022) τις λεπτομέρειες και την κατάσταση των δραστηριοτήτων ελέγχου όσον αφορά τη στρατηγική του Οργανισμού για την καταπολέμηση της απάτης·</w:t>
      </w:r>
    </w:p>
    <w:p w:rsidR="00493CBC" w:rsidRPr="00A521AA" w:rsidRDefault="00493CBC" w:rsidP="00493CBC">
      <w:pPr>
        <w:spacing w:after="240"/>
        <w:ind w:left="567" w:hanging="567"/>
        <w:rPr>
          <w:b/>
          <w:i/>
          <w:szCs w:val="24"/>
        </w:rPr>
      </w:pPr>
      <w:r w:rsidRPr="00A521AA">
        <w:rPr>
          <w:b/>
          <w:i/>
        </w:rPr>
        <w:t>Λοιπ</w:t>
      </w:r>
      <w:r w:rsidR="00994EE9">
        <w:rPr>
          <w:b/>
          <w:i/>
        </w:rPr>
        <w:t>ές παρατηρήσεις</w:t>
      </w:r>
    </w:p>
    <w:p w:rsidR="00493CBC" w:rsidRPr="00994EE9" w:rsidRDefault="00994EE9" w:rsidP="00994EE9">
      <w:pPr>
        <w:spacing w:after="240"/>
        <w:ind w:left="567" w:hanging="570"/>
        <w:rPr>
          <w:szCs w:val="24"/>
        </w:rPr>
      </w:pPr>
      <w:r w:rsidRPr="00F67DC7">
        <w:rPr>
          <w:szCs w:val="24"/>
        </w:rPr>
        <w:t>29.</w:t>
      </w:r>
      <w:r w:rsidRPr="00F67DC7">
        <w:rPr>
          <w:szCs w:val="24"/>
        </w:rPr>
        <w:tab/>
      </w:r>
      <w:r w:rsidR="00493CBC" w:rsidRPr="00A521AA">
        <w:t xml:space="preserve">σημειώνει ότι ο Οργανισμός έχει εφαρμόσει διάφορα μέτρα για την αύξηση της δημόσιας προβολής και της διαδικτυακής παρουσίας του, π.χ. με τη δημιουργία ενός αναβαθμισμένου δικτυακού τόπου και μιας νέας εταιρικής εικαστικής ταυτότητας, την αναβάθμιση του χαρτοφυλακίου μέσων κοινωνικής δικτύωσης με έμφαση στους οπτικοακουστικούς </w:t>
      </w:r>
      <w:proofErr w:type="spellStart"/>
      <w:r w:rsidR="00493CBC" w:rsidRPr="00A521AA">
        <w:t>μορφότυπους</w:t>
      </w:r>
      <w:proofErr w:type="spellEnd"/>
      <w:r w:rsidR="00493CBC" w:rsidRPr="00A521AA">
        <w:t xml:space="preserve"> και την υποδοχή ομάδων φοιτητών στις εγκαταστάσεις του·</w:t>
      </w:r>
    </w:p>
    <w:p w:rsidR="00493CBC" w:rsidRPr="00A521AA" w:rsidRDefault="00994EE9" w:rsidP="00994EE9">
      <w:pPr>
        <w:pStyle w:val="NormalHanging12a"/>
        <w:ind w:hanging="570"/>
      </w:pPr>
      <w:r w:rsidRPr="00A521AA">
        <w:t>30.</w:t>
      </w:r>
      <w:r w:rsidRPr="00A521AA">
        <w:tab/>
      </w:r>
      <w:r w:rsidR="00493CBC" w:rsidRPr="00A521AA">
        <w:t>υπενθυμίζει τον ρόλο του Οργανισμού στην παροχή στήριξης για την επεξεργασία των αιτήσεων διεθνούς προστασίας, καθώς και για την κατάρτιση των χειριστών υποθέσεων που είναι υπεύθυνοι για τη διεκπεραίωση των αιτήσεων ασύλου· επισημαίνει την ανάγκη να συνεχίσει ο Οργανισμός να παρέχει στήριξη στα κράτη μέλη και σε τρίτες χώρες όσον αφορά τον χειρισμό των αιτήσεων του ασύλου και της μετανάστευσης· ζητά να επικεντρωθεί ο προϋπολογισμός στην περαιτέρω πρόσληψη προσωπικού, εάν κρίνεται απαραίτητο, για να βοηθηθούν τα κράτη μέλη να διασφαλίσουν τη δίκαιη και αμερόληπτη εξέταση των αιτήσεων ασύλου για διεθνή προστασία, ιδίως των διερμηνέων και των ψυχολόγων για αιτούντες που ανήκουν σε ευάλωτες ομάδες·</w:t>
      </w:r>
    </w:p>
    <w:p w:rsidR="00493CBC" w:rsidRPr="00A521AA" w:rsidRDefault="00493CBC" w:rsidP="00493CBC">
      <w:pPr>
        <w:pStyle w:val="NormalCenter12a"/>
      </w:pPr>
      <w:r w:rsidRPr="00A521AA">
        <w:t>°</w:t>
      </w:r>
    </w:p>
    <w:p w:rsidR="00493CBC" w:rsidRPr="00A521AA" w:rsidRDefault="00493CBC" w:rsidP="00493CBC">
      <w:pPr>
        <w:pStyle w:val="NormalCenter12a"/>
      </w:pPr>
      <w:r w:rsidRPr="00A521AA">
        <w:t>°</w:t>
      </w:r>
      <w:r w:rsidRPr="00A521AA">
        <w:tab/>
        <w:t>°</w:t>
      </w:r>
    </w:p>
    <w:p w:rsidR="00493CBC" w:rsidRPr="00A521AA" w:rsidRDefault="00994EE9" w:rsidP="00994EE9">
      <w:pPr>
        <w:pStyle w:val="NormalHanging12a"/>
        <w:ind w:hanging="570"/>
      </w:pPr>
      <w:r w:rsidRPr="00A521AA">
        <w:t>31.</w:t>
      </w:r>
      <w:r w:rsidRPr="00A521AA">
        <w:tab/>
      </w:r>
      <w:r w:rsidR="00493CBC" w:rsidRPr="00A521AA">
        <w:t xml:space="preserve">παραπέμπει, όσον αφορά άλλες παρατηρήσεις οριζόντιου χαρακτήρα που συνοδεύουν την απόφαση απαλλαγής, στο ψήφισμά του της </w:t>
      </w:r>
      <w:r w:rsidR="00946508">
        <w:t xml:space="preserve">11ης Απριλίου </w:t>
      </w:r>
      <w:r w:rsidR="00946508" w:rsidRPr="00A521AA">
        <w:t>2024</w:t>
      </w:r>
      <w:r w:rsidR="00493CBC" w:rsidRPr="00A521AA">
        <w:rPr>
          <w:rStyle w:val="FootnoteReference"/>
        </w:rPr>
        <w:footnoteReference w:id="14"/>
      </w:r>
      <w:r w:rsidR="00493CBC" w:rsidRPr="00A521AA">
        <w:t xml:space="preserve"> σχετικά με τις επιδόσεις, τη χρηματοοικονομική διαχείριση και τον έλεγχο των οργανισμών.</w:t>
      </w:r>
    </w:p>
    <w:p w:rsidR="00E365E1" w:rsidRPr="00A521AA" w:rsidRDefault="00E365E1" w:rsidP="00AF671B">
      <w:bookmarkStart w:id="9" w:name="TextBodyEnd"/>
      <w:bookmarkEnd w:id="9"/>
    </w:p>
    <w:sectPr w:rsidR="00E365E1" w:rsidRPr="00A521AA" w:rsidSect="00A521A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671B" w:rsidRPr="00A521AA" w:rsidRDefault="00AF671B">
      <w:r w:rsidRPr="00A521AA">
        <w:separator/>
      </w:r>
    </w:p>
  </w:endnote>
  <w:endnote w:type="continuationSeparator" w:id="0">
    <w:p w:rsidR="00AF671B" w:rsidRPr="00A521AA" w:rsidRDefault="00AF671B">
      <w:r w:rsidRPr="00A521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CBC" w:rsidRPr="00A521AA" w:rsidRDefault="00493CBC" w:rsidP="007413BE">
    <w:pPr>
      <w:pStyle w:val="EPFooter"/>
    </w:pPr>
    <w:r w:rsidRPr="00A521AA">
      <w:t>PE</w:t>
    </w:r>
    <w:r w:rsidRPr="00A521AA">
      <w:rPr>
        <w:rStyle w:val="HideTWBExt"/>
      </w:rPr>
      <w:t>&lt;</w:t>
    </w:r>
    <w:proofErr w:type="spellStart"/>
    <w:r w:rsidRPr="00A521AA">
      <w:rPr>
        <w:rStyle w:val="HideTWBExt"/>
      </w:rPr>
      <w:t>NoPE</w:t>
    </w:r>
    <w:proofErr w:type="spellEnd"/>
    <w:r w:rsidRPr="00A521AA">
      <w:rPr>
        <w:rStyle w:val="HideTWBExt"/>
      </w:rPr>
      <w:t>&gt;</w:t>
    </w:r>
    <w:r w:rsidRPr="00A521AA">
      <w:t>753.532</w:t>
    </w:r>
    <w:r w:rsidRPr="00A521AA">
      <w:rPr>
        <w:rStyle w:val="HideTWBExt"/>
      </w:rPr>
      <w:t>&lt;/</w:t>
    </w:r>
    <w:proofErr w:type="spellStart"/>
    <w:r w:rsidRPr="00A521AA">
      <w:rPr>
        <w:rStyle w:val="HideTWBExt"/>
      </w:rPr>
      <w:t>NoPE</w:t>
    </w:r>
    <w:proofErr w:type="spellEnd"/>
    <w:r w:rsidRPr="00A521AA">
      <w:rPr>
        <w:rStyle w:val="HideTWBExt"/>
      </w:rPr>
      <w:t>&gt;&lt;Version&gt;</w:t>
    </w:r>
    <w:r w:rsidRPr="00A521AA">
      <w:t>v03-00</w:t>
    </w:r>
    <w:r w:rsidRPr="00A521AA">
      <w:rPr>
        <w:rStyle w:val="HideTWBExt"/>
      </w:rPr>
      <w:t>&lt;/</w:t>
    </w:r>
    <w:proofErr w:type="spellStart"/>
    <w:r w:rsidRPr="00A521AA">
      <w:rPr>
        <w:rStyle w:val="HideTWBExt"/>
      </w:rPr>
      <w:t>Version</w:t>
    </w:r>
    <w:proofErr w:type="spellEnd"/>
    <w:r w:rsidRPr="00A521AA">
      <w:rPr>
        <w:rStyle w:val="HideTWBExt"/>
      </w:rPr>
      <w:t>&gt;</w:t>
    </w:r>
    <w:r w:rsidRPr="00A521AA">
      <w:tab/>
    </w:r>
    <w:r w:rsidRPr="00A521AA">
      <w:fldChar w:fldCharType="begin"/>
    </w:r>
    <w:r w:rsidRPr="00A521AA">
      <w:instrText xml:space="preserve"> PAGE  \* MERGEFORMAT </w:instrText>
    </w:r>
    <w:r w:rsidRPr="00A521AA">
      <w:fldChar w:fldCharType="separate"/>
    </w:r>
    <w:r w:rsidRPr="00A521AA">
      <w:rPr>
        <w:noProof/>
      </w:rPr>
      <w:t>4</w:t>
    </w:r>
    <w:r w:rsidRPr="00A521AA">
      <w:fldChar w:fldCharType="end"/>
    </w:r>
    <w:r w:rsidRPr="00A521AA">
      <w:t>/</w:t>
    </w:r>
    <w:fldSimple w:instr=" NUMPAGES  \* MERGEFORMAT ">
      <w:r w:rsidRPr="00A521AA">
        <w:rPr>
          <w:noProof/>
        </w:rPr>
        <w:t>4</w:t>
      </w:r>
    </w:fldSimple>
    <w:r w:rsidRPr="00A521AA">
      <w:tab/>
    </w:r>
    <w:r w:rsidRPr="00A521AA">
      <w:rPr>
        <w:rStyle w:val="HideTWBExt"/>
      </w:rPr>
      <w:t>&lt;PathFdR&gt;</w:t>
    </w:r>
    <w:r w:rsidRPr="00A521AA">
      <w:t>RR\1299515EL.docx</w:t>
    </w:r>
    <w:r w:rsidRPr="00A521AA">
      <w:rPr>
        <w:rStyle w:val="HideTWBExt"/>
      </w:rPr>
      <w:t>&lt;/</w:t>
    </w:r>
    <w:proofErr w:type="spellStart"/>
    <w:r w:rsidRPr="00A521AA">
      <w:rPr>
        <w:rStyle w:val="HideTWBExt"/>
      </w:rPr>
      <w:t>PathFdR</w:t>
    </w:r>
    <w:proofErr w:type="spellEnd"/>
    <w:r w:rsidRPr="00A521AA">
      <w:rPr>
        <w:rStyle w:val="HideTWBExt"/>
      </w:rPr>
      <w:t>&gt;</w:t>
    </w:r>
  </w:p>
  <w:p w:rsidR="00493CBC" w:rsidRPr="00A521AA" w:rsidRDefault="00493CBC" w:rsidP="007413BE">
    <w:pPr>
      <w:pStyle w:val="EPFooter2"/>
    </w:pPr>
    <w:r w:rsidRPr="00A521AA">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CBC" w:rsidRPr="00A521AA" w:rsidRDefault="00493CBC" w:rsidP="007413BE">
    <w:pPr>
      <w:pStyle w:val="EPFooter"/>
    </w:pPr>
    <w:r w:rsidRPr="00A521AA">
      <w:rPr>
        <w:rStyle w:val="HideTWBExt"/>
      </w:rPr>
      <w:t>&lt;PathFdR&gt;</w:t>
    </w:r>
    <w:r w:rsidRPr="00A521AA">
      <w:t>RR\1299515EL.docx</w:t>
    </w:r>
    <w:r w:rsidRPr="00A521AA">
      <w:rPr>
        <w:rStyle w:val="HideTWBExt"/>
      </w:rPr>
      <w:t>&lt;/</w:t>
    </w:r>
    <w:proofErr w:type="spellStart"/>
    <w:r w:rsidRPr="00A521AA">
      <w:rPr>
        <w:rStyle w:val="HideTWBExt"/>
      </w:rPr>
      <w:t>PathFdR</w:t>
    </w:r>
    <w:proofErr w:type="spellEnd"/>
    <w:r w:rsidRPr="00A521AA">
      <w:rPr>
        <w:rStyle w:val="HideTWBExt"/>
      </w:rPr>
      <w:t>&gt;</w:t>
    </w:r>
    <w:r w:rsidRPr="00A521AA">
      <w:tab/>
    </w:r>
    <w:r w:rsidRPr="00A521AA">
      <w:tab/>
      <w:t>PE</w:t>
    </w:r>
    <w:r w:rsidRPr="00A521AA">
      <w:rPr>
        <w:rStyle w:val="HideTWBExt"/>
      </w:rPr>
      <w:t>&lt;</w:t>
    </w:r>
    <w:proofErr w:type="spellStart"/>
    <w:r w:rsidRPr="00A521AA">
      <w:rPr>
        <w:rStyle w:val="HideTWBExt"/>
      </w:rPr>
      <w:t>NoPE</w:t>
    </w:r>
    <w:proofErr w:type="spellEnd"/>
    <w:r w:rsidRPr="00A521AA">
      <w:rPr>
        <w:rStyle w:val="HideTWBExt"/>
      </w:rPr>
      <w:t>&gt;</w:t>
    </w:r>
    <w:r w:rsidRPr="00A521AA">
      <w:t>753.532</w:t>
    </w:r>
    <w:r w:rsidRPr="00A521AA">
      <w:rPr>
        <w:rStyle w:val="HideTWBExt"/>
      </w:rPr>
      <w:t>&lt;/</w:t>
    </w:r>
    <w:proofErr w:type="spellStart"/>
    <w:r w:rsidRPr="00A521AA">
      <w:rPr>
        <w:rStyle w:val="HideTWBExt"/>
      </w:rPr>
      <w:t>NoPE</w:t>
    </w:r>
    <w:proofErr w:type="spellEnd"/>
    <w:r w:rsidRPr="00A521AA">
      <w:rPr>
        <w:rStyle w:val="HideTWBExt"/>
      </w:rPr>
      <w:t>&gt;&lt;Version&gt;</w:t>
    </w:r>
    <w:r w:rsidRPr="00A521AA">
      <w:t>v03-00</w:t>
    </w:r>
    <w:r w:rsidRPr="00A521AA">
      <w:rPr>
        <w:rStyle w:val="HideTWBExt"/>
      </w:rPr>
      <w:t>&lt;/</w:t>
    </w:r>
    <w:proofErr w:type="spellStart"/>
    <w:r w:rsidRPr="00A521AA">
      <w:rPr>
        <w:rStyle w:val="HideTWBExt"/>
      </w:rPr>
      <w:t>Version</w:t>
    </w:r>
    <w:proofErr w:type="spellEnd"/>
    <w:r w:rsidRPr="00A521AA">
      <w:rPr>
        <w:rStyle w:val="HideTWBExt"/>
      </w:rPr>
      <w:t>&gt;</w:t>
    </w:r>
  </w:p>
  <w:p w:rsidR="00493CBC" w:rsidRPr="00A521AA" w:rsidRDefault="00493CBC" w:rsidP="007413BE">
    <w:pPr>
      <w:pStyle w:val="EPFooter2"/>
    </w:pPr>
    <w:r w:rsidRPr="00A521AA">
      <w:t>EL</w:t>
    </w:r>
    <w:r w:rsidRPr="00A521AA">
      <w:tab/>
    </w:r>
    <w:r w:rsidRPr="00A521AA">
      <w:rPr>
        <w:b w:val="0"/>
        <w:i/>
        <w:color w:val="C0C0C0"/>
        <w:sz w:val="22"/>
      </w:rPr>
      <w:t>Ενωμένη στην πολυμορφία</w:t>
    </w:r>
    <w:r w:rsidRPr="00A521AA">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21A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21A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21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671B" w:rsidRPr="00A521AA" w:rsidRDefault="00AF671B">
      <w:r w:rsidRPr="00A521AA">
        <w:separator/>
      </w:r>
    </w:p>
  </w:footnote>
  <w:footnote w:type="continuationSeparator" w:id="0">
    <w:p w:rsidR="00AF671B" w:rsidRPr="00A521AA" w:rsidRDefault="00AF671B">
      <w:r w:rsidRPr="00A521AA">
        <w:continuationSeparator/>
      </w:r>
    </w:p>
  </w:footnote>
  <w:footnote w:id="1">
    <w:p w:rsidR="00493CBC" w:rsidRPr="00A521AA" w:rsidRDefault="00493CBC" w:rsidP="00A521AA">
      <w:pPr>
        <w:pStyle w:val="FootnoteText"/>
        <w:ind w:left="567" w:hanging="567"/>
        <w:rPr>
          <w:sz w:val="24"/>
          <w:lang w:val="el-GR"/>
        </w:rPr>
      </w:pPr>
      <w:r w:rsidRPr="00A521AA">
        <w:rPr>
          <w:rStyle w:val="FootnoteReference"/>
          <w:sz w:val="24"/>
          <w:lang w:val="el-GR"/>
        </w:rPr>
        <w:footnoteRef/>
      </w:r>
      <w:r w:rsidR="00A521AA" w:rsidRPr="00A521AA">
        <w:rPr>
          <w:sz w:val="24"/>
          <w:lang w:val="el-GR"/>
        </w:rPr>
        <w:t xml:space="preserve"> </w:t>
      </w:r>
      <w:r w:rsidR="00A521AA" w:rsidRPr="00A521AA">
        <w:rPr>
          <w:sz w:val="24"/>
          <w:lang w:val="el-GR"/>
        </w:rPr>
        <w:tab/>
      </w:r>
      <w:r w:rsidRPr="00A521AA">
        <w:rPr>
          <w:sz w:val="24"/>
          <w:lang w:val="el-GR"/>
        </w:rPr>
        <w:t>ΕΕ C, C/2023/594, 27.10.2023.</w:t>
      </w:r>
    </w:p>
  </w:footnote>
  <w:footnote w:id="2">
    <w:p w:rsidR="00493CBC" w:rsidRPr="00A521AA" w:rsidRDefault="00493CBC" w:rsidP="00A521AA">
      <w:pPr>
        <w:pStyle w:val="FootnoteText"/>
        <w:ind w:left="567" w:hanging="567"/>
        <w:rPr>
          <w:sz w:val="24"/>
          <w:lang w:val="el-GR"/>
        </w:rPr>
      </w:pPr>
      <w:r w:rsidRPr="00A521AA">
        <w:rPr>
          <w:rStyle w:val="FootnoteReference"/>
          <w:sz w:val="24"/>
          <w:lang w:val="el-GR"/>
        </w:rPr>
        <w:footnoteRef/>
      </w:r>
      <w:r w:rsidR="00A521AA" w:rsidRPr="00A521AA">
        <w:rPr>
          <w:sz w:val="24"/>
          <w:lang w:val="el-GR"/>
        </w:rPr>
        <w:t xml:space="preserve"> </w:t>
      </w:r>
      <w:r w:rsidR="00A521AA" w:rsidRPr="00A521AA">
        <w:rPr>
          <w:sz w:val="24"/>
          <w:lang w:val="el-GR"/>
        </w:rPr>
        <w:tab/>
      </w:r>
      <w:r w:rsidRPr="00A521AA">
        <w:rPr>
          <w:sz w:val="24"/>
          <w:lang w:val="el-GR"/>
        </w:rPr>
        <w:t>ΕΕ C, C/2023/112, 12.10.2023.</w:t>
      </w:r>
    </w:p>
  </w:footnote>
  <w:footnote w:id="3">
    <w:p w:rsidR="00493CBC" w:rsidRPr="00A521AA" w:rsidRDefault="00493CBC" w:rsidP="00A521AA">
      <w:pPr>
        <w:pStyle w:val="FootnoteText"/>
        <w:ind w:left="567" w:hanging="567"/>
        <w:rPr>
          <w:sz w:val="24"/>
          <w:lang w:val="el-GR"/>
        </w:rPr>
      </w:pPr>
      <w:r w:rsidRPr="00A521AA">
        <w:rPr>
          <w:rStyle w:val="FootnoteReference"/>
          <w:sz w:val="24"/>
          <w:lang w:val="el-GR"/>
        </w:rPr>
        <w:footnoteRef/>
      </w:r>
      <w:r w:rsidR="00A521AA" w:rsidRPr="00A521AA">
        <w:rPr>
          <w:sz w:val="24"/>
          <w:lang w:val="el-GR"/>
        </w:rPr>
        <w:t xml:space="preserve"> </w:t>
      </w:r>
      <w:r w:rsidR="00A521AA" w:rsidRPr="00A521AA">
        <w:rPr>
          <w:sz w:val="24"/>
          <w:lang w:val="el-GR"/>
        </w:rPr>
        <w:tab/>
      </w:r>
      <w:r w:rsidRPr="00A521AA">
        <w:rPr>
          <w:sz w:val="24"/>
          <w:lang w:val="el-GR"/>
        </w:rPr>
        <w:t>ΕΕ L 193 της 30.7.2018, σ. 1.</w:t>
      </w:r>
    </w:p>
  </w:footnote>
  <w:footnote w:id="4">
    <w:p w:rsidR="00493CBC" w:rsidRPr="00A521AA" w:rsidRDefault="00493CBC" w:rsidP="00A521AA">
      <w:pPr>
        <w:pStyle w:val="FootnoteText"/>
        <w:ind w:left="567" w:hanging="567"/>
        <w:rPr>
          <w:sz w:val="24"/>
          <w:lang w:val="el-GR"/>
        </w:rPr>
      </w:pPr>
      <w:r w:rsidRPr="00A521AA">
        <w:rPr>
          <w:rStyle w:val="FootnoteReference"/>
          <w:sz w:val="24"/>
          <w:lang w:val="el-GR"/>
        </w:rPr>
        <w:footnoteRef/>
      </w:r>
      <w:r w:rsidR="00A521AA" w:rsidRPr="00A521AA">
        <w:rPr>
          <w:sz w:val="24"/>
          <w:lang w:val="el-GR"/>
        </w:rPr>
        <w:t xml:space="preserve"> </w:t>
      </w:r>
      <w:r w:rsidR="00A521AA" w:rsidRPr="00A521AA">
        <w:rPr>
          <w:sz w:val="24"/>
          <w:lang w:val="el-GR"/>
        </w:rPr>
        <w:tab/>
      </w:r>
      <w:r w:rsidRPr="00A521AA">
        <w:rPr>
          <w:sz w:val="24"/>
          <w:lang w:val="el-GR"/>
        </w:rPr>
        <w:t>ΕΕ L 132 της 29.5.2010, σ. 11.</w:t>
      </w:r>
    </w:p>
  </w:footnote>
  <w:footnote w:id="5">
    <w:p w:rsidR="00493CBC" w:rsidRPr="00A521AA" w:rsidRDefault="00493CBC" w:rsidP="00A521AA">
      <w:pPr>
        <w:pStyle w:val="FootnoteText"/>
        <w:ind w:left="567" w:hanging="567"/>
        <w:rPr>
          <w:sz w:val="24"/>
          <w:szCs w:val="24"/>
          <w:lang w:val="el-GR"/>
        </w:rPr>
      </w:pPr>
      <w:r w:rsidRPr="00A521AA">
        <w:rPr>
          <w:rStyle w:val="FootnoteReference"/>
          <w:sz w:val="24"/>
          <w:lang w:val="el-GR"/>
        </w:rPr>
        <w:footnoteRef/>
      </w:r>
      <w:r w:rsidR="00A521AA" w:rsidRPr="00A521AA">
        <w:rPr>
          <w:sz w:val="24"/>
          <w:lang w:val="el-GR"/>
        </w:rPr>
        <w:t xml:space="preserve"> </w:t>
      </w:r>
      <w:r w:rsidR="00A521AA" w:rsidRPr="00A521AA">
        <w:rPr>
          <w:sz w:val="24"/>
          <w:lang w:val="el-GR"/>
        </w:rPr>
        <w:tab/>
      </w:r>
      <w:r w:rsidRPr="00A521AA">
        <w:rPr>
          <w:sz w:val="24"/>
          <w:lang w:val="el-GR"/>
        </w:rPr>
        <w:t>ΕΕ L 468 της 30.12.2021, σ. 1.</w:t>
      </w:r>
    </w:p>
  </w:footnote>
  <w:footnote w:id="6">
    <w:p w:rsidR="00493CBC" w:rsidRPr="00A521AA" w:rsidRDefault="00493CBC" w:rsidP="00A521AA">
      <w:pPr>
        <w:pStyle w:val="FootnoteText"/>
        <w:ind w:left="567" w:hanging="567"/>
        <w:rPr>
          <w:sz w:val="24"/>
          <w:lang w:val="el-GR"/>
        </w:rPr>
      </w:pPr>
      <w:r w:rsidRPr="00A521AA">
        <w:rPr>
          <w:rStyle w:val="FootnoteReference"/>
          <w:sz w:val="24"/>
          <w:lang w:val="el-GR"/>
        </w:rPr>
        <w:footnoteRef/>
      </w:r>
      <w:r w:rsidR="00A521AA" w:rsidRPr="00A521AA">
        <w:rPr>
          <w:sz w:val="24"/>
          <w:lang w:val="el-GR"/>
        </w:rPr>
        <w:t xml:space="preserve"> </w:t>
      </w:r>
      <w:r w:rsidR="00A521AA" w:rsidRPr="00A521AA">
        <w:rPr>
          <w:sz w:val="24"/>
          <w:lang w:val="el-GR"/>
        </w:rPr>
        <w:tab/>
      </w:r>
      <w:r w:rsidRPr="00A521AA">
        <w:rPr>
          <w:sz w:val="24"/>
          <w:lang w:val="el-GR"/>
        </w:rPr>
        <w:t>ΕΕ L 122 της 10.5.2019, σ. 1.</w:t>
      </w:r>
    </w:p>
  </w:footnote>
  <w:footnote w:id="7">
    <w:p w:rsidR="00493CBC" w:rsidRPr="00A521AA" w:rsidRDefault="00493CBC" w:rsidP="00A521AA">
      <w:pPr>
        <w:pStyle w:val="FootnoteText"/>
        <w:ind w:left="567" w:hanging="567"/>
        <w:rPr>
          <w:sz w:val="24"/>
          <w:lang w:val="el-GR"/>
        </w:rPr>
      </w:pPr>
      <w:r w:rsidRPr="00A521AA">
        <w:rPr>
          <w:rStyle w:val="FootnoteReference"/>
          <w:sz w:val="24"/>
          <w:lang w:val="el-GR"/>
        </w:rPr>
        <w:footnoteRef/>
      </w:r>
      <w:r w:rsidR="00A521AA" w:rsidRPr="00A521AA">
        <w:rPr>
          <w:sz w:val="24"/>
          <w:lang w:val="el-GR"/>
        </w:rPr>
        <w:t xml:space="preserve"> </w:t>
      </w:r>
      <w:r w:rsidR="00A521AA" w:rsidRPr="00A521AA">
        <w:rPr>
          <w:sz w:val="24"/>
          <w:lang w:val="el-GR"/>
        </w:rPr>
        <w:tab/>
      </w:r>
      <w:r w:rsidRPr="00A521AA">
        <w:rPr>
          <w:sz w:val="24"/>
          <w:lang w:val="el-GR"/>
        </w:rPr>
        <w:t>ΕΕ C, C/2023/594, 27.10.2023.</w:t>
      </w:r>
    </w:p>
  </w:footnote>
  <w:footnote w:id="8">
    <w:p w:rsidR="00493CBC" w:rsidRPr="00A521AA" w:rsidRDefault="00493CBC" w:rsidP="00A521AA">
      <w:pPr>
        <w:pStyle w:val="FootnoteText"/>
        <w:ind w:left="567" w:hanging="567"/>
        <w:rPr>
          <w:sz w:val="24"/>
          <w:lang w:val="el-GR"/>
        </w:rPr>
      </w:pPr>
      <w:r w:rsidRPr="00A521AA">
        <w:rPr>
          <w:rStyle w:val="FootnoteReference"/>
          <w:sz w:val="24"/>
          <w:lang w:val="el-GR"/>
        </w:rPr>
        <w:footnoteRef/>
      </w:r>
      <w:r w:rsidR="00A521AA" w:rsidRPr="00A521AA">
        <w:rPr>
          <w:sz w:val="24"/>
          <w:lang w:val="el-GR"/>
        </w:rPr>
        <w:t xml:space="preserve"> </w:t>
      </w:r>
      <w:r w:rsidR="00A521AA" w:rsidRPr="00A521AA">
        <w:rPr>
          <w:sz w:val="24"/>
          <w:lang w:val="el-GR"/>
        </w:rPr>
        <w:tab/>
      </w:r>
      <w:r w:rsidRPr="00A521AA">
        <w:rPr>
          <w:sz w:val="24"/>
          <w:lang w:val="el-GR"/>
        </w:rPr>
        <w:t>ΕΕ C, C/2023/112, 12.10.2023.</w:t>
      </w:r>
    </w:p>
  </w:footnote>
  <w:footnote w:id="9">
    <w:p w:rsidR="00493CBC" w:rsidRPr="00A521AA" w:rsidRDefault="00493CBC" w:rsidP="00A521AA">
      <w:pPr>
        <w:pStyle w:val="FootnoteText"/>
        <w:ind w:left="567" w:hanging="567"/>
        <w:rPr>
          <w:sz w:val="24"/>
          <w:lang w:val="el-GR"/>
        </w:rPr>
      </w:pPr>
      <w:r w:rsidRPr="00A521AA">
        <w:rPr>
          <w:rStyle w:val="FootnoteReference"/>
          <w:sz w:val="24"/>
          <w:lang w:val="el-GR"/>
        </w:rPr>
        <w:footnoteRef/>
      </w:r>
      <w:r w:rsidR="00A521AA" w:rsidRPr="00A521AA">
        <w:rPr>
          <w:sz w:val="24"/>
          <w:lang w:val="el-GR"/>
        </w:rPr>
        <w:t xml:space="preserve"> </w:t>
      </w:r>
      <w:r w:rsidR="00A521AA" w:rsidRPr="00A521AA">
        <w:rPr>
          <w:sz w:val="24"/>
          <w:lang w:val="el-GR"/>
        </w:rPr>
        <w:tab/>
      </w:r>
      <w:r w:rsidRPr="00A521AA">
        <w:rPr>
          <w:sz w:val="24"/>
          <w:lang w:val="el-GR"/>
        </w:rPr>
        <w:t>ΕΕ L 193 της 30.7.2018, σ. 1.</w:t>
      </w:r>
    </w:p>
  </w:footnote>
  <w:footnote w:id="10">
    <w:p w:rsidR="00493CBC" w:rsidRPr="00A521AA" w:rsidRDefault="00493CBC" w:rsidP="00A521AA">
      <w:pPr>
        <w:pStyle w:val="FootnoteText"/>
        <w:ind w:left="567" w:hanging="567"/>
        <w:rPr>
          <w:sz w:val="24"/>
          <w:lang w:val="el-GR"/>
        </w:rPr>
      </w:pPr>
      <w:r w:rsidRPr="00A521AA">
        <w:rPr>
          <w:rStyle w:val="FootnoteReference"/>
          <w:sz w:val="24"/>
          <w:lang w:val="el-GR"/>
        </w:rPr>
        <w:footnoteRef/>
      </w:r>
      <w:r w:rsidR="00A521AA" w:rsidRPr="00A521AA">
        <w:rPr>
          <w:sz w:val="24"/>
          <w:lang w:val="el-GR"/>
        </w:rPr>
        <w:t xml:space="preserve"> </w:t>
      </w:r>
      <w:r w:rsidR="00A521AA" w:rsidRPr="00A521AA">
        <w:rPr>
          <w:sz w:val="24"/>
          <w:lang w:val="el-GR"/>
        </w:rPr>
        <w:tab/>
      </w:r>
      <w:r w:rsidRPr="00A521AA">
        <w:rPr>
          <w:sz w:val="24"/>
          <w:lang w:val="el-GR"/>
        </w:rPr>
        <w:t>ΕΕ L 132 της 29.5.2010, σ. 11.</w:t>
      </w:r>
    </w:p>
  </w:footnote>
  <w:footnote w:id="11">
    <w:p w:rsidR="00493CBC" w:rsidRPr="00A521AA" w:rsidRDefault="00493CBC" w:rsidP="00A521AA">
      <w:pPr>
        <w:pStyle w:val="FootnoteText"/>
        <w:ind w:left="567" w:hanging="567"/>
        <w:rPr>
          <w:sz w:val="24"/>
          <w:lang w:val="el-GR"/>
        </w:rPr>
      </w:pPr>
      <w:r w:rsidRPr="00A521AA">
        <w:rPr>
          <w:rStyle w:val="FootnoteReference"/>
          <w:sz w:val="24"/>
          <w:lang w:val="el-GR"/>
        </w:rPr>
        <w:footnoteRef/>
      </w:r>
      <w:r w:rsidR="00A521AA" w:rsidRPr="00A521AA">
        <w:rPr>
          <w:sz w:val="24"/>
          <w:lang w:val="el-GR"/>
        </w:rPr>
        <w:t xml:space="preserve"> </w:t>
      </w:r>
      <w:r w:rsidR="00A521AA" w:rsidRPr="00A521AA">
        <w:rPr>
          <w:sz w:val="24"/>
          <w:lang w:val="el-GR"/>
        </w:rPr>
        <w:tab/>
      </w:r>
      <w:r w:rsidRPr="00A521AA">
        <w:rPr>
          <w:sz w:val="24"/>
          <w:lang w:val="el-GR"/>
        </w:rPr>
        <w:t>ΕΕ L 468 της 30.12.2021, σ. 1.</w:t>
      </w:r>
    </w:p>
  </w:footnote>
  <w:footnote w:id="12">
    <w:p w:rsidR="00493CBC" w:rsidRPr="00A521AA" w:rsidRDefault="00493CBC" w:rsidP="00A521AA">
      <w:pPr>
        <w:pStyle w:val="FootnoteText"/>
        <w:ind w:left="567" w:hanging="567"/>
        <w:rPr>
          <w:sz w:val="24"/>
          <w:szCs w:val="24"/>
          <w:lang w:val="el-GR"/>
        </w:rPr>
      </w:pPr>
      <w:r w:rsidRPr="00A521AA">
        <w:rPr>
          <w:rStyle w:val="FootnoteReference"/>
          <w:sz w:val="24"/>
          <w:lang w:val="el-GR"/>
        </w:rPr>
        <w:footnoteRef/>
      </w:r>
      <w:r w:rsidR="00A521AA" w:rsidRPr="00A521AA">
        <w:rPr>
          <w:sz w:val="24"/>
          <w:lang w:val="el-GR"/>
        </w:rPr>
        <w:t xml:space="preserve"> </w:t>
      </w:r>
      <w:r w:rsidR="00A521AA" w:rsidRPr="00A521AA">
        <w:rPr>
          <w:sz w:val="24"/>
          <w:lang w:val="el-GR"/>
        </w:rPr>
        <w:tab/>
      </w:r>
      <w:r w:rsidRPr="00A521AA">
        <w:rPr>
          <w:sz w:val="24"/>
          <w:lang w:val="el-GR"/>
        </w:rPr>
        <w:t>ΕΕ L 122 της 10.5.2019, σ. 1.</w:t>
      </w:r>
    </w:p>
  </w:footnote>
  <w:footnote w:id="13">
    <w:p w:rsidR="00493CBC" w:rsidRPr="00A521AA" w:rsidRDefault="00493CBC" w:rsidP="00A521AA">
      <w:pPr>
        <w:pStyle w:val="FootnoteText"/>
        <w:ind w:left="567" w:hanging="567"/>
        <w:rPr>
          <w:sz w:val="24"/>
          <w:lang w:val="el-GR"/>
        </w:rPr>
      </w:pPr>
      <w:r w:rsidRPr="00A521AA">
        <w:rPr>
          <w:sz w:val="24"/>
          <w:vertAlign w:val="superscript"/>
          <w:lang w:val="el-GR"/>
        </w:rPr>
        <w:footnoteRef/>
      </w:r>
      <w:r w:rsidR="00A521AA" w:rsidRPr="00A521AA">
        <w:rPr>
          <w:sz w:val="24"/>
          <w:lang w:val="el-GR"/>
        </w:rPr>
        <w:t xml:space="preserve"> </w:t>
      </w:r>
      <w:r w:rsidR="00A521AA" w:rsidRPr="00A521AA">
        <w:rPr>
          <w:sz w:val="24"/>
          <w:lang w:val="el-GR"/>
        </w:rPr>
        <w:tab/>
      </w:r>
      <w:r w:rsidRPr="00A521AA">
        <w:rPr>
          <w:sz w:val="24"/>
          <w:lang w:val="el-GR"/>
        </w:rPr>
        <w:t>ΕΕ C 38 της 31.01.2023, σ. 180.</w:t>
      </w:r>
    </w:p>
  </w:footnote>
  <w:footnote w:id="14">
    <w:p w:rsidR="00493CBC" w:rsidRPr="00A521AA" w:rsidRDefault="00493CBC" w:rsidP="00A521AA">
      <w:pPr>
        <w:pStyle w:val="FootnoteText"/>
        <w:ind w:left="567" w:hanging="567"/>
        <w:rPr>
          <w:sz w:val="24"/>
          <w:lang w:val="el-GR"/>
        </w:rPr>
      </w:pPr>
      <w:r w:rsidRPr="00A521AA">
        <w:rPr>
          <w:rStyle w:val="FootnoteReference"/>
          <w:sz w:val="24"/>
          <w:lang w:val="el-GR"/>
        </w:rPr>
        <w:footnoteRef/>
      </w:r>
      <w:r w:rsidR="00A521AA" w:rsidRPr="00A521AA">
        <w:rPr>
          <w:sz w:val="24"/>
          <w:lang w:val="el-GR"/>
        </w:rPr>
        <w:t xml:space="preserve"> </w:t>
      </w:r>
      <w:r w:rsidR="00A521AA" w:rsidRPr="00A521AA">
        <w:rPr>
          <w:sz w:val="24"/>
          <w:lang w:val="el-GR"/>
        </w:rPr>
        <w:tab/>
      </w:r>
      <w:r w:rsidRPr="00A521AA">
        <w:rPr>
          <w:sz w:val="24"/>
          <w:lang w:val="el-GR"/>
        </w:rPr>
        <w:t>Κείμενα που εγκρίθηκαν, P9_TA(2024)0</w:t>
      </w:r>
      <w:r w:rsidR="00994EE9">
        <w:rPr>
          <w:sz w:val="24"/>
          <w:lang w:val="el-GR"/>
        </w:rPr>
        <w:t>280</w:t>
      </w:r>
      <w:r w:rsidRPr="00A521AA">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21A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21A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21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1DF4901"/>
    <w:multiLevelType w:val="hybridMultilevel"/>
    <w:tmpl w:val="12769576"/>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2E3FF9"/>
    <w:multiLevelType w:val="hybridMultilevel"/>
    <w:tmpl w:val="54A22ACA"/>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40025F"/>
    <w:multiLevelType w:val="hybridMultilevel"/>
    <w:tmpl w:val="5CF80E06"/>
    <w:lvl w:ilvl="0" w:tplc="12DAB85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4"/>
  </w:num>
  <w:num w:numId="3">
    <w:abstractNumId w:val="1"/>
  </w:num>
  <w:num w:numId="4">
    <w:abstractNumId w:val="2"/>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EL"/>
    <w:docVar w:name="dvnumam" w:val="0"/>
    <w:docVar w:name="dvpe" w:val="753.532"/>
    <w:docVar w:name="dvrapporteur" w:val="Εισηγητής: "/>
    <w:docVar w:name="dvtitre" w:val="Απόφαση του Ευρωπαϊκού Κοινοβουλίου σχετικά με την απαλλαγή όσον αφορά την εκτέλεση του προϋπολογισμού του Οργανισμού της Ευρωπαϊκής Ένωσης για το Άσυλο (πριν από την 19.1.2022, Ευρωπαϊκή Υπηρεσία Υποστήριξης για το Άσυλο) για το οικονομικό έτος 2022(2023/2164(DEC))"/>
  </w:docVars>
  <w:rsids>
    <w:rsidRoot w:val="00AF671B"/>
    <w:rsid w:val="00002272"/>
    <w:rsid w:val="00064002"/>
    <w:rsid w:val="000677B9"/>
    <w:rsid w:val="000831BA"/>
    <w:rsid w:val="000A42CC"/>
    <w:rsid w:val="000E7DD9"/>
    <w:rsid w:val="0010095E"/>
    <w:rsid w:val="00125B37"/>
    <w:rsid w:val="00187494"/>
    <w:rsid w:val="001F32AE"/>
    <w:rsid w:val="002767FF"/>
    <w:rsid w:val="00283567"/>
    <w:rsid w:val="002B18FE"/>
    <w:rsid w:val="002B5493"/>
    <w:rsid w:val="00343214"/>
    <w:rsid w:val="00361C00"/>
    <w:rsid w:val="00395FA1"/>
    <w:rsid w:val="003E15D4"/>
    <w:rsid w:val="00411CCE"/>
    <w:rsid w:val="0041666E"/>
    <w:rsid w:val="00421060"/>
    <w:rsid w:val="00471C19"/>
    <w:rsid w:val="004867E3"/>
    <w:rsid w:val="00493CBC"/>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642"/>
    <w:rsid w:val="008C2AC6"/>
    <w:rsid w:val="00930C23"/>
    <w:rsid w:val="0093193B"/>
    <w:rsid w:val="00946508"/>
    <w:rsid w:val="009509D8"/>
    <w:rsid w:val="00950B64"/>
    <w:rsid w:val="00981893"/>
    <w:rsid w:val="00994EE9"/>
    <w:rsid w:val="00A1687D"/>
    <w:rsid w:val="00A43E52"/>
    <w:rsid w:val="00A4678D"/>
    <w:rsid w:val="00A521AA"/>
    <w:rsid w:val="00A778C7"/>
    <w:rsid w:val="00AB441E"/>
    <w:rsid w:val="00AB6293"/>
    <w:rsid w:val="00AE0928"/>
    <w:rsid w:val="00AF3B82"/>
    <w:rsid w:val="00AF671B"/>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1DCB"/>
    <w:rsid w:val="00ED4235"/>
    <w:rsid w:val="00F04346"/>
    <w:rsid w:val="00F075DC"/>
    <w:rsid w:val="00F149E9"/>
    <w:rsid w:val="00F5134D"/>
    <w:rsid w:val="00F67DC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DACCF"/>
  <w15:chartTrackingRefBased/>
  <w15:docId w15:val="{1D016A26-D2C6-43DE-BC9D-798581314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93CB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93CBC"/>
    <w:pPr>
      <w:spacing w:before="480" w:after="240"/>
    </w:pPr>
  </w:style>
  <w:style w:type="paragraph" w:customStyle="1" w:styleId="PageHeading">
    <w:name w:val="PageHeading"/>
    <w:basedOn w:val="Normal"/>
    <w:rsid w:val="00493CBC"/>
    <w:pPr>
      <w:keepNext/>
      <w:spacing w:after="480"/>
      <w:jc w:val="center"/>
    </w:pPr>
    <w:rPr>
      <w:rFonts w:ascii="Arial" w:hAnsi="Arial" w:cs="Arial"/>
      <w:b/>
    </w:rPr>
  </w:style>
  <w:style w:type="paragraph" w:customStyle="1" w:styleId="NormalBold">
    <w:name w:val="NormalBold"/>
    <w:basedOn w:val="Normal"/>
    <w:rsid w:val="00493CBC"/>
    <w:rPr>
      <w:b/>
    </w:rPr>
  </w:style>
  <w:style w:type="paragraph" w:customStyle="1" w:styleId="NormalHanging12a">
    <w:name w:val="NormalHanging12a"/>
    <w:basedOn w:val="Normal"/>
    <w:link w:val="NormalHanging12aChar"/>
    <w:rsid w:val="00493CBC"/>
    <w:pPr>
      <w:spacing w:after="240"/>
      <w:ind w:left="567" w:hanging="567"/>
    </w:pPr>
  </w:style>
  <w:style w:type="paragraph" w:customStyle="1" w:styleId="NormalCenter12a">
    <w:name w:val="NormalCenter12a"/>
    <w:basedOn w:val="Normal"/>
    <w:rsid w:val="00493CBC"/>
    <w:pPr>
      <w:spacing w:after="240"/>
      <w:jc w:val="center"/>
    </w:pPr>
  </w:style>
  <w:style w:type="paragraph" w:styleId="Header">
    <w:name w:val="header"/>
    <w:basedOn w:val="Normal"/>
    <w:link w:val="HeaderChar"/>
    <w:rsid w:val="00493CBC"/>
    <w:pPr>
      <w:tabs>
        <w:tab w:val="center" w:pos="4513"/>
        <w:tab w:val="right" w:pos="9026"/>
      </w:tabs>
    </w:pPr>
  </w:style>
  <w:style w:type="character" w:customStyle="1" w:styleId="HeaderChar">
    <w:name w:val="Header Char"/>
    <w:basedOn w:val="DefaultParagraphFont"/>
    <w:link w:val="Header"/>
    <w:rsid w:val="00493CBC"/>
    <w:rPr>
      <w:sz w:val="24"/>
      <w:lang w:val="el-GR"/>
    </w:rPr>
  </w:style>
  <w:style w:type="paragraph" w:customStyle="1" w:styleId="EPFooter">
    <w:name w:val="EPFooter"/>
    <w:basedOn w:val="Normal"/>
    <w:rsid w:val="00493CBC"/>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493CBC"/>
    <w:rPr>
      <w:sz w:val="24"/>
      <w:lang w:val="el-GR"/>
    </w:rPr>
  </w:style>
  <w:style w:type="character" w:customStyle="1" w:styleId="Normal12HangingChar">
    <w:name w:val="Normal12Hanging Char"/>
    <w:link w:val="Normal12Hanging"/>
    <w:locked/>
    <w:rsid w:val="00493CBC"/>
    <w:rPr>
      <w:sz w:val="24"/>
    </w:rPr>
  </w:style>
  <w:style w:type="paragraph" w:customStyle="1" w:styleId="Normal12Hanging">
    <w:name w:val="Normal12Hanging"/>
    <w:basedOn w:val="Normal"/>
    <w:link w:val="Normal12HangingChar"/>
    <w:rsid w:val="00493CBC"/>
    <w:pPr>
      <w:spacing w:after="240"/>
      <w:ind w:left="567" w:hanging="567"/>
    </w:pPr>
    <w:rPr>
      <w:lang w:val="en-GB"/>
    </w:rPr>
  </w:style>
  <w:style w:type="paragraph" w:styleId="Footer">
    <w:name w:val="footer"/>
    <w:basedOn w:val="Normal"/>
    <w:link w:val="FooterChar"/>
    <w:rsid w:val="00893642"/>
    <w:pPr>
      <w:tabs>
        <w:tab w:val="center" w:pos="4513"/>
        <w:tab w:val="right" w:pos="9026"/>
      </w:tabs>
    </w:pPr>
  </w:style>
  <w:style w:type="character" w:customStyle="1" w:styleId="FooterChar">
    <w:name w:val="Footer Char"/>
    <w:basedOn w:val="DefaultParagraphFont"/>
    <w:link w:val="Footer"/>
    <w:rsid w:val="00893642"/>
    <w:rPr>
      <w:sz w:val="24"/>
      <w:lang w:val="el-GR"/>
    </w:rPr>
  </w:style>
  <w:style w:type="paragraph" w:styleId="ListParagraph">
    <w:name w:val="List Paragraph"/>
    <w:basedOn w:val="Normal"/>
    <w:uiPriority w:val="34"/>
    <w:qFormat/>
    <w:rsid w:val="00F67D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B8A58-98C6-4D2F-8706-3AEE2DB96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6245</Words>
  <Characters>37333</Characters>
  <Application>Microsoft Office Word</Application>
  <DocSecurity>0</DocSecurity>
  <Lines>311</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2024-05-15T09:46:00Z</dcterms:created>
  <dcterms:modified xsi:type="dcterms:W3CDTF">2024-05-15T09:46:00Z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P9_TA(2024)0268_</vt:lpwstr>
  </property>
  <property fmtid="{D5CDD505-2E9C-101B-9397-08002B2CF9AE}" pid="4" name="&lt;Type&gt;">
    <vt:lpwstr>RR</vt:lpwstr>
  </property>
</Properties>
</file>