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0CB3" w:rsidTr="0010095E">
        <w:trPr>
          <w:trHeight w:hRule="exact" w:val="1418"/>
        </w:trPr>
        <w:tc>
          <w:tcPr>
            <w:tcW w:w="6804" w:type="dxa"/>
            <w:shd w:val="clear" w:color="auto" w:fill="auto"/>
            <w:vAlign w:val="center"/>
          </w:tcPr>
          <w:p w:rsidR="00751A4A" w:rsidRPr="005D0CB3" w:rsidRDefault="0082167B" w:rsidP="0010095E">
            <w:pPr>
              <w:pStyle w:val="EPName"/>
            </w:pPr>
            <w:r w:rsidRPr="005D0CB3">
              <w:t>Euroopa Parlament</w:t>
            </w:r>
          </w:p>
          <w:p w:rsidR="00751A4A" w:rsidRPr="005D0CB3" w:rsidRDefault="00817416" w:rsidP="00756632">
            <w:pPr>
              <w:pStyle w:val="EPTerm"/>
              <w:rPr>
                <w:rStyle w:val="HideTWBExt"/>
                <w:noProof w:val="0"/>
                <w:vanish w:val="0"/>
                <w:color w:val="auto"/>
              </w:rPr>
            </w:pPr>
            <w:r w:rsidRPr="005D0CB3">
              <w:t>2019-2024</w:t>
            </w:r>
          </w:p>
        </w:tc>
        <w:tc>
          <w:tcPr>
            <w:tcW w:w="2268" w:type="dxa"/>
            <w:shd w:val="clear" w:color="auto" w:fill="auto"/>
          </w:tcPr>
          <w:p w:rsidR="00751A4A" w:rsidRPr="005D0CB3" w:rsidRDefault="00187494" w:rsidP="0010095E">
            <w:pPr>
              <w:pStyle w:val="EPLogo"/>
            </w:pPr>
            <w:r w:rsidRPr="005D0C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0CB3" w:rsidRDefault="00D058B8" w:rsidP="004C5D52">
      <w:pPr>
        <w:pStyle w:val="LineTop"/>
      </w:pPr>
    </w:p>
    <w:p w:rsidR="00680577" w:rsidRPr="005D0CB3" w:rsidRDefault="0082167B" w:rsidP="00680577">
      <w:pPr>
        <w:pStyle w:val="EPBodyTA1"/>
      </w:pPr>
      <w:r w:rsidRPr="005D0CB3">
        <w:t>VASTUVÕETUD TEKSTID</w:t>
      </w:r>
    </w:p>
    <w:p w:rsidR="00D058B8" w:rsidRPr="005D0CB3" w:rsidRDefault="00D058B8" w:rsidP="00D058B8">
      <w:pPr>
        <w:pStyle w:val="LineBottom"/>
      </w:pPr>
    </w:p>
    <w:p w:rsidR="0082167B" w:rsidRPr="005D0CB3" w:rsidRDefault="0082167B" w:rsidP="0082167B">
      <w:pPr>
        <w:pStyle w:val="ATHeading1"/>
      </w:pPr>
      <w:bookmarkStart w:id="0" w:name="TANumber"/>
      <w:r w:rsidRPr="005D0CB3">
        <w:t>P9_TA(2024)0</w:t>
      </w:r>
      <w:r w:rsidR="00B70E4F" w:rsidRPr="005D0CB3">
        <w:t>268</w:t>
      </w:r>
      <w:bookmarkEnd w:id="0"/>
    </w:p>
    <w:p w:rsidR="0082167B" w:rsidRPr="005D0CB3" w:rsidRDefault="0082167B" w:rsidP="0082167B">
      <w:pPr>
        <w:pStyle w:val="ATHeading2"/>
      </w:pPr>
      <w:bookmarkStart w:id="1" w:name="title"/>
      <w:r w:rsidRPr="005D0CB3">
        <w:t>2022. aasta eelarve täitmisele heakskiidu andmine – Euroopa Liidu Varjupaigaamet (enne 19.1.2022 Euroopa Varjupaigaküsimuste Tugiamet)</w:t>
      </w:r>
      <w:bookmarkEnd w:id="1"/>
    </w:p>
    <w:p w:rsidR="0082167B" w:rsidRPr="005D0CB3" w:rsidRDefault="0082167B" w:rsidP="0082167B">
      <w:pPr>
        <w:rPr>
          <w:i/>
          <w:vanish/>
        </w:rPr>
      </w:pPr>
      <w:r w:rsidRPr="005D0CB3">
        <w:rPr>
          <w:i/>
        </w:rPr>
        <w:fldChar w:fldCharType="begin"/>
      </w:r>
      <w:r w:rsidRPr="005D0CB3">
        <w:rPr>
          <w:i/>
        </w:rPr>
        <w:instrText xml:space="preserve"> TC"(</w:instrText>
      </w:r>
      <w:bookmarkStart w:id="2" w:name="DocNumber"/>
      <w:r w:rsidRPr="005D0CB3">
        <w:rPr>
          <w:i/>
        </w:rPr>
        <w:instrText>A9-0106/2024</w:instrText>
      </w:r>
      <w:bookmarkEnd w:id="2"/>
      <w:r w:rsidRPr="005D0CB3">
        <w:rPr>
          <w:i/>
        </w:rPr>
        <w:instrText xml:space="preserve"> - Raportöör: Petri Sarvamaa)"\l3 \n&gt; \* MERGEFORMAT </w:instrText>
      </w:r>
      <w:r w:rsidRPr="005D0CB3">
        <w:rPr>
          <w:i/>
        </w:rPr>
        <w:fldChar w:fldCharType="end"/>
      </w:r>
    </w:p>
    <w:p w:rsidR="0082167B" w:rsidRPr="005D0CB3" w:rsidRDefault="0082167B" w:rsidP="0082167B">
      <w:pPr>
        <w:rPr>
          <w:vanish/>
        </w:rPr>
      </w:pPr>
      <w:bookmarkStart w:id="3" w:name="Commission"/>
      <w:r w:rsidRPr="005D0CB3">
        <w:rPr>
          <w:vanish/>
        </w:rPr>
        <w:t>Eelarvekontrollikomisjon</w:t>
      </w:r>
      <w:bookmarkEnd w:id="3"/>
    </w:p>
    <w:p w:rsidR="0082167B" w:rsidRPr="005D0CB3" w:rsidRDefault="0082167B" w:rsidP="0082167B">
      <w:pPr>
        <w:rPr>
          <w:vanish/>
        </w:rPr>
      </w:pPr>
      <w:bookmarkStart w:id="4" w:name="PE"/>
      <w:r w:rsidRPr="005D0CB3">
        <w:rPr>
          <w:vanish/>
        </w:rPr>
        <w:t>PE753.532</w:t>
      </w:r>
      <w:bookmarkEnd w:id="4"/>
    </w:p>
    <w:p w:rsidR="0082167B" w:rsidRPr="005D0CB3" w:rsidRDefault="005D0101" w:rsidP="000E6E3B">
      <w:pPr>
        <w:pStyle w:val="ATHeading3"/>
      </w:pPr>
      <w:bookmarkStart w:id="5" w:name="Sujet"/>
      <w:r w:rsidRPr="005D0CB3">
        <w:t xml:space="preserve">1. </w:t>
      </w:r>
      <w:r w:rsidR="000E6E3B" w:rsidRPr="005D0CB3">
        <w:t>Euroopa Parlamendi 11</w:t>
      </w:r>
      <w:r w:rsidR="0082167B" w:rsidRPr="005D0CB3">
        <w:t>.</w:t>
      </w:r>
      <w:r w:rsidR="000E6E3B" w:rsidRPr="005D0CB3">
        <w:t> aprilli 2024. </w:t>
      </w:r>
      <w:r w:rsidR="0082167B" w:rsidRPr="005D0CB3">
        <w:t>aasta otsus Euroopa Liidu Varjupaigaameti (enne 19.1.2022: Euroopa Varjupaigaküsimuste Tugiamet) 2022. aasta eelarve täitmisele heakskiidu andmise kohta</w:t>
      </w:r>
      <w:bookmarkEnd w:id="5"/>
      <w:r w:rsidR="0082167B" w:rsidRPr="005D0CB3">
        <w:t xml:space="preserve"> </w:t>
      </w:r>
      <w:bookmarkStart w:id="6" w:name="References"/>
      <w:r w:rsidR="0082167B" w:rsidRPr="005D0CB3">
        <w:t>(2023/2164(DEC))</w:t>
      </w:r>
      <w:bookmarkEnd w:id="6"/>
    </w:p>
    <w:p w:rsidR="007D6A18" w:rsidRPr="005D0CB3" w:rsidRDefault="007D6A18" w:rsidP="007D6A18">
      <w:pPr>
        <w:pStyle w:val="EPComma"/>
      </w:pPr>
      <w:bookmarkStart w:id="7" w:name="TextBodyBegin"/>
      <w:bookmarkEnd w:id="7"/>
      <w:r w:rsidRPr="005D0CB3">
        <w:rPr>
          <w:i/>
        </w:rPr>
        <w:t>Euroopa Parlament</w:t>
      </w:r>
      <w:r w:rsidRPr="005D0CB3">
        <w:t>,</w:t>
      </w:r>
    </w:p>
    <w:p w:rsidR="007D6A18" w:rsidRPr="005D0CB3" w:rsidRDefault="007D6A18" w:rsidP="007D6A18">
      <w:pPr>
        <w:pStyle w:val="NormalHanging12a"/>
      </w:pPr>
      <w:r w:rsidRPr="005D0CB3">
        <w:t>–</w:t>
      </w:r>
      <w:r w:rsidRPr="005D0CB3">
        <w:tab/>
        <w:t>võttes arvesse Euroopa Liidu Varjupaigaameti 2022. aasta lõplikku raamatupidamisaruannet,</w:t>
      </w:r>
    </w:p>
    <w:p w:rsidR="007D6A18" w:rsidRPr="005D0CB3" w:rsidRDefault="007D6A18" w:rsidP="007D6A18">
      <w:pPr>
        <w:pStyle w:val="NormalHanging12a"/>
      </w:pPr>
      <w:r w:rsidRPr="005D0CB3">
        <w:t>–</w:t>
      </w:r>
      <w:r w:rsidRPr="005D0CB3">
        <w:tab/>
        <w:t>võttes arvesse kontrollikoja aastaaru</w:t>
      </w:r>
      <w:r w:rsidR="000E6E3B" w:rsidRPr="005D0CB3">
        <w:t>annet ELi asutuste eelarveaasta </w:t>
      </w:r>
      <w:r w:rsidRPr="005D0CB3">
        <w:t>2022 kohta koos asutuste vastustega</w:t>
      </w:r>
      <w:r w:rsidRPr="005D0CB3">
        <w:rPr>
          <w:rStyle w:val="FootnoteReference"/>
        </w:rPr>
        <w:footnoteReference w:id="1"/>
      </w:r>
      <w:r w:rsidRPr="005D0CB3">
        <w:t>,</w:t>
      </w:r>
    </w:p>
    <w:p w:rsidR="007D6A18" w:rsidRPr="005D0CB3" w:rsidRDefault="007D6A18" w:rsidP="007D6A18">
      <w:pPr>
        <w:pStyle w:val="NormalHanging12a"/>
      </w:pPr>
      <w:r w:rsidRPr="005D0CB3">
        <w:t>–</w:t>
      </w:r>
      <w:r w:rsidRPr="005D0CB3">
        <w:tab/>
        <w:t>võttes arvesse vastavalt Euroopa Li</w:t>
      </w:r>
      <w:r w:rsidR="000E6E3B" w:rsidRPr="005D0CB3">
        <w:t>idu toimimise lepingu artiklile </w:t>
      </w:r>
      <w:r w:rsidRPr="005D0CB3">
        <w:t>287 tehtud kontrollikoja kinnitavat avaldust</w:t>
      </w:r>
      <w:r w:rsidRPr="005D0CB3">
        <w:rPr>
          <w:rStyle w:val="FootnoteReference"/>
        </w:rPr>
        <w:footnoteReference w:id="2"/>
      </w:r>
      <w:r w:rsidR="000E6E3B" w:rsidRPr="005D0CB3">
        <w:t xml:space="preserve"> 2022. </w:t>
      </w:r>
      <w:r w:rsidRPr="005D0CB3">
        <w:t>aasta raamatupidamise aastaaruande usaldusväärsuse ja selle aluseks olevate tehingute seaduslikkuse ja korrektsuse kohta,</w:t>
      </w:r>
    </w:p>
    <w:p w:rsidR="007D6A18" w:rsidRPr="005D0CB3" w:rsidRDefault="000E6E3B" w:rsidP="007D6A18">
      <w:pPr>
        <w:pStyle w:val="NormalHanging12a"/>
      </w:pPr>
      <w:r w:rsidRPr="005D0CB3">
        <w:t>–</w:t>
      </w:r>
      <w:r w:rsidRPr="005D0CB3">
        <w:tab/>
        <w:t>võttes arvesse nõukogu 22. veebruari 2024. </w:t>
      </w:r>
      <w:r w:rsidR="007D6A18" w:rsidRPr="005D0CB3">
        <w:t>aasta soovitust ameti tegevusele</w:t>
      </w:r>
      <w:r w:rsidRPr="005D0CB3">
        <w:t xml:space="preserve"> heakskiidu andmise kohta 2022. </w:t>
      </w:r>
      <w:r w:rsidR="007D6A18" w:rsidRPr="005D0CB3">
        <w:t>aasta eelarve täitmisel (</w:t>
      </w:r>
      <w:r w:rsidR="005D0101" w:rsidRPr="005D0CB3">
        <w:t>06180</w:t>
      </w:r>
      <w:r w:rsidR="007D6A18" w:rsidRPr="005D0CB3">
        <w:t>/2024 – C9</w:t>
      </w:r>
      <w:r w:rsidR="007D6A18" w:rsidRPr="005D0CB3">
        <w:noBreakHyphen/>
      </w:r>
      <w:r w:rsidR="005D0101" w:rsidRPr="005D0CB3">
        <w:t>0102</w:t>
      </w:r>
      <w:r w:rsidR="007D6A18" w:rsidRPr="005D0CB3">
        <w:t>/2024),</w:t>
      </w:r>
    </w:p>
    <w:p w:rsidR="007D6A18" w:rsidRPr="005D0CB3" w:rsidRDefault="007D6A18" w:rsidP="007D6A18">
      <w:pPr>
        <w:pStyle w:val="NormalHanging12a"/>
      </w:pPr>
      <w:r w:rsidRPr="005D0CB3">
        <w:t>–</w:t>
      </w:r>
      <w:r w:rsidRPr="005D0CB3">
        <w:tab/>
        <w:t>võttes arvesse Euroopa L</w:t>
      </w:r>
      <w:r w:rsidR="000E6E3B" w:rsidRPr="005D0CB3">
        <w:t>iidu toimimise lepingu artiklit </w:t>
      </w:r>
      <w:r w:rsidRPr="005D0CB3">
        <w:t>319,</w:t>
      </w:r>
    </w:p>
    <w:p w:rsidR="007D6A18" w:rsidRPr="005D0CB3" w:rsidRDefault="007D6A18" w:rsidP="007D6A18">
      <w:pPr>
        <w:pStyle w:val="NormalHanging12a"/>
      </w:pPr>
      <w:r w:rsidRPr="005D0CB3">
        <w:t>–</w:t>
      </w:r>
      <w:r w:rsidRPr="005D0CB3">
        <w:tab/>
        <w:t>võttes arvesse Eu</w:t>
      </w:r>
      <w:r w:rsidR="000E6E3B" w:rsidRPr="005D0CB3">
        <w:t xml:space="preserve">roopa Parlamendi ja nõukogu 18. juuli 2018. aasta määrust </w:t>
      </w:r>
      <w:r w:rsidRPr="005D0CB3">
        <w:t xml:space="preserve">(EL, Euratom) 2018/1046 (mis käsitleb liidu </w:t>
      </w:r>
      <w:proofErr w:type="spellStart"/>
      <w:r w:rsidRPr="005D0CB3">
        <w:t>üldeelarve</w:t>
      </w:r>
      <w:proofErr w:type="spellEnd"/>
      <w:r w:rsidRPr="005D0CB3">
        <w:t xml:space="preserve"> suhtes kohaldatavaid finantsreegleid ja millega muudetakse m</w:t>
      </w:r>
      <w:r w:rsidR="000E6E3B" w:rsidRPr="005D0CB3">
        <w:t>äärusi (EL) nr 1296/2013, (EL) nr 1301/2013, (EL) nr 1303/2013, (EL) nr 1304/2013, (EL) nr 1309/2013, (EL) nr </w:t>
      </w:r>
      <w:r w:rsidRPr="005D0CB3">
        <w:t>1316</w:t>
      </w:r>
      <w:r w:rsidR="000E6E3B" w:rsidRPr="005D0CB3">
        <w:t>/2013, (EL) nr 223/2014 ja (EL) nr 283/2014 ja otsust nr </w:t>
      </w:r>
      <w:r w:rsidRPr="005D0CB3">
        <w:t>541/2014/EL ning tunn</w:t>
      </w:r>
      <w:r w:rsidR="000E6E3B" w:rsidRPr="005D0CB3">
        <w:t>istatakse kehtetuks määrus (EL, Euratom) nr </w:t>
      </w:r>
      <w:r w:rsidRPr="005D0CB3">
        <w:t>966/2012)</w:t>
      </w:r>
      <w:r w:rsidRPr="005D0CB3">
        <w:rPr>
          <w:rStyle w:val="FootnoteReference"/>
        </w:rPr>
        <w:footnoteReference w:id="3"/>
      </w:r>
      <w:r w:rsidRPr="005D0CB3">
        <w:t>, eriti se</w:t>
      </w:r>
      <w:r w:rsidR="000E6E3B" w:rsidRPr="005D0CB3">
        <w:t>lle artiklit </w:t>
      </w:r>
      <w:r w:rsidRPr="005D0CB3">
        <w:t>70,</w:t>
      </w:r>
    </w:p>
    <w:p w:rsidR="007D6A18" w:rsidRPr="005D0CB3" w:rsidRDefault="007D6A18" w:rsidP="007D6A18">
      <w:pPr>
        <w:pStyle w:val="NormalHanging12a"/>
      </w:pPr>
      <w:r w:rsidRPr="005D0CB3">
        <w:t>–</w:t>
      </w:r>
      <w:r w:rsidRPr="005D0CB3">
        <w:tab/>
        <w:t>võttes arvesse Euroopa Parl</w:t>
      </w:r>
      <w:r w:rsidR="000E6E3B" w:rsidRPr="005D0CB3">
        <w:t>amendi ja nõukogu 19. mai 2010. </w:t>
      </w:r>
      <w:r w:rsidRPr="005D0CB3">
        <w:t xml:space="preserve">aasta </w:t>
      </w:r>
      <w:r w:rsidR="000E6E3B" w:rsidRPr="005D0CB3">
        <w:t xml:space="preserve">määrust </w:t>
      </w:r>
      <w:r w:rsidRPr="005D0CB3">
        <w:lastRenderedPageBreak/>
        <w:t>(EL) nr 439/2010 (millega luuakse Euroopa Varjupaigaküsimuste Tugiamet)</w:t>
      </w:r>
      <w:r w:rsidRPr="005D0CB3">
        <w:rPr>
          <w:rStyle w:val="FootnoteReference"/>
        </w:rPr>
        <w:footnoteReference w:id="4"/>
      </w:r>
      <w:r w:rsidR="000E6E3B" w:rsidRPr="005D0CB3">
        <w:t>, eriti selle artiklit </w:t>
      </w:r>
      <w:r w:rsidRPr="005D0CB3">
        <w:t>36,</w:t>
      </w:r>
    </w:p>
    <w:p w:rsidR="007D6A18" w:rsidRPr="005D0CB3" w:rsidRDefault="007D6A18" w:rsidP="007D6A18">
      <w:pPr>
        <w:pStyle w:val="NormalHanging12a"/>
      </w:pPr>
      <w:r w:rsidRPr="005D0CB3">
        <w:t>–</w:t>
      </w:r>
      <w:r w:rsidRPr="005D0CB3">
        <w:tab/>
        <w:t>võttes arvesse Euroopa Parlamendi ja nõukogu 15. detsembri 2021</w:t>
      </w:r>
      <w:r w:rsidR="000E6E3B" w:rsidRPr="005D0CB3">
        <w:t xml:space="preserve">. aasta määrust </w:t>
      </w:r>
      <w:r w:rsidRPr="005D0CB3">
        <w:t>(EL) 2021/2303 (mis käsitleb Euroopa Liidu Varjupaigaametit ja millega</w:t>
      </w:r>
      <w:r w:rsidR="000E6E3B" w:rsidRPr="005D0CB3">
        <w:t xml:space="preserve"> tunnistatakse kehtetuks määrus </w:t>
      </w:r>
      <w:r w:rsidRPr="005D0CB3">
        <w:t>(EL) nr 439/2010)</w:t>
      </w:r>
      <w:r w:rsidRPr="005D0CB3">
        <w:rPr>
          <w:rStyle w:val="FootnoteReference"/>
        </w:rPr>
        <w:footnoteReference w:id="5"/>
      </w:r>
      <w:r w:rsidRPr="005D0CB3">
        <w:t>, eriti selle artiklit 55,</w:t>
      </w:r>
    </w:p>
    <w:p w:rsidR="007D6A18" w:rsidRPr="005D0CB3" w:rsidRDefault="007D6A18" w:rsidP="007D6A18">
      <w:pPr>
        <w:pStyle w:val="NormalHanging12a"/>
      </w:pPr>
      <w:r w:rsidRPr="005D0CB3">
        <w:t>–</w:t>
      </w:r>
      <w:r w:rsidRPr="005D0CB3">
        <w:tab/>
        <w:t>võttes arvess</w:t>
      </w:r>
      <w:r w:rsidR="000E6E3B" w:rsidRPr="005D0CB3">
        <w:t xml:space="preserve">e komisjoni 18. detsembri 2018. aasta delegeeritud määrust </w:t>
      </w:r>
      <w:r w:rsidRPr="005D0CB3">
        <w:t>(EL) 2019/715 raamfinantsmääruse kohta asutustele, mis on asutatud Euroopa Liidu toimimise lepingu ja Euroopa Aatomienergiaühenduse asutamislepingu alusel ning millele osutatakse Euroop</w:t>
      </w:r>
      <w:r w:rsidR="000E6E3B" w:rsidRPr="005D0CB3">
        <w:t xml:space="preserve">a Parlamendi ja nõukogu määruse </w:t>
      </w:r>
      <w:r w:rsidRPr="005D0CB3">
        <w:t>(EL, Euratom) 2018/1046 artiklis 70</w:t>
      </w:r>
      <w:r w:rsidRPr="005D0CB3">
        <w:rPr>
          <w:rStyle w:val="FootnoteReference"/>
        </w:rPr>
        <w:footnoteReference w:id="6"/>
      </w:r>
      <w:r w:rsidRPr="005D0CB3">
        <w:t>, eriti selle artiklit 105,</w:t>
      </w:r>
    </w:p>
    <w:p w:rsidR="007D6A18" w:rsidRPr="005D0CB3" w:rsidRDefault="007D6A18" w:rsidP="007D6A18">
      <w:pPr>
        <w:pStyle w:val="NormalHanging12a"/>
      </w:pPr>
      <w:r w:rsidRPr="005D0CB3">
        <w:t>–</w:t>
      </w:r>
      <w:r w:rsidRPr="005D0CB3">
        <w:tab/>
        <w:t>võttes arve</w:t>
      </w:r>
      <w:r w:rsidR="000E6E3B" w:rsidRPr="005D0CB3">
        <w:t>sse kodukorra artiklit 100 ja V </w:t>
      </w:r>
      <w:r w:rsidRPr="005D0CB3">
        <w:t>lisa,</w:t>
      </w:r>
    </w:p>
    <w:p w:rsidR="007D6A18" w:rsidRPr="005D0CB3" w:rsidRDefault="007D6A18" w:rsidP="007D6A18">
      <w:pPr>
        <w:pStyle w:val="NormalHanging12a"/>
      </w:pPr>
      <w:r w:rsidRPr="005D0CB3">
        <w:t>–</w:t>
      </w:r>
      <w:r w:rsidRPr="005D0CB3">
        <w:tab/>
        <w:t>võttes arvesse kodanikuvabaduste, justiits- ja siseasjade komisjoni arvamust,</w:t>
      </w:r>
    </w:p>
    <w:p w:rsidR="007D6A18" w:rsidRPr="005D0CB3" w:rsidRDefault="007D6A18" w:rsidP="007D6A18">
      <w:pPr>
        <w:pStyle w:val="NormalHanging12a"/>
      </w:pPr>
      <w:r w:rsidRPr="005D0CB3">
        <w:t>–</w:t>
      </w:r>
      <w:r w:rsidRPr="005D0CB3">
        <w:tab/>
        <w:t>võttes arvesse eelarvekontrollikomisjoni raportit (A9-0106/2024),</w:t>
      </w:r>
    </w:p>
    <w:p w:rsidR="007D6A18" w:rsidRPr="005D0CB3" w:rsidRDefault="007D6A18" w:rsidP="007D6A18">
      <w:pPr>
        <w:pStyle w:val="NormalHanging12a"/>
      </w:pPr>
      <w:r w:rsidRPr="005D0CB3">
        <w:t>1.</w:t>
      </w:r>
      <w:r w:rsidRPr="005D0CB3">
        <w:tab/>
        <w:t>annab heakskiidu Euroopa Liidu Varjupaigaameti tegevdirektori tegevusele ameti 2022. aasta eelarve täitmisel;</w:t>
      </w:r>
    </w:p>
    <w:p w:rsidR="007D6A18" w:rsidRPr="005D0CB3" w:rsidRDefault="007D6A18" w:rsidP="007D6A18">
      <w:pPr>
        <w:pStyle w:val="NormalHanging12a"/>
      </w:pPr>
      <w:r w:rsidRPr="005D0CB3">
        <w:t>2.</w:t>
      </w:r>
      <w:r w:rsidRPr="005D0CB3">
        <w:tab/>
        <w:t>esitab oma tähelepanekud alltoodud resolutsioonis;</w:t>
      </w:r>
    </w:p>
    <w:p w:rsidR="007D6A18" w:rsidRPr="005D0CB3" w:rsidRDefault="007D6A18" w:rsidP="007D6A18">
      <w:pPr>
        <w:pStyle w:val="NormalHanging12a"/>
      </w:pPr>
      <w:r w:rsidRPr="005D0CB3">
        <w:t>3.</w:t>
      </w:r>
      <w:r w:rsidRPr="005D0CB3">
        <w:tab/>
        <w:t xml:space="preserve">teeb presidendile ülesandeks edastada käesolev otsus ja resolutsioon, mis on selle lahutamatu osa, Euroopa Liidu Varjupaigaameti tegevdirektorile, nõukogule, komisjonile ja kontrollikojale ning korraldada nende avaldamine </w:t>
      </w:r>
      <w:r w:rsidRPr="005D0CB3">
        <w:rPr>
          <w:i/>
        </w:rPr>
        <w:t>Euroopa Liidu Teatajas</w:t>
      </w:r>
      <w:r w:rsidRPr="005D0CB3">
        <w:t xml:space="preserve"> (L-seerias).</w:t>
      </w:r>
    </w:p>
    <w:p w:rsidR="007D6A18" w:rsidRPr="005D0CB3" w:rsidRDefault="007D6A18" w:rsidP="007D6A18"/>
    <w:p w:rsidR="007D6A18" w:rsidRPr="005D0CB3" w:rsidRDefault="007D6A18" w:rsidP="007D6A18">
      <w:pPr>
        <w:widowControl/>
        <w:rPr>
          <w:rFonts w:ascii="Arial" w:hAnsi="Arial" w:cs="Arial"/>
          <w:b/>
        </w:rPr>
        <w:sectPr w:rsidR="007D6A18" w:rsidRPr="005D0CB3" w:rsidSect="00F43B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D6A18" w:rsidRPr="005D0CB3" w:rsidRDefault="000E6E3B" w:rsidP="000E6E3B">
      <w:pPr>
        <w:pStyle w:val="NormalBold"/>
        <w:spacing w:before="120" w:after="120"/>
      </w:pPr>
      <w:r w:rsidRPr="005D0CB3">
        <w:lastRenderedPageBreak/>
        <w:t xml:space="preserve">2. Euroopa Parlamendi 11. aprilli 2024. aasta otsus </w:t>
      </w:r>
      <w:r w:rsidR="007D6A18" w:rsidRPr="005D0CB3">
        <w:t>Euroopa Liidu Varjupaigaameti (enne 19.1.2022: Euroopa Varjupaigaküsimuste Tugiamet) 2022. aasta raamatupidamiskontode sulgemise kohta</w:t>
      </w:r>
      <w:r w:rsidRPr="005D0CB3">
        <w:t xml:space="preserve"> </w:t>
      </w:r>
      <w:r w:rsidR="007D6A18" w:rsidRPr="005D0CB3">
        <w:t>(2023/2164(DEC))</w:t>
      </w:r>
    </w:p>
    <w:p w:rsidR="007D6A18" w:rsidRPr="005D0CB3" w:rsidRDefault="007D6A18" w:rsidP="007D6A18">
      <w:pPr>
        <w:pStyle w:val="EPComma"/>
      </w:pPr>
      <w:r w:rsidRPr="005D0CB3">
        <w:rPr>
          <w:i/>
        </w:rPr>
        <w:t>Euroopa Parlament</w:t>
      </w:r>
      <w:r w:rsidRPr="005D0CB3">
        <w:t>,</w:t>
      </w:r>
    </w:p>
    <w:p w:rsidR="007D6A18" w:rsidRPr="005D0CB3" w:rsidRDefault="007D6A18" w:rsidP="007D6A18">
      <w:pPr>
        <w:pStyle w:val="NormalHanging12a"/>
      </w:pPr>
      <w:r w:rsidRPr="005D0CB3">
        <w:t>–</w:t>
      </w:r>
      <w:r w:rsidRPr="005D0CB3">
        <w:tab/>
        <w:t>võttes arvesse Euroopa Liidu Varjupaigaameti 2022. aasta lõplikku raamatupidamisaruannet,</w:t>
      </w:r>
    </w:p>
    <w:p w:rsidR="007D6A18" w:rsidRPr="005D0CB3" w:rsidRDefault="007D6A18" w:rsidP="007D6A18">
      <w:pPr>
        <w:pStyle w:val="NormalHanging12a"/>
      </w:pPr>
      <w:r w:rsidRPr="005D0CB3">
        <w:t>–</w:t>
      </w:r>
      <w:r w:rsidRPr="005D0CB3">
        <w:tab/>
        <w:t>võttes arvesse kontrollikoja aastaaru</w:t>
      </w:r>
      <w:r w:rsidR="000E6E3B" w:rsidRPr="005D0CB3">
        <w:t>annet ELi asutuste eelarveaasta </w:t>
      </w:r>
      <w:r w:rsidRPr="005D0CB3">
        <w:t>2022 kohta koos asutuste vastustega</w:t>
      </w:r>
      <w:r w:rsidRPr="005D0CB3">
        <w:rPr>
          <w:rStyle w:val="FootnoteReference"/>
        </w:rPr>
        <w:footnoteReference w:id="7"/>
      </w:r>
      <w:r w:rsidRPr="005D0CB3">
        <w:t>,</w:t>
      </w:r>
    </w:p>
    <w:p w:rsidR="007D6A18" w:rsidRPr="005D0CB3" w:rsidRDefault="007D6A18" w:rsidP="007D6A18">
      <w:pPr>
        <w:pStyle w:val="NormalHanging12a"/>
      </w:pPr>
      <w:r w:rsidRPr="005D0CB3">
        <w:t>–</w:t>
      </w:r>
      <w:r w:rsidRPr="005D0CB3">
        <w:tab/>
        <w:t>võttes arvesse vastavalt Euroopa Li</w:t>
      </w:r>
      <w:r w:rsidR="000E6E3B" w:rsidRPr="005D0CB3">
        <w:t>idu toimimise lepingu artiklile </w:t>
      </w:r>
      <w:r w:rsidRPr="005D0CB3">
        <w:t>287 tehtud kontrollikoja kinnitavat avaldust</w:t>
      </w:r>
      <w:r w:rsidRPr="005D0CB3">
        <w:rPr>
          <w:rStyle w:val="FootnoteReference"/>
        </w:rPr>
        <w:footnoteReference w:id="8"/>
      </w:r>
      <w:r w:rsidR="000E6E3B" w:rsidRPr="005D0CB3">
        <w:t xml:space="preserve"> 2022. </w:t>
      </w:r>
      <w:r w:rsidRPr="005D0CB3">
        <w:t>aasta raamatupidamise aastaaruande usaldusväärsuse ja selle aluseks olevate tehingute seaduslikkuse ja korrektsuse kohta,</w:t>
      </w:r>
    </w:p>
    <w:p w:rsidR="007D6A18" w:rsidRPr="005D0CB3" w:rsidRDefault="000E6E3B" w:rsidP="007D6A18">
      <w:pPr>
        <w:pStyle w:val="NormalHanging12a"/>
      </w:pPr>
      <w:r w:rsidRPr="005D0CB3">
        <w:t>–</w:t>
      </w:r>
      <w:r w:rsidRPr="005D0CB3">
        <w:tab/>
        <w:t>võttes arvesse nõukogu 22. veebruari 2024. </w:t>
      </w:r>
      <w:r w:rsidR="007D6A18" w:rsidRPr="005D0CB3">
        <w:t>aasta soovitust ameti tegevusele heakskiidu andmise kohta 2022. aasta eelarve täitmisel (</w:t>
      </w:r>
      <w:r w:rsidR="005D0101" w:rsidRPr="005D0CB3">
        <w:t>06180</w:t>
      </w:r>
      <w:r w:rsidR="007D6A18" w:rsidRPr="005D0CB3">
        <w:t>/2024 – C9</w:t>
      </w:r>
      <w:r w:rsidR="007D6A18" w:rsidRPr="005D0CB3">
        <w:noBreakHyphen/>
      </w:r>
      <w:r w:rsidR="005D0101" w:rsidRPr="005D0CB3">
        <w:t>0102</w:t>
      </w:r>
      <w:r w:rsidR="007D6A18" w:rsidRPr="005D0CB3">
        <w:t>/2024),</w:t>
      </w:r>
    </w:p>
    <w:p w:rsidR="007D6A18" w:rsidRPr="005D0CB3" w:rsidRDefault="007D6A18" w:rsidP="007D6A18">
      <w:pPr>
        <w:pStyle w:val="NormalHanging12a"/>
      </w:pPr>
      <w:r w:rsidRPr="005D0CB3">
        <w:t>–</w:t>
      </w:r>
      <w:r w:rsidRPr="005D0CB3">
        <w:tab/>
        <w:t>võttes arvesse Euroopa L</w:t>
      </w:r>
      <w:r w:rsidR="000E6E3B" w:rsidRPr="005D0CB3">
        <w:t>iidu toimimise lepingu artiklit </w:t>
      </w:r>
      <w:r w:rsidRPr="005D0CB3">
        <w:t>319,</w:t>
      </w:r>
    </w:p>
    <w:p w:rsidR="007D6A18" w:rsidRPr="005D0CB3" w:rsidRDefault="007D6A18" w:rsidP="007D6A18">
      <w:pPr>
        <w:pStyle w:val="NormalHanging12a"/>
      </w:pPr>
      <w:r w:rsidRPr="005D0CB3">
        <w:t>–</w:t>
      </w:r>
      <w:r w:rsidRPr="005D0CB3">
        <w:tab/>
        <w:t>võttes arvesse Eu</w:t>
      </w:r>
      <w:r w:rsidR="000E6E3B" w:rsidRPr="005D0CB3">
        <w:t xml:space="preserve">roopa Parlamendi ja nõukogu 18. juuli 2018. aasta määrust </w:t>
      </w:r>
      <w:r w:rsidRPr="005D0CB3">
        <w:t xml:space="preserve">(EL, Euratom) 2018/1046 (mis käsitleb liidu </w:t>
      </w:r>
      <w:proofErr w:type="spellStart"/>
      <w:r w:rsidRPr="005D0CB3">
        <w:t>üldeelarve</w:t>
      </w:r>
      <w:proofErr w:type="spellEnd"/>
      <w:r w:rsidRPr="005D0CB3">
        <w:t xml:space="preserve"> suhtes kohaldatavaid finantsreegleid ja </w:t>
      </w:r>
      <w:r w:rsidR="000E6E3B" w:rsidRPr="005D0CB3">
        <w:t>millega muudetakse määrusi (EL) nr 1296/2013, (EL) nr 1301/2013, (EL) nr 1303/2013, (EL) nr 1304/2013, (EL) nr 1309/2013, (EL) nr </w:t>
      </w:r>
      <w:r w:rsidRPr="005D0CB3">
        <w:t>1316/2013, (EL) nr 223/2014 ja (EL</w:t>
      </w:r>
      <w:r w:rsidR="000E6E3B" w:rsidRPr="005D0CB3">
        <w:t>) nr 283/2014 ja otsust nr </w:t>
      </w:r>
      <w:r w:rsidRPr="005D0CB3">
        <w:t>541/2014/EL ning tunn</w:t>
      </w:r>
      <w:r w:rsidR="000E6E3B" w:rsidRPr="005D0CB3">
        <w:t>istatakse kehtetuks määrus (EL, Euratom) nr </w:t>
      </w:r>
      <w:r w:rsidRPr="005D0CB3">
        <w:t>966/2012)</w:t>
      </w:r>
      <w:r w:rsidRPr="005D0CB3">
        <w:rPr>
          <w:rStyle w:val="FootnoteReference"/>
        </w:rPr>
        <w:footnoteReference w:id="9"/>
      </w:r>
      <w:r w:rsidR="000E6E3B" w:rsidRPr="005D0CB3">
        <w:t>, eriti selle artiklit </w:t>
      </w:r>
      <w:r w:rsidRPr="005D0CB3">
        <w:t>70,</w:t>
      </w:r>
    </w:p>
    <w:p w:rsidR="007D6A18" w:rsidRPr="005D0CB3" w:rsidRDefault="007D6A18" w:rsidP="007D6A18">
      <w:pPr>
        <w:pStyle w:val="NormalHanging12a"/>
      </w:pPr>
      <w:r w:rsidRPr="005D0CB3">
        <w:t>–</w:t>
      </w:r>
      <w:r w:rsidRPr="005D0CB3">
        <w:tab/>
        <w:t>võttes arvesse Eu</w:t>
      </w:r>
      <w:r w:rsidR="000E6E3B" w:rsidRPr="005D0CB3">
        <w:t xml:space="preserve">roopa Parlamendi ja nõukogu 19. mai 2010. aasta määrust </w:t>
      </w:r>
      <w:r w:rsidRPr="005D0CB3">
        <w:t>(EL) nr 439/2010 (millega luuakse Euroopa Varjupaigaküsimuste Tugiamet)</w:t>
      </w:r>
      <w:r w:rsidRPr="005D0CB3">
        <w:rPr>
          <w:rStyle w:val="FootnoteReference"/>
        </w:rPr>
        <w:footnoteReference w:id="10"/>
      </w:r>
      <w:r w:rsidR="000E6E3B" w:rsidRPr="005D0CB3">
        <w:t>, eriti selle artiklit </w:t>
      </w:r>
      <w:r w:rsidRPr="005D0CB3">
        <w:t>36,</w:t>
      </w:r>
    </w:p>
    <w:p w:rsidR="007D6A18" w:rsidRPr="005D0CB3" w:rsidRDefault="007D6A18" w:rsidP="007D6A18">
      <w:pPr>
        <w:pStyle w:val="NormalHanging12a"/>
      </w:pPr>
      <w:r w:rsidRPr="005D0CB3">
        <w:t>–</w:t>
      </w:r>
      <w:r w:rsidRPr="005D0CB3">
        <w:tab/>
        <w:t>võttes arvesse Euroopa Parlamendi ja nõukogu 15</w:t>
      </w:r>
      <w:r w:rsidR="000E6E3B" w:rsidRPr="005D0CB3">
        <w:t xml:space="preserve">. detsembri 2021. aasta määrust </w:t>
      </w:r>
      <w:r w:rsidRPr="005D0CB3">
        <w:t>(EL) 2021/2303 (mis käsitleb Euroopa Liidu Varjupaigaametit ja millega</w:t>
      </w:r>
      <w:r w:rsidR="000E6E3B" w:rsidRPr="005D0CB3">
        <w:t xml:space="preserve"> tunnistatakse kehtetuks määrus </w:t>
      </w:r>
      <w:r w:rsidRPr="005D0CB3">
        <w:t>(EL) nr 439/2010)</w:t>
      </w:r>
      <w:r w:rsidRPr="005D0CB3">
        <w:rPr>
          <w:rStyle w:val="FootnoteReference"/>
        </w:rPr>
        <w:footnoteReference w:id="11"/>
      </w:r>
      <w:r w:rsidRPr="005D0CB3">
        <w:t>, eriti selle artiklit 55,</w:t>
      </w:r>
    </w:p>
    <w:p w:rsidR="007D6A18" w:rsidRPr="005D0CB3" w:rsidRDefault="007D6A18" w:rsidP="007D6A18">
      <w:pPr>
        <w:pStyle w:val="NormalHanging12a"/>
      </w:pPr>
      <w:r w:rsidRPr="005D0CB3">
        <w:t>–</w:t>
      </w:r>
      <w:r w:rsidRPr="005D0CB3">
        <w:tab/>
        <w:t>võttes arvess</w:t>
      </w:r>
      <w:r w:rsidR="000E6E3B" w:rsidRPr="005D0CB3">
        <w:t xml:space="preserve">e komisjoni 18. detsembri 2018. aasta delegeeritud määrust </w:t>
      </w:r>
      <w:r w:rsidRPr="005D0CB3">
        <w:t>(EL) 2019/715 raamfinantsmääruse kohta asutustele, mis on asutatud Euroopa Liidu toimimise lepingu ja Euroopa Aatomienergiaühenduse asutamislepingu alusel ning millele osutatakse Euroop</w:t>
      </w:r>
      <w:r w:rsidR="000E6E3B" w:rsidRPr="005D0CB3">
        <w:t xml:space="preserve">a Parlamendi ja nõukogu määruse </w:t>
      </w:r>
      <w:r w:rsidRPr="005D0CB3">
        <w:t>(EL, Euratom) 2018/1046 artiklis 70</w:t>
      </w:r>
      <w:r w:rsidRPr="005D0CB3">
        <w:rPr>
          <w:rStyle w:val="FootnoteReference"/>
        </w:rPr>
        <w:footnoteReference w:id="12"/>
      </w:r>
      <w:r w:rsidRPr="005D0CB3">
        <w:t>, eriti selle artiklit 105,</w:t>
      </w:r>
    </w:p>
    <w:p w:rsidR="007D6A18" w:rsidRPr="005D0CB3" w:rsidRDefault="007D6A18" w:rsidP="007D6A18">
      <w:pPr>
        <w:pStyle w:val="NormalHanging12a"/>
      </w:pPr>
      <w:r w:rsidRPr="005D0CB3">
        <w:t>–</w:t>
      </w:r>
      <w:r w:rsidRPr="005D0CB3">
        <w:tab/>
        <w:t>võttes arve</w:t>
      </w:r>
      <w:r w:rsidR="000E6E3B" w:rsidRPr="005D0CB3">
        <w:t>sse kodukorra artiklit 100 ja V </w:t>
      </w:r>
      <w:r w:rsidRPr="005D0CB3">
        <w:t>lisa,</w:t>
      </w:r>
    </w:p>
    <w:p w:rsidR="007D6A18" w:rsidRPr="005D0CB3" w:rsidRDefault="007D6A18" w:rsidP="007D6A18">
      <w:pPr>
        <w:pStyle w:val="NormalHanging12a"/>
      </w:pPr>
      <w:r w:rsidRPr="005D0CB3">
        <w:lastRenderedPageBreak/>
        <w:t>–</w:t>
      </w:r>
      <w:r w:rsidRPr="005D0CB3">
        <w:tab/>
        <w:t>võttes arvesse kodanikuvabaduste, justiits- ja siseasjade komisjoni arvamust,</w:t>
      </w:r>
    </w:p>
    <w:p w:rsidR="007D6A18" w:rsidRPr="005D0CB3" w:rsidRDefault="007D6A18" w:rsidP="007D6A18">
      <w:pPr>
        <w:pStyle w:val="NormalHanging12a"/>
      </w:pPr>
      <w:r w:rsidRPr="005D0CB3">
        <w:t>–</w:t>
      </w:r>
      <w:r w:rsidRPr="005D0CB3">
        <w:tab/>
        <w:t>võttes arvesse eelarvekontrollikomisjoni raportit (A9-0106/2024),</w:t>
      </w:r>
    </w:p>
    <w:p w:rsidR="007D6A18" w:rsidRPr="005D0CB3" w:rsidRDefault="007D6A18" w:rsidP="007D6A18">
      <w:pPr>
        <w:pStyle w:val="NormalHanging12a"/>
      </w:pPr>
      <w:r w:rsidRPr="005D0CB3">
        <w:t>1.</w:t>
      </w:r>
      <w:r w:rsidRPr="005D0CB3">
        <w:tab/>
        <w:t>annab heakskiidu Euroopa Liidu Varjupaigaameti 2022. aasta raamatupidamiskontode sulgemisele;</w:t>
      </w:r>
    </w:p>
    <w:p w:rsidR="007D6A18" w:rsidRPr="005D0CB3" w:rsidRDefault="007D6A18" w:rsidP="007D6A18">
      <w:pPr>
        <w:pStyle w:val="NormalHanging12a"/>
      </w:pPr>
      <w:r w:rsidRPr="005D0CB3">
        <w:t>2.</w:t>
      </w:r>
      <w:r w:rsidRPr="005D0CB3">
        <w:tab/>
        <w:t xml:space="preserve">teeb presidendile ülesandeks edastada käesolev otsus Euroopa Liidu Varjupaigaameti tegevdirektorile, nõukogule, komisjonile ja kontrollikojale ning korraldada selle avaldamine </w:t>
      </w:r>
      <w:r w:rsidRPr="005D0CB3">
        <w:rPr>
          <w:i/>
        </w:rPr>
        <w:t>Euroopa Liidu Teatajas</w:t>
      </w:r>
      <w:r w:rsidRPr="005D0CB3">
        <w:t xml:space="preserve"> (L-seerias).</w:t>
      </w:r>
    </w:p>
    <w:p w:rsidR="007D6A18" w:rsidRPr="005D0CB3" w:rsidRDefault="007D6A18" w:rsidP="007D6A18"/>
    <w:p w:rsidR="007D6A18" w:rsidRPr="005D0CB3" w:rsidRDefault="007D6A18" w:rsidP="007D6A18">
      <w:pPr>
        <w:widowControl/>
        <w:rPr>
          <w:rFonts w:ascii="Arial" w:hAnsi="Arial" w:cs="Arial"/>
          <w:b/>
        </w:rPr>
        <w:sectPr w:rsidR="007D6A18" w:rsidRPr="005D0CB3" w:rsidSect="00F43BA5">
          <w:footnotePr>
            <w:numRestart w:val="eachPage"/>
          </w:footnotePr>
          <w:endnotePr>
            <w:numFmt w:val="decimal"/>
          </w:endnotePr>
          <w:pgSz w:w="11906" w:h="16838"/>
          <w:pgMar w:top="1134" w:right="1418" w:bottom="1418" w:left="1418" w:header="567" w:footer="567" w:gutter="0"/>
          <w:cols w:space="720"/>
          <w:docGrid w:linePitch="326"/>
        </w:sectPr>
      </w:pPr>
    </w:p>
    <w:p w:rsidR="007D6A18" w:rsidRPr="005D0CB3" w:rsidRDefault="00A13A7A" w:rsidP="00A13A7A">
      <w:pPr>
        <w:pStyle w:val="NormalBold"/>
        <w:spacing w:before="120" w:after="120"/>
      </w:pPr>
      <w:r w:rsidRPr="005D0CB3">
        <w:lastRenderedPageBreak/>
        <w:t xml:space="preserve">3. Euroopa Parlamendi 11. aprilli 2024. aasta resolutsioon </w:t>
      </w:r>
      <w:r w:rsidR="007D6A18" w:rsidRPr="005D0CB3">
        <w:t>tähelepanekutega, mis on Euroopa Liidu Varjupaigaameti (enne 19.1.2022: Euroopa Varjupaigaküsimuste Tugiamet) 2022. aasta eelarve täitmisele heakskiidu andmist käsitleva otsuse lahutamatu osa</w:t>
      </w:r>
      <w:r w:rsidRPr="005D0CB3">
        <w:t xml:space="preserve"> </w:t>
      </w:r>
      <w:r w:rsidR="007D6A18" w:rsidRPr="005D0CB3">
        <w:t>(2023/2164(DEC))</w:t>
      </w:r>
    </w:p>
    <w:p w:rsidR="007D6A18" w:rsidRPr="005D0CB3" w:rsidRDefault="007D6A18" w:rsidP="007D6A18">
      <w:pPr>
        <w:pStyle w:val="EPComma"/>
      </w:pPr>
      <w:r w:rsidRPr="005D0CB3">
        <w:rPr>
          <w:i/>
        </w:rPr>
        <w:t>Euroopa Parlament</w:t>
      </w:r>
      <w:r w:rsidRPr="005D0CB3">
        <w:t>,</w:t>
      </w:r>
    </w:p>
    <w:p w:rsidR="007D6A18" w:rsidRPr="005D0CB3" w:rsidRDefault="007D6A18" w:rsidP="007D6A18">
      <w:pPr>
        <w:pStyle w:val="NormalHanging12a"/>
      </w:pPr>
      <w:r w:rsidRPr="005D0CB3">
        <w:t>–</w:t>
      </w:r>
      <w:r w:rsidRPr="005D0CB3">
        <w:tab/>
        <w:t>võttes arvesse oma otsust Euroopa Liidu Varjupaigaameti 2022. aasta eelarve täitmisele heakskiidu andmise kohta,</w:t>
      </w:r>
    </w:p>
    <w:p w:rsidR="007D6A18" w:rsidRPr="005D0CB3" w:rsidRDefault="007D6A18" w:rsidP="007D6A18">
      <w:pPr>
        <w:pStyle w:val="NormalHanging12a"/>
      </w:pPr>
      <w:r w:rsidRPr="005D0CB3">
        <w:t>–</w:t>
      </w:r>
      <w:r w:rsidRPr="005D0CB3">
        <w:tab/>
        <w:t>võ</w:t>
      </w:r>
      <w:r w:rsidR="00A13A7A" w:rsidRPr="005D0CB3">
        <w:t>ttes arvesse kodukorra artiklit 100 ja V </w:t>
      </w:r>
      <w:r w:rsidRPr="005D0CB3">
        <w:t>lisa,</w:t>
      </w:r>
    </w:p>
    <w:p w:rsidR="007D6A18" w:rsidRPr="005D0CB3" w:rsidRDefault="007D6A18" w:rsidP="007D6A18">
      <w:pPr>
        <w:pStyle w:val="NormalHanging12a"/>
      </w:pPr>
      <w:r w:rsidRPr="005D0CB3">
        <w:t>–</w:t>
      </w:r>
      <w:r w:rsidRPr="005D0CB3">
        <w:tab/>
        <w:t>võttes arvesse kodanikuvabaduste, justiits- ja siseasjade komisjoni arvamust,</w:t>
      </w:r>
    </w:p>
    <w:p w:rsidR="007D6A18" w:rsidRPr="005D0CB3" w:rsidRDefault="007D6A18" w:rsidP="007D6A18">
      <w:pPr>
        <w:pStyle w:val="NormalHanging12a"/>
      </w:pPr>
      <w:r w:rsidRPr="005D0CB3">
        <w:t>–</w:t>
      </w:r>
      <w:r w:rsidRPr="005D0CB3">
        <w:tab/>
        <w:t>võttes arvesse eelarvekontrollikomisjoni raportit (A9-0106/2024),</w:t>
      </w:r>
    </w:p>
    <w:p w:rsidR="007D6A18" w:rsidRPr="005D0CB3" w:rsidRDefault="007D6A18" w:rsidP="007D6A18">
      <w:pPr>
        <w:pStyle w:val="Normal12Hanging"/>
        <w:rPr>
          <w:color w:val="000000" w:themeColor="text1"/>
          <w:szCs w:val="24"/>
          <w:lang w:val="et-EE"/>
        </w:rPr>
      </w:pPr>
      <w:r w:rsidRPr="005D0CB3">
        <w:rPr>
          <w:lang w:val="et-EE"/>
        </w:rPr>
        <w:t>A.</w:t>
      </w:r>
      <w:r w:rsidRPr="005D0CB3">
        <w:rPr>
          <w:lang w:val="et-EE"/>
        </w:rPr>
        <w:tab/>
      </w:r>
      <w:r w:rsidRPr="005D0CB3">
        <w:rPr>
          <w:color w:val="000000" w:themeColor="text1"/>
          <w:lang w:val="et-EE"/>
        </w:rPr>
        <w:t>arvestades, et Euroopa Liidu Varjupaigaameti (edaspidi „amet“) tulude ja kulude eelarvestuse</w:t>
      </w:r>
      <w:r w:rsidRPr="005D0CB3">
        <w:rPr>
          <w:rStyle w:val="FootnoteReference"/>
          <w:color w:val="000000" w:themeColor="text1"/>
          <w:szCs w:val="24"/>
          <w:lang w:val="et-EE"/>
        </w:rPr>
        <w:footnoteReference w:id="13"/>
      </w:r>
      <w:r w:rsidRPr="005D0CB3">
        <w:rPr>
          <w:color w:val="000000" w:themeColor="text1"/>
          <w:lang w:val="et-EE"/>
        </w:rPr>
        <w:t xml:space="preserve"> kohaselt oli ameti 2022. aasta lõplik eelarve 186 842 192 eurot, st 2021. aasta eelarvest 12,46 % suurem; arvestades, et ameti eelarve koosneb peamiselt liidu eelarvest eraldatud summast;</w:t>
      </w:r>
    </w:p>
    <w:p w:rsidR="007D6A18" w:rsidRPr="005D0CB3" w:rsidRDefault="007D6A18" w:rsidP="007D6A18">
      <w:pPr>
        <w:pStyle w:val="Normal12Hanging"/>
        <w:rPr>
          <w:color w:val="000000" w:themeColor="text1"/>
          <w:szCs w:val="24"/>
          <w:lang w:val="et-EE"/>
        </w:rPr>
      </w:pPr>
      <w:r w:rsidRPr="005D0CB3">
        <w:rPr>
          <w:color w:val="000000" w:themeColor="text1"/>
          <w:lang w:val="et-EE"/>
        </w:rPr>
        <w:t>B.</w:t>
      </w:r>
      <w:r w:rsidRPr="005D0CB3">
        <w:rPr>
          <w:color w:val="000000" w:themeColor="text1"/>
          <w:lang w:val="et-EE"/>
        </w:rPr>
        <w:tab/>
      </w:r>
      <w:r w:rsidR="00A13A7A" w:rsidRPr="005D0CB3">
        <w:rPr>
          <w:color w:val="000000" w:themeColor="text1"/>
          <w:lang w:val="et-EE"/>
        </w:rPr>
        <w:t>arvestades, et 2022. </w:t>
      </w:r>
      <w:r w:rsidRPr="005D0CB3">
        <w:rPr>
          <w:color w:val="000000" w:themeColor="text1"/>
          <w:lang w:val="et-EE"/>
        </w:rPr>
        <w:t xml:space="preserve">aasta juunis allkirjastas amet komisjoniga toetuslepingu, et viia ellu ühinemiseelse </w:t>
      </w:r>
      <w:r w:rsidR="00A13A7A" w:rsidRPr="005D0CB3">
        <w:rPr>
          <w:color w:val="000000" w:themeColor="text1"/>
          <w:lang w:val="et-EE"/>
        </w:rPr>
        <w:t>abi rahastamisvahendi (IPA) III </w:t>
      </w:r>
      <w:r w:rsidRPr="005D0CB3">
        <w:rPr>
          <w:color w:val="000000" w:themeColor="text1"/>
          <w:lang w:val="et-EE"/>
        </w:rPr>
        <w:t>etapp „ELi piirkondlik toetus kaitset arvestavatele rändehaldussüsteemid</w:t>
      </w:r>
      <w:r w:rsidR="00A13A7A" w:rsidRPr="005D0CB3">
        <w:rPr>
          <w:color w:val="000000" w:themeColor="text1"/>
          <w:lang w:val="et-EE"/>
        </w:rPr>
        <w:t>ele Lääne-Balkani riikides, III </w:t>
      </w:r>
      <w:r w:rsidRPr="005D0CB3">
        <w:rPr>
          <w:color w:val="000000" w:themeColor="text1"/>
          <w:lang w:val="et-EE"/>
        </w:rPr>
        <w:t xml:space="preserve">etapp, leping </w:t>
      </w:r>
      <w:r w:rsidR="00A13A7A" w:rsidRPr="005D0CB3">
        <w:rPr>
          <w:color w:val="000000" w:themeColor="text1"/>
          <w:lang w:val="et-EE"/>
        </w:rPr>
        <w:t>nr </w:t>
      </w:r>
      <w:r w:rsidRPr="005D0CB3">
        <w:rPr>
          <w:color w:val="000000" w:themeColor="text1"/>
          <w:lang w:val="et-EE"/>
        </w:rPr>
        <w:t>2“ (edaspidi „Lääne-Balkani riikidele mõeldud IP</w:t>
      </w:r>
      <w:r w:rsidR="00A13A7A" w:rsidRPr="005D0CB3">
        <w:rPr>
          <w:color w:val="000000" w:themeColor="text1"/>
          <w:lang w:val="et-EE"/>
        </w:rPr>
        <w:t>A III“), mille koguväärtus on 6 </w:t>
      </w:r>
      <w:r w:rsidRPr="005D0CB3">
        <w:rPr>
          <w:color w:val="000000" w:themeColor="text1"/>
          <w:lang w:val="et-EE"/>
        </w:rPr>
        <w:t>miljonit eurot j</w:t>
      </w:r>
      <w:r w:rsidR="00A13A7A" w:rsidRPr="005D0CB3">
        <w:rPr>
          <w:color w:val="000000" w:themeColor="text1"/>
          <w:lang w:val="et-EE"/>
        </w:rPr>
        <w:t>a mille rakendamisperiood on 47 </w:t>
      </w:r>
      <w:r w:rsidRPr="005D0CB3">
        <w:rPr>
          <w:color w:val="000000" w:themeColor="text1"/>
          <w:lang w:val="et-EE"/>
        </w:rPr>
        <w:t>kuud;</w:t>
      </w:r>
    </w:p>
    <w:p w:rsidR="007D6A18" w:rsidRPr="005D0CB3" w:rsidRDefault="00A13A7A" w:rsidP="007D6A18">
      <w:pPr>
        <w:pStyle w:val="Normal12Hanging"/>
        <w:rPr>
          <w:color w:val="000000" w:themeColor="text1"/>
          <w:szCs w:val="24"/>
          <w:lang w:val="et-EE"/>
        </w:rPr>
      </w:pPr>
      <w:r w:rsidRPr="005D0CB3">
        <w:rPr>
          <w:color w:val="000000" w:themeColor="text1"/>
          <w:lang w:val="et-EE"/>
        </w:rPr>
        <w:t>C.</w:t>
      </w:r>
      <w:r w:rsidRPr="005D0CB3">
        <w:rPr>
          <w:color w:val="000000" w:themeColor="text1"/>
          <w:lang w:val="et-EE"/>
        </w:rPr>
        <w:tab/>
        <w:t>arvestades, et 2022. </w:t>
      </w:r>
      <w:r w:rsidR="007D6A18" w:rsidRPr="005D0CB3">
        <w:rPr>
          <w:color w:val="000000" w:themeColor="text1"/>
          <w:lang w:val="et-EE"/>
        </w:rPr>
        <w:t>aastal ameti eelarve j</w:t>
      </w:r>
      <w:r w:rsidRPr="005D0CB3">
        <w:rPr>
          <w:color w:val="000000" w:themeColor="text1"/>
          <w:lang w:val="et-EE"/>
        </w:rPr>
        <w:t xml:space="preserve">ärsult suurenes, sest määrusega </w:t>
      </w:r>
      <w:r w:rsidR="007D6A18" w:rsidRPr="005D0CB3">
        <w:rPr>
          <w:color w:val="000000" w:themeColor="text1"/>
          <w:lang w:val="et-EE"/>
        </w:rPr>
        <w:t>(EL) 2021/2303 anti ametile uusi ülesandeid, et ametist saaks varjupaigavaldkonna eksperdikeskus;</w:t>
      </w:r>
    </w:p>
    <w:p w:rsidR="007D6A18" w:rsidRPr="005D0CB3" w:rsidRDefault="007D6A18" w:rsidP="007D6A18">
      <w:pPr>
        <w:pStyle w:val="Normal12Hanging"/>
        <w:rPr>
          <w:color w:val="000000" w:themeColor="text1"/>
          <w:szCs w:val="24"/>
          <w:lang w:val="et-EE"/>
        </w:rPr>
      </w:pPr>
      <w:r w:rsidRPr="005D0CB3">
        <w:rPr>
          <w:color w:val="000000" w:themeColor="text1"/>
          <w:lang w:val="et-EE"/>
        </w:rPr>
        <w:t>D.</w:t>
      </w:r>
      <w:r w:rsidRPr="005D0CB3">
        <w:rPr>
          <w:color w:val="000000" w:themeColor="text1"/>
          <w:lang w:val="et-EE"/>
        </w:rPr>
        <w:tab/>
      </w:r>
      <w:r w:rsidR="00A13A7A" w:rsidRPr="005D0CB3">
        <w:rPr>
          <w:color w:val="000000" w:themeColor="text1"/>
          <w:lang w:val="et-EE"/>
        </w:rPr>
        <w:t>arvestades, et liidus oli 2022. </w:t>
      </w:r>
      <w:r w:rsidRPr="005D0CB3">
        <w:rPr>
          <w:color w:val="000000" w:themeColor="text1"/>
          <w:lang w:val="et-EE"/>
        </w:rPr>
        <w:t>aastal peaaegu 1 miljon varjupaigataotlejat ja ligikaudu 4 miljonit ajutise kaitse saajat;</w:t>
      </w:r>
    </w:p>
    <w:p w:rsidR="007D6A18" w:rsidRPr="005D0CB3" w:rsidRDefault="007D6A18" w:rsidP="007D6A18">
      <w:pPr>
        <w:spacing w:after="240"/>
        <w:ind w:left="567" w:hanging="567"/>
        <w:rPr>
          <w:color w:val="000000" w:themeColor="text1"/>
          <w:szCs w:val="24"/>
        </w:rPr>
      </w:pPr>
      <w:r w:rsidRPr="005D0CB3">
        <w:rPr>
          <w:color w:val="000000" w:themeColor="text1"/>
        </w:rPr>
        <w:t>E.</w:t>
      </w:r>
      <w:r w:rsidRPr="005D0CB3">
        <w:rPr>
          <w:color w:val="000000" w:themeColor="text1"/>
        </w:rPr>
        <w:tab/>
      </w:r>
      <w:r w:rsidRPr="005D0CB3">
        <w:t>arvestades, et kontrollikoda märkis oma aruandes ameti eelarveaasta 2022 raamatupidamise aastaaruande kohta (edaspidi „kontrollikoja aruanne“), et ta on saanud ameti raamatupidamise aastaaruande usaldusväärsuse ning selle aluseks olevate tehingute seaduslikkuse ja korrektsuse kohta piisava kindluse;</w:t>
      </w:r>
    </w:p>
    <w:p w:rsidR="007D6A18" w:rsidRPr="005D0CB3" w:rsidRDefault="007D6A18" w:rsidP="007D6A18">
      <w:pPr>
        <w:spacing w:after="240"/>
        <w:ind w:left="567" w:hanging="567"/>
        <w:rPr>
          <w:b/>
          <w:i/>
          <w:szCs w:val="24"/>
        </w:rPr>
      </w:pPr>
      <w:r w:rsidRPr="005D0CB3">
        <w:rPr>
          <w:b/>
          <w:i/>
        </w:rPr>
        <w:t>Eelarvehaldus ja finantsjuhtimine</w:t>
      </w:r>
    </w:p>
    <w:p w:rsidR="007D6A18" w:rsidRPr="005D0CB3" w:rsidRDefault="007D6A18" w:rsidP="007D6A18">
      <w:pPr>
        <w:pStyle w:val="NormalHanging12a"/>
        <w:rPr>
          <w:szCs w:val="24"/>
        </w:rPr>
      </w:pPr>
      <w:r w:rsidRPr="005D0CB3">
        <w:t>1.</w:t>
      </w:r>
      <w:r w:rsidRPr="005D0CB3">
        <w:tab/>
        <w:t>märgib, et 2022. aastal tehtud eelarveseire tulemusel oli kõnealuse aasta kulukohustuste assigneeringute eelarve täitmise määr 96,23 %, mis on 2021. aasta määrast (96,67 %) veidi (0,44 % võrra) madalam; märgib, et jooksval aastal oli maksete assigneeringute täitmise määr 89,55 %, mis on 2021. aasta määrast (90,91 %) 1,36 % võrra m</w:t>
      </w:r>
      <w:r w:rsidR="00A13A7A" w:rsidRPr="005D0CB3">
        <w:t>adalam; märgib murega, et 2021. aastast 2022. </w:t>
      </w:r>
      <w:r w:rsidRPr="005D0CB3">
        <w:t>aastasse üle kantud summade tühistamise määr (15 %) oli suhteliselt kõrge ja ületas ametile aasta koha seatud piirmäära, s.o vähem kui 10 %;</w:t>
      </w:r>
    </w:p>
    <w:p w:rsidR="007D6A18" w:rsidRPr="005D0CB3" w:rsidRDefault="00A13A7A" w:rsidP="007D6A18">
      <w:pPr>
        <w:pStyle w:val="NormalHanging12a"/>
        <w:rPr>
          <w:szCs w:val="24"/>
        </w:rPr>
      </w:pPr>
      <w:r w:rsidRPr="005D0CB3">
        <w:lastRenderedPageBreak/>
        <w:t>2.</w:t>
      </w:r>
      <w:r w:rsidRPr="005D0CB3">
        <w:tab/>
        <w:t>rõhutab, et 2022. </w:t>
      </w:r>
      <w:r w:rsidR="007D6A18" w:rsidRPr="005D0CB3">
        <w:t>aastal võttis ameti haldusnõukogu vastu kaks eelarve muutmise ettepanekut; märgib sellega seos</w:t>
      </w:r>
      <w:r w:rsidRPr="005D0CB3">
        <w:t>es, et amet viis läbi oma 2022. </w:t>
      </w:r>
      <w:r w:rsidR="007D6A18" w:rsidRPr="005D0CB3">
        <w:t>aasta eelarve vahehindamise, mille käigus tehti kindlaks, et amet peab komisjonilt taotlema lisatoetust, mis kulukohustuste assigneeringutena on 12 miljonit eurot</w:t>
      </w:r>
      <w:r w:rsidRPr="005D0CB3">
        <w:t xml:space="preserve"> ja maksete assigneeringutena 6 </w:t>
      </w:r>
      <w:r w:rsidR="007D6A18" w:rsidRPr="005D0CB3">
        <w:t>miljonit eurot, et täita lisaülesandeid, mis tulenevad humanitaarkriisist, mille on põhjustanud Venemaa õigusvastane ja provotseerimata sissetung Ukrainasse; märgib, et need summad sisaldusid esimeses eelarve muutmise ettepanekus</w:t>
      </w:r>
      <w:r w:rsidRPr="005D0CB3">
        <w:t>, mille amet võttis vastu 2022. </w:t>
      </w:r>
      <w:r w:rsidR="007D6A18" w:rsidRPr="005D0CB3">
        <w:t>aasta septembris; peab aga kahetsusväärseks, et kui ameti eelarve ja planeerimistegevus sügisel läbi vaadati, toodi Ukraina kriisiga seotud tegevuskavade rakendamisega seoses esile ettenägemata viivitused, mis tõid kaasa negatiivse (teise) eelarvemuudatuse, mille h</w:t>
      </w:r>
      <w:r w:rsidRPr="005D0CB3">
        <w:t>aldusnõukogu võttis vastu 2022. </w:t>
      </w:r>
      <w:r w:rsidR="007D6A18" w:rsidRPr="005D0CB3">
        <w:t>aasta novembris ja mille kohaselt vähen</w:t>
      </w:r>
      <w:r w:rsidRPr="005D0CB3">
        <w:t>dati maksete assigneeringuid 12 </w:t>
      </w:r>
      <w:r w:rsidR="007D6A18" w:rsidRPr="005D0CB3">
        <w:t>miljoni euro võrra; märgib ühtlasi, et ameti eelarvemuudatustes võeti arvesse ka Taani vabatahtlikku osalustasu (teine makse summas 94 063 eurot) EASO ja Egiptuse vahelise koostöökava rakendamiseks ning Lääne-Balkani riikidele mõeldud IPA III rahastamiseks tehtud esimesi eelmakseid (2 968 129 eurot);</w:t>
      </w:r>
    </w:p>
    <w:p w:rsidR="007D6A18" w:rsidRPr="005D0CB3" w:rsidRDefault="007D6A18" w:rsidP="007D6A18">
      <w:pPr>
        <w:pStyle w:val="NormalHanging12a"/>
        <w:rPr>
          <w:szCs w:val="24"/>
        </w:rPr>
      </w:pPr>
      <w:r w:rsidRPr="005D0CB3">
        <w:t>3.</w:t>
      </w:r>
      <w:r w:rsidRPr="005D0CB3">
        <w:tab/>
        <w:t>võtab teadmiseks kontrollikoja aruandes esitatud tähelepaneku, mis puudutab Schengeni lepinguga ühinenud riikide poolt ameti eelarvesse makstud osalustasu ning mille kohaselt on liidu ja nende riikide vahel sõlmitud kokkulepped, mis on nende osalustasude arvutamise õiguslikuks aluseks, ebaselged ja võimaldavad erinevaid tõlgendusi, mistõttu on iga Schengeni lepinguga ühinenud riigi osalustasu (</w:t>
      </w:r>
      <w:r w:rsidR="00A13A7A" w:rsidRPr="005D0CB3">
        <w:t>ameti eelarvesse) ligikaudu 0,7 </w:t>
      </w:r>
      <w:r w:rsidRPr="005D0CB3">
        <w:t>miljonit eurot (7 %) väiksem, kui see peaks tegelikult olema, mis on tingitud sellest, et arvutamiseks kasutatakse valemit, mida kontrollikoda peab ekslikuks, sest osalustasumäär korrutatakse summaga, mille puhul on arvesse võetud üksnes liidu eelarvest ameti tegevusele antavat toetust, kuid kontrollikoja hinnangul peaks see summa sisaldama ka Schengeni lepinguga ühinenud riikide osalustasu; kutsub komisjoni üles käsitlema seda küsimust läbirääkimistel, mida hakatakse Schengeni lepinguga ühinenud riikidega pidama uute lepingute üle, mis hõlmavad Schengeni lepinguga ühinenud riikide osalemist ameti töös, et tagada lepingutes suurem selgus;</w:t>
      </w:r>
    </w:p>
    <w:p w:rsidR="007D6A18" w:rsidRPr="005D0CB3" w:rsidRDefault="007D6A18" w:rsidP="007D6A18">
      <w:pPr>
        <w:spacing w:after="240"/>
        <w:ind w:left="567" w:hanging="567"/>
        <w:rPr>
          <w:szCs w:val="24"/>
        </w:rPr>
      </w:pPr>
      <w:r w:rsidRPr="005D0CB3">
        <w:rPr>
          <w:b/>
          <w:i/>
        </w:rPr>
        <w:t>Tulemus</w:t>
      </w:r>
      <w:r w:rsidR="00AA689C" w:rsidRPr="005D0CB3">
        <w:rPr>
          <w:b/>
          <w:i/>
        </w:rPr>
        <w:t>ed</w:t>
      </w:r>
    </w:p>
    <w:p w:rsidR="007D6A18" w:rsidRPr="005D0CB3" w:rsidRDefault="00A13A7A" w:rsidP="007D6A18">
      <w:pPr>
        <w:pStyle w:val="NormalHanging12a"/>
        <w:rPr>
          <w:szCs w:val="24"/>
        </w:rPr>
      </w:pPr>
      <w:r w:rsidRPr="005D0CB3">
        <w:t>4.</w:t>
      </w:r>
      <w:r w:rsidRPr="005D0CB3">
        <w:tab/>
        <w:t>märgib, et 2022. </w:t>
      </w:r>
      <w:r w:rsidR="007D6A18" w:rsidRPr="005D0CB3">
        <w:t>aastal m</w:t>
      </w:r>
      <w:r w:rsidRPr="005D0CB3">
        <w:t>õõdeti ameti tulemuslikkust 204 </w:t>
      </w:r>
      <w:r w:rsidR="007D6A18" w:rsidRPr="005D0CB3">
        <w:t>aastaeesmärgi alusel, millest 48 % ületati, 26 % saavutati, 10 % saavutati peaaegu, 12 % saavutamine viibis ja 4 % ei olnud võimalik mõõta;</w:t>
      </w:r>
    </w:p>
    <w:p w:rsidR="007D6A18" w:rsidRPr="005D0CB3" w:rsidRDefault="007D6A18" w:rsidP="007D6A18">
      <w:pPr>
        <w:pStyle w:val="NormalHanging12a"/>
        <w:rPr>
          <w:szCs w:val="24"/>
        </w:rPr>
      </w:pPr>
      <w:r w:rsidRPr="005D0CB3">
        <w:t>5.</w:t>
      </w:r>
      <w:r w:rsidRPr="005D0CB3">
        <w:tab/>
        <w:t xml:space="preserve">tunnustab ametit selle ees, </w:t>
      </w:r>
      <w:r w:rsidR="00A13A7A" w:rsidRPr="005D0CB3">
        <w:t xml:space="preserve">et 2022. aastal tegi ta määruse </w:t>
      </w:r>
      <w:r w:rsidRPr="005D0CB3">
        <w:t xml:space="preserve">(EL) 2021/2033 uute sätete täielikul rakendamisel suuri edusamme; võtab </w:t>
      </w:r>
      <w:r w:rsidR="00A13A7A" w:rsidRPr="005D0CB3">
        <w:t>eelkõige teadmiseks ameti 2021. </w:t>
      </w:r>
      <w:r w:rsidRPr="005D0CB3">
        <w:t>aasta eelarve täitmisele heakskiidu andmise järelmeetmete aruande (edaspidi „järelmeetmete aruanne“) põhjal, et amet moodustas nõuandefoorumi ja varjupaigaekspertide rese</w:t>
      </w:r>
      <w:r w:rsidR="00A13A7A" w:rsidRPr="005D0CB3">
        <w:t>rvnimekirja, millesse oli 2023. </w:t>
      </w:r>
      <w:r w:rsidRPr="005D0CB3">
        <w:t>aasta ju</w:t>
      </w:r>
      <w:r w:rsidR="00A13A7A" w:rsidRPr="005D0CB3">
        <w:t>uni keskpaigaks kantud juba 360 </w:t>
      </w:r>
      <w:r w:rsidRPr="005D0CB3">
        <w:t>liikmesriikide poolt heakskiidetud eksperti (500st, nagu on nõutud kõnealuses määruses), ning korraldas menetluse, et võtta tööle põhiõiguste a</w:t>
      </w:r>
      <w:r w:rsidR="00A13A7A" w:rsidRPr="005D0CB3">
        <w:t>metnik, kes asus ametisse 2023. </w:t>
      </w:r>
      <w:r w:rsidRPr="005D0CB3">
        <w:t>aasta mais, ning konsulteeris sidusrühmadega, et kavandada ja vastu võtta kaebuste lahendamise mehhanism; märgib seoses järelevalvemehhanismiga, et metoodika ja programm on väljatöötamisel ning nende v</w:t>
      </w:r>
      <w:r w:rsidR="00A13A7A" w:rsidRPr="005D0CB3">
        <w:t>astuvõtmine on kavandatud 2024. </w:t>
      </w:r>
      <w:r w:rsidRPr="005D0CB3">
        <w:t>aasta esimesse kvartalisse ning seejärel viiakse ellu järelevalve katseprojekt;</w:t>
      </w:r>
    </w:p>
    <w:p w:rsidR="007D6A18" w:rsidRPr="005D0CB3" w:rsidRDefault="007D6A18" w:rsidP="007D6A18">
      <w:pPr>
        <w:pStyle w:val="NormalHanging12a"/>
        <w:rPr>
          <w:szCs w:val="24"/>
        </w:rPr>
      </w:pPr>
      <w:r w:rsidRPr="005D0CB3">
        <w:t>6.</w:t>
      </w:r>
      <w:r w:rsidRPr="005D0CB3">
        <w:tab/>
        <w:t xml:space="preserve">märgib seoses tegevusvaldkonnaga, mis hõlmab kontaktametnike lähetamist liikmesriikidesse ja kolmandatesse riikidesse, et inimressursside piiratuse tõttu koondas </w:t>
      </w:r>
      <w:r w:rsidRPr="005D0CB3">
        <w:lastRenderedPageBreak/>
        <w:t xml:space="preserve">amet liikmesriigid rühmadesse ja üks kontaktametnik tegutseb kuni neljas liikmesriigis, ning et kontaktametnike saatmiseks kolmandatesse riikidesse puudub ajakava; tunnistab, et ametil on vaja </w:t>
      </w:r>
      <w:r w:rsidR="00A13A7A" w:rsidRPr="005D0CB3">
        <w:t xml:space="preserve">lisavahendeid, et määruse </w:t>
      </w:r>
      <w:r w:rsidRPr="005D0CB3">
        <w:t>(EL) 2021/2303 nõudeid selles valdkonnas täielikult täita, ning kordab, et kutsub komisjoni üles võtma tulevaste ametikohtade loetelude üle otsustamisel ameti operatiivvajadusi rohkem arvesse;</w:t>
      </w:r>
    </w:p>
    <w:p w:rsidR="007D6A18" w:rsidRPr="005D0CB3" w:rsidRDefault="00A13A7A" w:rsidP="007D6A18">
      <w:pPr>
        <w:pStyle w:val="NormalHanging12a"/>
        <w:rPr>
          <w:szCs w:val="24"/>
        </w:rPr>
      </w:pPr>
      <w:r w:rsidRPr="005D0CB3">
        <w:t>7.</w:t>
      </w:r>
      <w:r w:rsidRPr="005D0CB3">
        <w:tab/>
        <w:t>võtab teadmiseks, et 2022. </w:t>
      </w:r>
      <w:r w:rsidR="007D6A18" w:rsidRPr="005D0CB3">
        <w:t>aastal tuli ametil hakata täitma uusi ülesandeid ja lahendama arvukaid probleeme, mis olid tingitud Venemaa õigusvastasest sissetungist Ukrainasse; märgib sellega seoses, et asjaomaste riiklike ametiasutuste taotlusel laiendas amet oma tegevust veel kuuele liikmesriigile, mille tulemusel</w:t>
      </w:r>
      <w:r w:rsidRPr="005D0CB3">
        <w:t xml:space="preserve"> koostati tegevuskavad kokku 14 </w:t>
      </w:r>
      <w:r w:rsidR="007D6A18" w:rsidRPr="005D0CB3">
        <w:t xml:space="preserve">liikmesriigis; tunnustab ametit ka nende liikmesriikide abistamise eest ajutise kaitse direktiivi rakendamisel; märgib ühtlasi, et amet toetas vabatahtliku ümberasustamise programmi, mis aitab Ukrainast põgenevatel inimestel liitu ümber asuda ja taotleda ajutist kaitset, korraldas riikide haldusasutustele ajutise kaitse direktiivi alaseid koolitusi, töötas välja riigipõhiseid teabematerjale (raamatud, voldikud ja plakatid) ning andis ajutise kaitse kohta kohandatud teavet, suurendas olukorraanalüüside koostamist ja lähetas töötajaid esimest korda kolmandasse riiki (Moldova); tunnustab peale selle ameti aktiivset osalemist Euroopa ühise varjupaigasüsteemi </w:t>
      </w:r>
      <w:proofErr w:type="spellStart"/>
      <w:r w:rsidR="007D6A18" w:rsidRPr="005D0CB3">
        <w:t>välismõõtmes</w:t>
      </w:r>
      <w:proofErr w:type="spellEnd"/>
      <w:r w:rsidR="007D6A18" w:rsidRPr="005D0CB3">
        <w:t>, millega toetatakse EL+ riike 585 i</w:t>
      </w:r>
      <w:r w:rsidRPr="005D0CB3">
        <w:t>nimese ümberasumisel 13 </w:t>
      </w:r>
      <w:r w:rsidR="007D6A18" w:rsidRPr="005D0CB3">
        <w:t>valiku- ja kolme lahkumiseelse missiooni toetamise kaudu;</w:t>
      </w:r>
    </w:p>
    <w:p w:rsidR="007D6A18" w:rsidRPr="005D0CB3" w:rsidRDefault="00A13A7A" w:rsidP="007D6A18">
      <w:pPr>
        <w:pStyle w:val="NormalHanging12a"/>
      </w:pPr>
      <w:r w:rsidRPr="005D0CB3">
        <w:t>8.</w:t>
      </w:r>
      <w:r w:rsidRPr="005D0CB3">
        <w:tab/>
        <w:t>rõhutab muude 2022. </w:t>
      </w:r>
      <w:r w:rsidR="007D6A18" w:rsidRPr="005D0CB3">
        <w:t>aasta saavutuste hulgas, et amet koostas ligikaudu 3000 lehekülge päritoluriiki puudutavaid mate</w:t>
      </w:r>
      <w:r w:rsidRPr="005D0CB3">
        <w:t>rjale, käsitles rohkem kui 1000 </w:t>
      </w:r>
      <w:r w:rsidR="007D6A18" w:rsidRPr="005D0CB3">
        <w:t>individuaalset meditsiinilist taotlust, mis on seotud ameti päritoluriigipõhise meditsiinitegevusega, korraldas koolitusi, millel osales kokku rekordarv (13 000) inimest, ning avaldas ja/või ajakohastas riigipõhiseid suuniseid (Somaalia, Afganistani ja Iraagi kohta); tunnustab ametit ka Lääne-Balkani riikide abistamise eest, tehes seda Albaanias, Bosnias ja Hertsegoviinas, Kosovos, Montenegros, Põhja-Makedoonias ja Serbias peamiste varjupaigamenetluste alase institutsioonilise suutlikkuse suurendamise, koolituse ja töökohapõhise juhendamise kaudu;</w:t>
      </w:r>
    </w:p>
    <w:p w:rsidR="007D6A18" w:rsidRPr="005D0CB3" w:rsidRDefault="007D6A18" w:rsidP="007D6A18">
      <w:pPr>
        <w:pStyle w:val="NormalHanging12a"/>
        <w:rPr>
          <w:b/>
          <w:i/>
        </w:rPr>
      </w:pPr>
      <w:r w:rsidRPr="005D0CB3">
        <w:rPr>
          <w:b/>
          <w:i/>
        </w:rPr>
        <w:t>Tõhusus ja selle suurendamine</w:t>
      </w:r>
    </w:p>
    <w:p w:rsidR="007D6A18" w:rsidRPr="005D0CB3" w:rsidRDefault="007D6A18" w:rsidP="007D6A18">
      <w:pPr>
        <w:pStyle w:val="NormalHanging12a"/>
      </w:pPr>
      <w:r w:rsidRPr="005D0CB3">
        <w:t>9.</w:t>
      </w:r>
      <w:r w:rsidRPr="005D0CB3">
        <w:tab/>
        <w:t xml:space="preserve">märgib, et amet on teinud koostööd mitme justiits- ja </w:t>
      </w:r>
      <w:proofErr w:type="spellStart"/>
      <w:r w:rsidRPr="005D0CB3">
        <w:t>siseküsimuste</w:t>
      </w:r>
      <w:proofErr w:type="spellEnd"/>
      <w:r w:rsidRPr="005D0CB3">
        <w:t xml:space="preserve"> valdkonna ametiga (nt Frontex, eu-LISA, FRA, CEPOL) seoses muu hulgas olukorrateadlikkust käsitlevate teabematerjalide, operatiivprobleemide lahendamise (sealhulgas lähetatud töötajate) toetamise, õppimise ja teabevahetuse ning koolituse ja suutlikkuse suurendamisega; rõhutab, et vahendite korrektseks jaotamiseks tuleb teha koostööd; märgib ühtlasi, et teenustaseme kokkuleppe kohaselt asub ameti IKT loogilise taristu ja kommunikatsiooni taastekeskus eu-</w:t>
      </w:r>
      <w:proofErr w:type="spellStart"/>
      <w:r w:rsidRPr="005D0CB3">
        <w:t>LISAs</w:t>
      </w:r>
      <w:proofErr w:type="spellEnd"/>
      <w:r w:rsidRPr="005D0CB3">
        <w:t>; ergutab ametit jätkama ameti uute volituste raames parimate tavade vahetamise viiside ja võimaluste uurimist, et teiste ametitega ressursse jagada ja vastastikust huvi pakkuvates valdkondades koostoimet arendada, et suurendada tõhusust;</w:t>
      </w:r>
    </w:p>
    <w:p w:rsidR="007D6A18" w:rsidRPr="005D0CB3" w:rsidRDefault="007D6A18" w:rsidP="007D6A18">
      <w:pPr>
        <w:pStyle w:val="NormalHanging12a"/>
      </w:pPr>
      <w:r w:rsidRPr="005D0CB3">
        <w:t>10.</w:t>
      </w:r>
      <w:r w:rsidRPr="005D0CB3">
        <w:tab/>
        <w:t xml:space="preserve">väljendab heameelt </w:t>
      </w:r>
      <w:r w:rsidR="00A13A7A" w:rsidRPr="005D0CB3">
        <w:t>selle üle, et amet võttis 2022. </w:t>
      </w:r>
      <w:r w:rsidRPr="005D0CB3">
        <w:t xml:space="preserve">aastal tõhususe ja lihtsustamise suurendamiseks meetmeid, nagu menetlusetappide vähendamine, korduvate ülesannete automatiseerimine ja horisontaalsete teenuste osutamiseks organisatsioonilise mudeli kasutuselevõtt, mis toob haldusteadmised kasutuskohale </w:t>
      </w:r>
      <w:proofErr w:type="spellStart"/>
      <w:r w:rsidRPr="005D0CB3">
        <w:t>kaug</w:t>
      </w:r>
      <w:proofErr w:type="spellEnd"/>
      <w:r w:rsidRPr="005D0CB3">
        <w:t xml:space="preserve">-, füüsilise või hübriidkohaloleku kaudu lähemale, tuues seeläbi kasu riigi toimingutele sellistes valdkondades nagu tehingute finantsalgatus, IKT-tugi, õigusabi ja vahendite haldamine; tunnustab ameti suuremat tõhusust töötajate turvalisuse tagamisel riikides toimunud </w:t>
      </w:r>
      <w:r w:rsidRPr="005D0CB3">
        <w:lastRenderedPageBreak/>
        <w:t xml:space="preserve">rohkemate operatsioonide puhul, kasutades samu ressursse nagu 2021. aastal; märgib peale selle, et amet rakendas mitmeid meetmeid, mille eesmärk on parandada tõhusust sellistes valdkondades nagu küberturvalisus (nt intsidentidele reageerimise automatiseeritud töövoog), hanked (kõige sagedamini ostetavate kaupade ja teenuste jaoks teabekeskuste määramine, et parandada menetluste kvaliteeti ja õigeaegsust ning pakkuda tuge hangete varajastest etappidest alates), IKT (andes kasutajatele võimaluse saada oma taotluste staatuse kohta teavet ühtsest kontaktpunktist) ja personalihaldus (avades muu hulgas esimesed </w:t>
      </w:r>
      <w:proofErr w:type="spellStart"/>
      <w:r w:rsidRPr="005D0CB3">
        <w:t>SYSPERi</w:t>
      </w:r>
      <w:proofErr w:type="spellEnd"/>
      <w:r w:rsidRPr="005D0CB3">
        <w:t xml:space="preserve"> moodulid identiteediandmete, organisatsiooni, teenistuskäigu, isikuandmete ja tööajahalduse kohta, samuti piletisüsteem tugiteenuste jaoks, mida saavad kasutada kõik ameti töötajad); kutsub ametit üles komisjoni riigihangete haldamise vahendit täielikult rakendama; võtab ameti 2022. aasta konsolideeritud tegevusaruande põhjal teadmiseks, et ameti põhitegevusele eraldatud vahe</w:t>
      </w:r>
      <w:r w:rsidR="00A13A7A" w:rsidRPr="005D0CB3">
        <w:t>ndite osakaal suurenes ka 2022. </w:t>
      </w:r>
      <w:r w:rsidRPr="005D0CB3">
        <w:t>aastal ja jõudis 79,13 %</w:t>
      </w:r>
      <w:r w:rsidR="00A13A7A" w:rsidRPr="005D0CB3">
        <w:t>-</w:t>
      </w:r>
      <w:r w:rsidRPr="005D0CB3">
        <w:t>ni (2021. aastal 72,14 % ja 2020. aastal 68,68 %);</w:t>
      </w:r>
    </w:p>
    <w:p w:rsidR="007D6A18" w:rsidRPr="005D0CB3" w:rsidRDefault="007D6A18" w:rsidP="007D6A18">
      <w:pPr>
        <w:pStyle w:val="NormalHanging12a"/>
      </w:pPr>
      <w:r w:rsidRPr="005D0CB3">
        <w:t>11.</w:t>
      </w:r>
      <w:r w:rsidRPr="005D0CB3">
        <w:tab/>
        <w:t xml:space="preserve">võtab kontrollikoja aruande põhjal kahetsusega teadmiseks, et amet ei kuulu nende ametite hulka, kes on koostanud oma tegevuse energiatõhususe ja kliimaneutraalsuse parandamise kava, on oma iga-aastasesse tegevusaruandesse lisanud mingil kujul keskkonnaaruandluse ja saanud </w:t>
      </w:r>
      <w:proofErr w:type="spellStart"/>
      <w:r w:rsidRPr="005D0CB3">
        <w:t>EMASi</w:t>
      </w:r>
      <w:proofErr w:type="spellEnd"/>
      <w:r w:rsidRPr="005D0CB3">
        <w:t xml:space="preserve"> registreeringu; rõhutab aga vastuste põhjal, mis amet parlamendi kirjalikult vastatavatele küsimustele andis, et amet käivitas 2022. aastal keskkonnajuhtimissüsteemi väljatöötamise ja rakendamise ettevalmistamise esimese etapi ning võttis selle järgnevate etappide ettevalmistamiseks meetmeid; ergutab ametit jätkama suutlikkuse suurendamise meetmetes osalemist ning tegema teiste ametite ja liidu institutsioonidega koostööd, et ameti </w:t>
      </w:r>
      <w:proofErr w:type="spellStart"/>
      <w:r w:rsidRPr="005D0CB3">
        <w:t>EMASi</w:t>
      </w:r>
      <w:proofErr w:type="spellEnd"/>
      <w:r w:rsidRPr="005D0CB3">
        <w:t xml:space="preserve"> sertifitseerimisprotsessi kiirendada; rõhutab, et amet lisab keskkonnaaspektid tehnilistesse kirjeldustesse või pakkumuste hindamise kriteeriumidesse, näiteks kinnisvaralepingute, sööklateenuste ja puhastusteenuste puhul; kutsub ametit üles kaaluma ka keskkonnahoidlike riigihangete poliitika väljatöötamist;</w:t>
      </w:r>
      <w:r w:rsidRPr="005D0CB3">
        <w:rPr>
          <w:b/>
          <w:i/>
        </w:rPr>
        <w:t> </w:t>
      </w:r>
      <w:r w:rsidRPr="005D0CB3">
        <w:t xml:space="preserve">nõuab tungivalt, et amet kaaluks nii oma taristus kui ka </w:t>
      </w:r>
      <w:proofErr w:type="spellStart"/>
      <w:r w:rsidRPr="005D0CB3">
        <w:t>siseprotsessides</w:t>
      </w:r>
      <w:proofErr w:type="spellEnd"/>
      <w:r w:rsidRPr="005D0CB3">
        <w:t xml:space="preserve"> kestlike ja energiatõhusate vahelahenduste rakendamist, näiteks digitaalsete vahendite ja dokumendihalduse ulatuslikumat kasutamist;</w:t>
      </w:r>
    </w:p>
    <w:p w:rsidR="007D6A18" w:rsidRPr="005D0CB3" w:rsidRDefault="007D6A18" w:rsidP="007D6A18">
      <w:pPr>
        <w:spacing w:after="240"/>
        <w:ind w:left="567" w:hanging="567"/>
        <w:rPr>
          <w:b/>
          <w:i/>
          <w:szCs w:val="24"/>
        </w:rPr>
      </w:pPr>
      <w:r w:rsidRPr="005D0CB3">
        <w:rPr>
          <w:b/>
          <w:i/>
        </w:rPr>
        <w:t>Personalipoliitika</w:t>
      </w:r>
    </w:p>
    <w:p w:rsidR="007D6A18" w:rsidRPr="005D0CB3" w:rsidRDefault="007D6A18" w:rsidP="007D6A18">
      <w:pPr>
        <w:pStyle w:val="NormalHanging12a"/>
      </w:pPr>
      <w:r w:rsidRPr="005D0CB3">
        <w:t>12.</w:t>
      </w:r>
      <w:r w:rsidRPr="005D0CB3">
        <w:tab/>
        <w:t>võtab teadmiseks, et ameti kõrgemas ja keskastme juhtkonnas oli 9</w:t>
      </w:r>
      <w:r w:rsidR="00A13A7A" w:rsidRPr="005D0CB3">
        <w:t> </w:t>
      </w:r>
      <w:r w:rsidRPr="005D0CB3">
        <w:t>meest (69 %) ja 4 naist (31 %) (sama mis 2021.</w:t>
      </w:r>
      <w:r w:rsidR="00A13A7A" w:rsidRPr="005D0CB3">
        <w:t> aastal), haldusnõukogus oli 27 meest (48 %) ja 29 naist (52 %) (võrreldes 2021. </w:t>
      </w:r>
      <w:r w:rsidRPr="005D0CB3">
        <w:t>aastaga parem tasakaal) ning kõigi</w:t>
      </w:r>
      <w:r w:rsidR="00A13A7A" w:rsidRPr="005D0CB3">
        <w:t xml:space="preserve"> töötajate hulgas oli kokku 203 meest (39 %) ja 316 naist (61 %) (sama mis 2021. </w:t>
      </w:r>
      <w:r w:rsidRPr="005D0CB3">
        <w:t>aastal); tuletab meelde, et tuleb tagada töötajate sooline tasakaal, ja kutsub ametit üles arvestama seda aspekti seoses töötajate töölevõtmise ning kõrgema ja keskastme juhtide valimisega; võtab rahuloluga teadmiseks ameti võetud kohustuse lisada oma tulevasse personalistrateegiasse meetmed, milles seatakse prioriteediks ametis soolise esindatuse ja mitmekesisuse edendamine, ning edendada juhtimisoskuse arendamise programme, mis on mõeldud tulevastele juhtidele; palub ametil anda eelarve täitmisele heakskiidu andmise eest vastutavale institutsioonile selle kohustuse täitmise kohta aru;</w:t>
      </w:r>
    </w:p>
    <w:p w:rsidR="007D6A18" w:rsidRPr="005D0CB3" w:rsidRDefault="007D6A18" w:rsidP="007D6A18">
      <w:pPr>
        <w:pStyle w:val="NormalHanging12a"/>
        <w:rPr>
          <w:szCs w:val="24"/>
        </w:rPr>
      </w:pPr>
      <w:r w:rsidRPr="005D0CB3">
        <w:t>13.</w:t>
      </w:r>
      <w:r w:rsidRPr="005D0CB3">
        <w:tab/>
        <w:t>märgib, et 31. detsembril 2022. aastal oli ametikohtade loetelust</w:t>
      </w:r>
      <w:r w:rsidR="00A13A7A" w:rsidRPr="005D0CB3">
        <w:t xml:space="preserve"> täidetud 90 % (2021. aastal 87 </w:t>
      </w:r>
      <w:r w:rsidRPr="005D0CB3">
        <w:t xml:space="preserve">%), kusjuures liidu eelarves kinnitatud 371 ajutise teenistuja ametikohast (2021. aastal oli kinnitatud ametikohti 366) oli täidetud 333; väljendab heameelt selle üle, et ameti ametikohtade täitmise määr on taas tõusnud; peab kahetsusväärseks, et tööjõu </w:t>
      </w:r>
      <w:proofErr w:type="spellStart"/>
      <w:r w:rsidRPr="005D0CB3">
        <w:t>voolavus</w:t>
      </w:r>
      <w:proofErr w:type="spellEnd"/>
      <w:r w:rsidRPr="005D0CB3">
        <w:t xml:space="preserve"> suur</w:t>
      </w:r>
      <w:r w:rsidR="00A13A7A" w:rsidRPr="005D0CB3">
        <w:t>enes 2021. aasta 4,1 %-lt 2022. </w:t>
      </w:r>
      <w:r w:rsidRPr="005D0CB3">
        <w:t xml:space="preserve">aastal </w:t>
      </w:r>
      <w:r w:rsidRPr="005D0CB3">
        <w:lastRenderedPageBreak/>
        <w:t>8,2 %</w:t>
      </w:r>
      <w:r w:rsidR="00A13A7A" w:rsidRPr="005D0CB3">
        <w:noBreakHyphen/>
      </w:r>
      <w:proofErr w:type="spellStart"/>
      <w:r w:rsidRPr="005D0CB3">
        <w:t>le</w:t>
      </w:r>
      <w:proofErr w:type="spellEnd"/>
      <w:r w:rsidRPr="005D0CB3">
        <w:t>; märgib, et 2022. aastal töötas ameti heaks ka 184 lepingulist töötajat ja 10 lähetatud riiklikku eksperti; rõhutab, et Ukraina sõja ja ajutise kaitse direktiivi rakendamise tõttu andis kom</w:t>
      </w:r>
      <w:r w:rsidR="00A13A7A" w:rsidRPr="005D0CB3">
        <w:t>isjon ametile kaheks aastaks 90 </w:t>
      </w:r>
      <w:r w:rsidRPr="005D0CB3">
        <w:t>lühiajalist lepingulise tööta</w:t>
      </w:r>
      <w:r w:rsidR="00A13A7A" w:rsidRPr="005D0CB3">
        <w:t>ja ametikohta; märgib, et 2022. </w:t>
      </w:r>
      <w:r w:rsidRPr="005D0CB3">
        <w:t>a</w:t>
      </w:r>
      <w:r w:rsidR="00A13A7A" w:rsidRPr="005D0CB3">
        <w:t>astal avaldas amet 29 </w:t>
      </w:r>
      <w:r w:rsidRPr="005D0CB3">
        <w:t>vaba ametikoha kohta teate ning tegi ajutistele teenistujatele ja</w:t>
      </w:r>
      <w:r w:rsidR="00A13A7A" w:rsidRPr="005D0CB3">
        <w:t xml:space="preserve"> lepingulistele töötajatele 138 </w:t>
      </w:r>
      <w:r w:rsidRPr="005D0CB3">
        <w:t>tööpakkumist;</w:t>
      </w:r>
    </w:p>
    <w:p w:rsidR="007D6A18" w:rsidRPr="005D0CB3" w:rsidRDefault="007D6A18" w:rsidP="007D6A18">
      <w:pPr>
        <w:pStyle w:val="NormalHanging12a"/>
      </w:pPr>
      <w:r w:rsidRPr="005D0CB3">
        <w:t>14.</w:t>
      </w:r>
      <w:r w:rsidRPr="005D0CB3">
        <w:tab/>
        <w:t xml:space="preserve">väljendab heameelt ameti poliitika üle, mis käsitleb </w:t>
      </w:r>
      <w:proofErr w:type="spellStart"/>
      <w:r w:rsidRPr="005D0CB3">
        <w:t>inimväärikuse</w:t>
      </w:r>
      <w:proofErr w:type="spellEnd"/>
      <w:r w:rsidRPr="005D0CB3">
        <w:t xml:space="preserve"> kaitsmist ning psühholoogilise ja seksuaalse ahistamise ennetamist, komisjoni haldusjuurdluste ja distsiplinaarmenetluste läbiviimist käsitlevate reeglite rakendamist ning li</w:t>
      </w:r>
      <w:r w:rsidR="00A13A7A" w:rsidRPr="005D0CB3">
        <w:t>idu personalieeskirjade artikli </w:t>
      </w:r>
      <w:r w:rsidRPr="005D0CB3">
        <w:t xml:space="preserve">24 kohaseid abitaotlusi käsitlevaid </w:t>
      </w:r>
      <w:proofErr w:type="spellStart"/>
      <w:r w:rsidRPr="005D0CB3">
        <w:t>sisesuuniseid</w:t>
      </w:r>
      <w:proofErr w:type="spellEnd"/>
      <w:r w:rsidRPr="005D0CB3">
        <w:t>; võtab parlamendi kirjalikult vastatavatele küsimustele antud ameti vastuste põhjal teadm</w:t>
      </w:r>
      <w:r w:rsidR="00A13A7A" w:rsidRPr="005D0CB3">
        <w:t>iseks, et ametile teatati 2022. </w:t>
      </w:r>
      <w:r w:rsidRPr="005D0CB3">
        <w:t>aastal kolmest ahistamisjuhtumist, millest kahe puhul juurdlust ei algatatud, sest ahistamise kohta puudusid esmapilgul usutavad tõendid ja need lõpetati ilma täiendavate meetmeteta, kuid kolmanda juhtumi puhul algatati haldusjuurdlus; palub ametil hoida eelarve täitmisele heakskiidu andmise eest vastutavat institutsiooni selle juurdluse tulemustega kursis; märgib rahuloluga, et komisjoni siseauditi talituse soovituse kohaselt võttis amet 2023. aasta aprillis vastu haldusjuurdluste ja distsiplinaarmenetluste suunised; rõhutab, et tuleb kehtestada tugevad ahistamisvastased raamistikud, eelkõige äärmiselt pingelises ja nõudlikus töökeskkonnas; kutsub ametit üles nägema selles küsimuses nii uutele kui ka olemasolevatele töötajatele ette koolituskava;</w:t>
      </w:r>
    </w:p>
    <w:p w:rsidR="007D6A18" w:rsidRPr="005D0CB3" w:rsidRDefault="007D6A18" w:rsidP="007D6A18">
      <w:pPr>
        <w:pStyle w:val="NormalHanging12a"/>
      </w:pPr>
      <w:r w:rsidRPr="005D0CB3">
        <w:t>15.</w:t>
      </w:r>
      <w:r w:rsidRPr="005D0CB3">
        <w:tab/>
        <w:t>võtab kommentaa</w:t>
      </w:r>
      <w:r w:rsidR="00A13A7A" w:rsidRPr="005D0CB3">
        <w:t>ridest, mille amet esitas 2021. </w:t>
      </w:r>
      <w:r w:rsidRPr="005D0CB3">
        <w:t>aasta eelarve täitmisele heakskiidu andmise menetluses parlamendi tehtud horisontaalsete tähelepanekute kohta, ja ameti järelmeetmete aruande põhjal teadmiseks, et v</w:t>
      </w:r>
      <w:r w:rsidR="00776686" w:rsidRPr="005D0CB3">
        <w:t>iimastel aastatel (alates 2019. </w:t>
      </w:r>
      <w:r w:rsidRPr="005D0CB3">
        <w:t>aastast) on amet kasutanud välise õigusbüroo (mis on spetsialiseerunud liidu avaliku teenistuse õigusele) teenuseid väidetavate ahistamisjuhtumitega (</w:t>
      </w:r>
      <w:r w:rsidR="00776686" w:rsidRPr="005D0CB3">
        <w:t>s.o personalieeskirjade artikli </w:t>
      </w:r>
      <w:r w:rsidRPr="005D0CB3">
        <w:t>24 kohased abitaotlused) tegelemiseks; märgib sellega seoses, et ameti õigusteenuste üksus viib läbi hindamise, et teha kindlaks, kas väliselt õigusbüroolt on vaja tuge või nõu küsida, ning et üksus haldab asjaomast menetlust ja teeb kõigil neil juhtudel koostööd ameti personaliosakonnaga;</w:t>
      </w:r>
    </w:p>
    <w:p w:rsidR="007D6A18" w:rsidRPr="005D0CB3" w:rsidRDefault="007D6A18" w:rsidP="007D6A18">
      <w:pPr>
        <w:pStyle w:val="NormalHanging12a"/>
      </w:pPr>
      <w:r w:rsidRPr="005D0CB3">
        <w:t>16.</w:t>
      </w:r>
      <w:r w:rsidRPr="005D0CB3">
        <w:tab/>
        <w:t>tuletab meelde kontro</w:t>
      </w:r>
      <w:r w:rsidR="00776686" w:rsidRPr="005D0CB3">
        <w:t>llikoja tähelepanekut, et 2020. </w:t>
      </w:r>
      <w:r w:rsidRPr="005D0CB3">
        <w:t>aastal oli ameti ametikohtade loetelus 16 va</w:t>
      </w:r>
      <w:r w:rsidR="00776686" w:rsidRPr="005D0CB3">
        <w:t>ba juhtivat ametikohta, millest </w:t>
      </w:r>
      <w:r w:rsidRPr="005D0CB3">
        <w:t>10 olid rohkem kui aasta aega täidetud ajutiselt, ning muid küsimusi, nagu kahel kohal töötavad ajutised juhid; võtab ameti järelmeetmete aruande põhjal rahuloluga teadmiseks edasised leevendusmeetmed, mida amet võttis, et järg</w:t>
      </w:r>
      <w:r w:rsidR="00776686" w:rsidRPr="005D0CB3">
        <w:t>ida personalieeskirjade artikli 7 lõiget </w:t>
      </w:r>
      <w:r w:rsidRPr="005D0CB3">
        <w:t>2, esiteks vähendas ta juhtivatel ametikohtadel üle ühe aasta töötanud ajutiste juhtide arvu 2022. aasta lõpus kahele ja alates 2023.</w:t>
      </w:r>
      <w:r w:rsidR="00776686" w:rsidRPr="005D0CB3">
        <w:t> </w:t>
      </w:r>
      <w:r w:rsidRPr="005D0CB3">
        <w:t>aastast lõpetas ajutiste juhtide kasutamise, nii et ükski töötaja ei tööta ajutise juhina enam kauem kui aasta; väljendab heameelt ameti võetud kohustuse üle seada juhtivate ametikohtade täitmine prioriteediks; tu</w:t>
      </w:r>
      <w:r w:rsidR="00776686" w:rsidRPr="005D0CB3">
        <w:t>nnustab ametit 2022. ja 2023. </w:t>
      </w:r>
      <w:r w:rsidRPr="005D0CB3">
        <w:t>aastal tehtud edusammude eest seoses eri keskastme ja kõrgema juhtkonna ametikohtade täitmisega, sealhulgas tegevdirektori asetäitja töölevõtmise menetlustega, sest ameti järelmeetmete aruande kohaselt on kaks valikumenetlust lõpule viidud, kuid üheksa valikumenetlust on pooleli või lõpule viimata; võtab ameti veebi</w:t>
      </w:r>
      <w:r w:rsidR="00776686" w:rsidRPr="005D0CB3">
        <w:t>saidi põhjal teadmiseks, et 15. jaanuari 2024. </w:t>
      </w:r>
      <w:r w:rsidRPr="005D0CB3">
        <w:t>aasta seisuga töötas ameti halduskeskuse juhi ametikohal kohusetäitja ning ameti institutsiooniliste ja horisontaalsete küsimuste keskuse juht on ametikohal ajutise juhina; märgib, et halduskeskuse juhi valimise menetlus on</w:t>
      </w:r>
      <w:r w:rsidR="00776686" w:rsidRPr="005D0CB3">
        <w:t xml:space="preserve"> pooleli ja peaks lõppema 2024. </w:t>
      </w:r>
      <w:r w:rsidRPr="005D0CB3">
        <w:t>aasta esimeses kvartalis; märgib ühtlasi, et institutsiooniliste ja horisontaalsete küsimuste keskuse juhi valimise menetlus on</w:t>
      </w:r>
      <w:r w:rsidR="00776686" w:rsidRPr="005D0CB3">
        <w:t xml:space="preserve"> pooleli ja peaks lõppema 2024. </w:t>
      </w:r>
      <w:r w:rsidRPr="005D0CB3">
        <w:t xml:space="preserve">aasta esimeses kvartalis; palub ametil hoida eelarve täitmisele </w:t>
      </w:r>
      <w:r w:rsidRPr="005D0CB3">
        <w:lastRenderedPageBreak/>
        <w:t>heakskiidu andmise eest vastutavat institutsiooni kõigi nende menetluste tulemustega kursis;</w:t>
      </w:r>
    </w:p>
    <w:p w:rsidR="007D6A18" w:rsidRPr="005D0CB3" w:rsidRDefault="007D6A18" w:rsidP="007D6A18">
      <w:pPr>
        <w:pStyle w:val="NormalHanging12a"/>
        <w:rPr>
          <w:szCs w:val="24"/>
        </w:rPr>
      </w:pPr>
      <w:r w:rsidRPr="005D0CB3">
        <w:t>17.</w:t>
      </w:r>
      <w:r w:rsidRPr="005D0CB3">
        <w:tab/>
        <w:t>rõhutab, et leevendusmeetmed, mida amet võttis selleks, et järg</w:t>
      </w:r>
      <w:r w:rsidR="00776686" w:rsidRPr="005D0CB3">
        <w:t>ida personalieeskirjade artikli 7 lõiget 2, siseauditi talituse 2022. </w:t>
      </w:r>
      <w:r w:rsidRPr="005D0CB3">
        <w:t xml:space="preserve">aasta oktoobris läbi viidud </w:t>
      </w:r>
      <w:proofErr w:type="spellStart"/>
      <w:r w:rsidRPr="005D0CB3">
        <w:t>teabekogumismissioon</w:t>
      </w:r>
      <w:proofErr w:type="spellEnd"/>
      <w:r w:rsidRPr="005D0CB3">
        <w:t>, kon</w:t>
      </w:r>
      <w:r w:rsidR="00776686" w:rsidRPr="005D0CB3">
        <w:t>trollikoja kohapealne töö 2022. </w:t>
      </w:r>
      <w:r w:rsidRPr="005D0CB3">
        <w:t>aasta aud</w:t>
      </w:r>
      <w:r w:rsidR="00776686" w:rsidRPr="005D0CB3">
        <w:t>itiks, Euroopa Parlamendi 2021. </w:t>
      </w:r>
      <w:r w:rsidRPr="005D0CB3">
        <w:t xml:space="preserve">aasta eelarve täitmisele heakskiidu andmist käsitlevas resolutsioonis ametile esitatud asjakohased tähelepanekud ning Euroopa </w:t>
      </w:r>
      <w:proofErr w:type="spellStart"/>
      <w:r w:rsidRPr="005D0CB3">
        <w:t>P</w:t>
      </w:r>
      <w:r w:rsidR="00776686" w:rsidRPr="005D0CB3">
        <w:t>ettustevastase</w:t>
      </w:r>
      <w:proofErr w:type="spellEnd"/>
      <w:r w:rsidR="00776686" w:rsidRPr="005D0CB3">
        <w:t xml:space="preserve"> Ameti (OLAF) 24. novembril </w:t>
      </w:r>
      <w:r w:rsidRPr="005D0CB3">
        <w:t xml:space="preserve">2022 algatatud (pooleliolev) uurimine tulenesid ka anonüümsest </w:t>
      </w:r>
      <w:proofErr w:type="spellStart"/>
      <w:r w:rsidRPr="005D0CB3">
        <w:t>e-kirjast</w:t>
      </w:r>
      <w:proofErr w:type="spellEnd"/>
      <w:r w:rsidRPr="005D0CB3">
        <w:t xml:space="preserve">, mis sisaldas arvukaid väiteid muu hulgas ameti kogu kõrgema juhtkonna põhjustatud personalieeskirjade rikkumiste kohta; nõuab, et amet teeks uurimises </w:t>
      </w:r>
      <w:proofErr w:type="spellStart"/>
      <w:r w:rsidRPr="005D0CB3">
        <w:t>OLAFiga</w:t>
      </w:r>
      <w:proofErr w:type="spellEnd"/>
      <w:r w:rsidRPr="005D0CB3">
        <w:t xml:space="preserve"> t</w:t>
      </w:r>
      <w:r w:rsidR="00776686" w:rsidRPr="005D0CB3">
        <w:t>äielikult koostööd; võtab 2022. </w:t>
      </w:r>
      <w:r w:rsidRPr="005D0CB3">
        <w:t xml:space="preserve">aasta konsolideeritud tegevusaruande põhjal teadmiseks kontrollikoja järeldused, et juhtivatel ametikohtadel töötavate ajutiste juhtide palgaastmega seotud hüvitiste arvutamine oli seaduslik ja korrektne, kuid ametikohtade ajutine täitmine üle ühe aasta ei vastanud nõuetele, aga </w:t>
      </w:r>
      <w:proofErr w:type="spellStart"/>
      <w:r w:rsidRPr="005D0CB3">
        <w:t>eeskirjadevastaseid</w:t>
      </w:r>
      <w:proofErr w:type="spellEnd"/>
      <w:r w:rsidRPr="005D0CB3">
        <w:t xml:space="preserve"> makseid sellega ei kaasnenud; palub ametil teavitada eelarve täitmisele heakskiidu andmise eest vastutavat institutsiooni uurimise edenemisest ja selle etappidest;</w:t>
      </w:r>
    </w:p>
    <w:p w:rsidR="007D6A18" w:rsidRPr="005D0CB3" w:rsidRDefault="007D6A18" w:rsidP="007D6A18">
      <w:pPr>
        <w:pStyle w:val="NormalHanging12a"/>
      </w:pPr>
      <w:r w:rsidRPr="005D0CB3">
        <w:t>18.</w:t>
      </w:r>
      <w:r w:rsidRPr="005D0CB3">
        <w:tab/>
        <w:t xml:space="preserve">on mures ameti </w:t>
      </w:r>
      <w:proofErr w:type="spellStart"/>
      <w:r w:rsidRPr="005D0CB3">
        <w:t>sisejuhtimise</w:t>
      </w:r>
      <w:proofErr w:type="spellEnd"/>
      <w:r w:rsidRPr="005D0CB3">
        <w:t xml:space="preserve"> ja -menetluste pärast, arvestades, et OLAF algatas 2022. aastal ühe juhtimis- ja personalipoliitika uurimise, mis puudutas väidetavalt onupojapoliitikat, ning samuti inimõiguste austamise seiramist puudutava uurimise; kordab, et kutsub ametit üles tegema uurimisorganiga täielikku koostööd ning andma eelarve täitmisele heakskiidu andmise eest vastutavale institutsioonile tulemustest ja parandusmeetmetest aegsasti teada;</w:t>
      </w:r>
    </w:p>
    <w:p w:rsidR="007D6A18" w:rsidRPr="005D0CB3" w:rsidRDefault="00776686" w:rsidP="007D6A18">
      <w:pPr>
        <w:spacing w:after="240"/>
        <w:ind w:left="567" w:hanging="567"/>
      </w:pPr>
      <w:r w:rsidRPr="005D0CB3">
        <w:t>19.</w:t>
      </w:r>
      <w:r w:rsidRPr="005D0CB3">
        <w:tab/>
        <w:t>tuletab meelde, et 2018. </w:t>
      </w:r>
      <w:r w:rsidR="007D6A18" w:rsidRPr="005D0CB3">
        <w:t>aastal viis OLAF lõpule veel ühe uurimise, mille tulemusel esitati järeldused, mis olid seotud näiteks halva personalijuhtimisega, ameti tegevdirektori tagasiastumisega ja ameti haldusnõukogu poolt juhtimisalase tegevuskava vastuvõtmisega, mille eesmärk on taastada ametisisene ja -väline usaldus, tugevdada juhtimisstruktuuri ja taastada ametisisene suutlikkus; märgib, et kontrollikoda märkis oma aastaaruandes, et tähelepanek, mis käsitles täitmata juhtivate ametikohtade suurt arvu ja juhtivate ametikohtadega seotud ebakindluse probleemi, mis võis kahjustada ameti juhtimist ja strateegilist järjepidevust, on suletud ja sellega on piisavalt tegeletud; võtab teadmiseks, et vastavalt Euroopa Liidu Varjupaigaame</w:t>
      </w:r>
      <w:r w:rsidRPr="005D0CB3">
        <w:t>ti määruse artikli 41 lõike 1 punktile </w:t>
      </w:r>
      <w:r w:rsidR="007D6A18" w:rsidRPr="005D0CB3">
        <w:t xml:space="preserve">t teeb haldusnõukogu kõik otsused ameti </w:t>
      </w:r>
      <w:proofErr w:type="spellStart"/>
      <w:r w:rsidR="007D6A18" w:rsidRPr="005D0CB3">
        <w:t>sisestruktuuride</w:t>
      </w:r>
      <w:proofErr w:type="spellEnd"/>
      <w:r w:rsidR="007D6A18" w:rsidRPr="005D0CB3">
        <w:t xml:space="preserve"> loomise kohta, samas kui komisjon kui ameti haldusnõukogu liige teeb korrapäraselt järelevalvet ameti ümberkorraldamise üle; märgib aga, et vaatamata ameti poolt viimastel aastatel tehtud ümberkorraldustele paistab endiselt esinevat pr</w:t>
      </w:r>
      <w:r w:rsidRPr="005D0CB3">
        <w:t>obleeme, nagu on märgitud 2023. </w:t>
      </w:r>
      <w:r w:rsidR="007D6A18" w:rsidRPr="005D0CB3">
        <w:t>aasta jaanuari anonüümses</w:t>
      </w:r>
      <w:r w:rsidRPr="005D0CB3">
        <w:t xml:space="preserve"> kirjas; võtab teadmiseks 2022. </w:t>
      </w:r>
      <w:r w:rsidR="007D6A18" w:rsidRPr="005D0CB3">
        <w:t>aasta kohta tehtud kontrollikoja järeldused, mis põhinevad ameti võetud parandusmeetmetel; kutsub sellega seoses komisjoni üles leidma lahendusi ameti hiljutiste ümberkorralduste sõltumatuks hindamiseks ning loodab, et siseauditi talituse käimasolev personalijuhtimise audit annab asjakohase hinnangu selle kohta, mil määral võivad ameti praegune organisatsiooni skeem ja ülesannete jaotus ameti kesk- ja kõrgema juhtkonna ametikohtade vahel tekitada muu hulgas ebatõhususe, halva personalijuhtimise ja läbipaistmatuse (sealhulgas ameti haldusnõukogu suhtes) ohu;</w:t>
      </w:r>
    </w:p>
    <w:p w:rsidR="007D6A18" w:rsidRPr="005D0CB3" w:rsidRDefault="007D6A18" w:rsidP="007D6A18">
      <w:pPr>
        <w:pStyle w:val="NormalHanging12a"/>
        <w:rPr>
          <w:szCs w:val="24"/>
        </w:rPr>
      </w:pPr>
      <w:r w:rsidRPr="005D0CB3">
        <w:t>20.</w:t>
      </w:r>
      <w:r w:rsidRPr="005D0CB3">
        <w:tab/>
        <w:t xml:space="preserve">märgib murega, et amet ei ole mitmekesisust ja kaasamist käsitlevat hartat vastu võtnud ega andnud aru puuetega inimeste integreerimiseks võetud meetmetest; tuletab meelde, et Euroopa Liidu põhiõiguste harta kohaselt on puude tõttu diskrimineerimine keelatud </w:t>
      </w:r>
      <w:r w:rsidRPr="005D0CB3">
        <w:lastRenderedPageBreak/>
        <w:t xml:space="preserve">ja hartas tunnustatakse puuetega inimeste õigust meetmetele, mille eesmärk on tagada nende iseseisvus, sotsiaalne ja tööalane integratsioon ning osalemine ühiskonnaelus; võtab aga teadmiseks ameti võetud kohustuse tegeleda nende valdkondadega meetmete abil, mida hakatakse rakendama pärast tulevase personalistrateegia vastuvõtmist; märgib ühtlasi, et amet on teinud algatusi ja võtnud mitmesuguseid meetmeid, et parandada oma töötajate heaolu tööl ning töö- ja eraelu tasakaalu, näiteks sihipärased koolituskursused, teenustaseme kokkulepped </w:t>
      </w:r>
      <w:proofErr w:type="spellStart"/>
      <w:r w:rsidRPr="005D0CB3">
        <w:t>lastehoiuteenuse</w:t>
      </w:r>
      <w:proofErr w:type="spellEnd"/>
      <w:r w:rsidRPr="005D0CB3">
        <w:t xml:space="preserve"> osutajate ja koolidega, psühholoogiline ja sotsiaalne tugiteenus, teadlikkuse suurendamise kampaaniad ning vabaajategevus;</w:t>
      </w:r>
    </w:p>
    <w:p w:rsidR="007D6A18" w:rsidRPr="005D0CB3" w:rsidRDefault="007D6A18" w:rsidP="007D6A18">
      <w:pPr>
        <w:pStyle w:val="NormalHanging12a"/>
        <w:rPr>
          <w:b/>
          <w:i/>
          <w:szCs w:val="24"/>
        </w:rPr>
      </w:pPr>
      <w:r w:rsidRPr="005D0CB3">
        <w:rPr>
          <w:b/>
          <w:i/>
        </w:rPr>
        <w:t>Hanked</w:t>
      </w:r>
    </w:p>
    <w:p w:rsidR="007D6A18" w:rsidRPr="005D0CB3" w:rsidRDefault="007D6A18" w:rsidP="007D6A18">
      <w:pPr>
        <w:pStyle w:val="NormalHanging12a"/>
        <w:rPr>
          <w:szCs w:val="24"/>
        </w:rPr>
      </w:pPr>
      <w:r w:rsidRPr="005D0CB3">
        <w:t>21.</w:t>
      </w:r>
      <w:r w:rsidRPr="005D0CB3">
        <w:tab/>
        <w:t>tuletab meelde kon</w:t>
      </w:r>
      <w:r w:rsidR="00776686" w:rsidRPr="005D0CB3">
        <w:t>trollikoja poolt eelarveaastate 2017 ja </w:t>
      </w:r>
      <w:r w:rsidRPr="005D0CB3">
        <w:t xml:space="preserve">2020 kohta esitatud tähelepanekuid, mille kohaselt olid Lesbosel ja Roomas ruumide üürimiseks korraldatud hanked ebapiisava konkurentsi ja säästlikkuse põhimõtte eiramise tõttu ebakorrektsed; võtab kontrollikoja aruande põhjal teadmiseks, et kõik nende menetlustega seoses tehtud maksed on </w:t>
      </w:r>
      <w:proofErr w:type="spellStart"/>
      <w:r w:rsidRPr="005D0CB3">
        <w:t>eeskirjadevastased</w:t>
      </w:r>
      <w:proofErr w:type="spellEnd"/>
      <w:r w:rsidRPr="005D0CB3">
        <w:t>, sealhulgas nendega seotud maksed summas</w:t>
      </w:r>
      <w:r w:rsidR="00776686" w:rsidRPr="005D0CB3">
        <w:t xml:space="preserve"> 281 095 eurot, mis tehti 2022. </w:t>
      </w:r>
      <w:r w:rsidRPr="005D0CB3">
        <w:t>aastal; võtab kontrollikoja aruande põhjal rahuloluga teadmiseks ameti võetud parandusmeetmed, mille kohaselt lõppesid Lesbosel ja Roomas asuvate ruumide üürilepingud vastavalt 30.</w:t>
      </w:r>
      <w:r w:rsidR="00776686" w:rsidRPr="005D0CB3">
        <w:t> aprillil 2023 ja 31. juulil 2023; võtab 2022. </w:t>
      </w:r>
      <w:r w:rsidRPr="005D0CB3">
        <w:t>aasta konsolideeritud tegevusaruande põhjal teadmiseks, et koostöös Kreeka ametiasutustega otsitakse Lesbosel ruumide üürimiseks kestlikku lahendust;</w:t>
      </w:r>
    </w:p>
    <w:p w:rsidR="007D6A18" w:rsidRPr="005D0CB3" w:rsidRDefault="007D6A18" w:rsidP="007D6A18">
      <w:pPr>
        <w:pStyle w:val="NormalHanging12a"/>
        <w:rPr>
          <w:szCs w:val="24"/>
        </w:rPr>
      </w:pPr>
      <w:r w:rsidRPr="005D0CB3">
        <w:t>22.</w:t>
      </w:r>
      <w:r w:rsidRPr="005D0CB3">
        <w:tab/>
        <w:t>võtab teadmiseks kontrollikoja aruandes esitatud tähele</w:t>
      </w:r>
      <w:r w:rsidR="00776686" w:rsidRPr="005D0CB3">
        <w:t>paneku, et amet ostis IT</w:t>
      </w:r>
      <w:r w:rsidR="00776686" w:rsidRPr="005D0CB3">
        <w:noBreakHyphen/>
      </w:r>
      <w:r w:rsidRPr="005D0CB3">
        <w:t xml:space="preserve">seadmeid pakkuja veebikataloogist, mitte finants- ja tehnilistes pakkumistes sisalduvast eelnevalt heaks kiidetud hinnakirjast, mistõttu oli ostuhind 44 % (mis vastab 49 224 euro suurusele summale, mida kontrollikoda pidas </w:t>
      </w:r>
      <w:proofErr w:type="spellStart"/>
      <w:r w:rsidRPr="005D0CB3">
        <w:t>eeskirjadevastaseks</w:t>
      </w:r>
      <w:proofErr w:type="spellEnd"/>
      <w:r w:rsidRPr="005D0CB3">
        <w:t>) kallim kui see, mis oleks olnud juhul, kui see oleks põhinenud eelnevalt heakskiidetud hinnakirjal; võtab ameti vastuse põhjal teadmiseks, et otsus neid esemeid osta oli tingitud operatiivvajadustest ja kiireloomulisusest ning IT-tarvikute piiratud kättesaadavusest turul ning ette olid nähtud piisavad kontrollid, et saada piisav kindlus selle kohta, et asendusesemete ostmisel veebipõhisest kataloogist ei ole hind kõrgem kui töövõtja algses pakkumuses olnud asjaomase toote hind;</w:t>
      </w:r>
    </w:p>
    <w:p w:rsidR="007D6A18" w:rsidRPr="005D0CB3" w:rsidRDefault="007D6A18" w:rsidP="007D6A18">
      <w:pPr>
        <w:spacing w:after="240"/>
        <w:ind w:left="567" w:hanging="567"/>
        <w:rPr>
          <w:szCs w:val="24"/>
        </w:rPr>
      </w:pPr>
      <w:r w:rsidRPr="005D0CB3">
        <w:rPr>
          <w:b/>
          <w:i/>
        </w:rPr>
        <w:t>Huvide konfliktide ennetamine ja haldamine ning läbipaistvus</w:t>
      </w:r>
    </w:p>
    <w:p w:rsidR="007D6A18" w:rsidRPr="005D0CB3" w:rsidRDefault="007D6A18" w:rsidP="007D6A18">
      <w:pPr>
        <w:pStyle w:val="NormalHanging12a"/>
        <w:rPr>
          <w:szCs w:val="24"/>
        </w:rPr>
      </w:pPr>
      <w:r w:rsidRPr="005D0CB3">
        <w:t>23.</w:t>
      </w:r>
      <w:r w:rsidRPr="005D0CB3">
        <w:tab/>
        <w:t>peab kiiduväärseks</w:t>
      </w:r>
      <w:r w:rsidR="00776686" w:rsidRPr="005D0CB3">
        <w:t xml:space="preserve"> edusamme, mida amet tegi 2022. </w:t>
      </w:r>
      <w:r w:rsidRPr="005D0CB3">
        <w:t>aastal huvide konfliktide haldamise ja ennetamise valdkonnas, ning eetikasuuniseid, mis koostati ettevalmistava töö kau</w:t>
      </w:r>
      <w:r w:rsidR="00776686" w:rsidRPr="005D0CB3">
        <w:t>du, mille tulemusel võeti 2023. </w:t>
      </w:r>
      <w:r w:rsidRPr="005D0CB3">
        <w:t xml:space="preserve">aasta jaanuaris vastu üks otsus, mida kohaldatakse ameti haldusnõukogu liikmete ning ameti nõuandefoorumisse kuuluvate organisatsioonide ja pädevate asutuste suhtes, ning kaks ameti töötajate suhtes kohaldatavat otsust; väljendab heameelt ameti eetikakorrespondendi ametisse nimetamise üle ja ameti võetud kohustuse üle lisada huvide konfliktide deklaratsioonide standardtekstid nende koosolekute kutsetesse, kus osalevad </w:t>
      </w:r>
      <w:proofErr w:type="spellStart"/>
      <w:r w:rsidRPr="005D0CB3">
        <w:t>välisosalejad</w:t>
      </w:r>
      <w:proofErr w:type="spellEnd"/>
      <w:r w:rsidRPr="005D0CB3">
        <w:t>; märgib rahuloluga, et amet on välja töötanud suunised ametist lahkuvate töötajate suhtes kohaldatavate töösuhtejärgsete eeskirjade ja menetluste kohta;</w:t>
      </w:r>
    </w:p>
    <w:p w:rsidR="007D6A18" w:rsidRPr="005D0CB3" w:rsidRDefault="007D6A18" w:rsidP="007D6A18">
      <w:pPr>
        <w:pStyle w:val="NormalHanging12a"/>
        <w:rPr>
          <w:szCs w:val="24"/>
        </w:rPr>
      </w:pPr>
      <w:r w:rsidRPr="005D0CB3">
        <w:t>24.</w:t>
      </w:r>
      <w:r w:rsidRPr="005D0CB3">
        <w:tab/>
        <w:t xml:space="preserve">märgib, et haldusnõukogu liikmete huvide deklaratsioonid ja elulookirjeldused ning ameti juhtkonna huvide deklaratsioonid ja elulookirjeldused on avaldatud ameti veebisaidil; märgib aga, et ametisiseste ja </w:t>
      </w:r>
      <w:proofErr w:type="spellStart"/>
      <w:r w:rsidRPr="005D0CB3">
        <w:t>välisekspertide</w:t>
      </w:r>
      <w:proofErr w:type="spellEnd"/>
      <w:r w:rsidRPr="005D0CB3">
        <w:t xml:space="preserve"> elulookirjeldusi ameti veebisaidil ei ole; võtab ameti vastuste põhjal parlamendi kirjalikult vastatavatele </w:t>
      </w:r>
      <w:r w:rsidRPr="005D0CB3">
        <w:lastRenderedPageBreak/>
        <w:t>k</w:t>
      </w:r>
      <w:r w:rsidR="00776686" w:rsidRPr="005D0CB3">
        <w:t>üsimustele teadmiseks, et 2022. </w:t>
      </w:r>
      <w:r w:rsidRPr="005D0CB3">
        <w:t>aastal ei olnud ameti tasandil algatatud, lõpetatud ega pooleli ühegi huvide konflikti ega rikkumisest teatamise juhtumi menetlemist; tunnustab ametit tiheda dialoogi pidamise eest varjupaiga valdkonnas tegutsevate asjaomaste kodanikuühiskonna organisatsioonidega ameti nõuandefoorumi kaudu, mi</w:t>
      </w:r>
      <w:r w:rsidR="00776686" w:rsidRPr="005D0CB3">
        <w:t>s loodi 2022. aasta juunis (116 </w:t>
      </w:r>
      <w:r w:rsidRPr="005D0CB3">
        <w:t>liig</w:t>
      </w:r>
      <w:r w:rsidR="00776686" w:rsidRPr="005D0CB3">
        <w:t>et) määrusest (EL) </w:t>
      </w:r>
      <w:r w:rsidRPr="005D0CB3">
        <w:t>2021/2303 tulenevate uute normide kohaselt;</w:t>
      </w:r>
    </w:p>
    <w:p w:rsidR="007D6A18" w:rsidRPr="005D0CB3" w:rsidRDefault="007D6A18" w:rsidP="007D6A18">
      <w:pPr>
        <w:spacing w:after="240"/>
        <w:ind w:left="567" w:hanging="567"/>
        <w:rPr>
          <w:b/>
          <w:i/>
          <w:szCs w:val="24"/>
        </w:rPr>
      </w:pPr>
      <w:proofErr w:type="spellStart"/>
      <w:r w:rsidRPr="005D0CB3">
        <w:rPr>
          <w:b/>
          <w:i/>
        </w:rPr>
        <w:t>Sisekontroll</w:t>
      </w:r>
      <w:proofErr w:type="spellEnd"/>
    </w:p>
    <w:p w:rsidR="007D6A18" w:rsidRPr="005D0CB3" w:rsidRDefault="007D6A18" w:rsidP="007D6A18">
      <w:pPr>
        <w:pStyle w:val="NormalHanging12a"/>
        <w:rPr>
          <w:szCs w:val="24"/>
        </w:rPr>
      </w:pPr>
      <w:r w:rsidRPr="005D0CB3">
        <w:t>25.</w:t>
      </w:r>
      <w:r w:rsidRPr="005D0CB3">
        <w:tab/>
        <w:t>võtab teadmiseks kontrollikoja aruandes esitatud tähelepaneku, et oli kolm juhtumit, mille puhul oleks edasivolitamis</w:t>
      </w:r>
      <w:r w:rsidR="00776686" w:rsidRPr="005D0CB3">
        <w:t>t tulnud uuesti kinnitada 2021. </w:t>
      </w:r>
      <w:r w:rsidRPr="005D0CB3">
        <w:t>aasta aprillis, kuid seda t</w:t>
      </w:r>
      <w:r w:rsidR="00776686" w:rsidRPr="005D0CB3">
        <w:t>ehti alles 2022. </w:t>
      </w:r>
      <w:r w:rsidRPr="005D0CB3">
        <w:t>aasta veebruaris, mis tähendab, et amet rikkus oma sise-eeskirju, milles on sätestatud, et finantsorgani edasivolitusi uuendatakse niipea, kui uus volitatud eelarvevahendite käsutaja on määratud;</w:t>
      </w:r>
    </w:p>
    <w:p w:rsidR="007D6A18" w:rsidRPr="005D0CB3" w:rsidRDefault="007D6A18" w:rsidP="007D6A18">
      <w:pPr>
        <w:pStyle w:val="NormalHanging12a"/>
        <w:rPr>
          <w:szCs w:val="24"/>
        </w:rPr>
      </w:pPr>
      <w:r w:rsidRPr="005D0CB3">
        <w:t>26.</w:t>
      </w:r>
      <w:r w:rsidRPr="005D0CB3">
        <w:tab/>
        <w:t>väljendab heameelt edusammude üle, mida amet tegi nende soovituste täitmisel, mis olid siseauditi talituse ja kontrollikoja varasemate auditite põhjal</w:t>
      </w:r>
      <w:r w:rsidR="00776686" w:rsidRPr="005D0CB3">
        <w:t xml:space="preserve"> veel ellu viimata; võtab 2022. </w:t>
      </w:r>
      <w:r w:rsidRPr="005D0CB3">
        <w:t>aasta konsolideeritud tegevusaruande põhjal teadmiseks, et mõned soovitused, mis on seotud siseauditi talituse 20</w:t>
      </w:r>
      <w:r w:rsidR="00776686" w:rsidRPr="005D0CB3">
        <w:t>20. </w:t>
      </w:r>
      <w:r w:rsidRPr="005D0CB3">
        <w:t>aasta auditiga („Personalijuhtimine ja eetika Euroopa Varjupaiga</w:t>
      </w:r>
      <w:r w:rsidR="00776686" w:rsidRPr="005D0CB3">
        <w:t>küsimuste Tugiametis“) ja 2021. aasta auditiga („IT </w:t>
      </w:r>
      <w:r w:rsidRPr="005D0CB3">
        <w:t>juhtimine ja IT-projektide juhtimine“), on alles elluviimisel või lükatud kaugemasse aega; võtab kontrollikoja aruande põhjal ühtlasi teadmiseks, et kolm järgmist kontrollikoja varasemate auditite tulemusel antud soovitust on veel täitmata: kaks soovitust seoses Lesbosel ja Roomas ruumide üürimise lepingutega, mille puhul amet eeldab, e</w:t>
      </w:r>
      <w:r w:rsidR="00776686" w:rsidRPr="005D0CB3">
        <w:t>t kontrollikoda loeb need 2024. </w:t>
      </w:r>
      <w:r w:rsidRPr="005D0CB3">
        <w:t>aastal lõpetatuks, sest viimased seotud (</w:t>
      </w:r>
      <w:proofErr w:type="spellStart"/>
      <w:r w:rsidRPr="005D0CB3">
        <w:t>eeskirjadevast</w:t>
      </w:r>
      <w:r w:rsidR="00776686" w:rsidRPr="005D0CB3">
        <w:t>a</w:t>
      </w:r>
      <w:r w:rsidRPr="005D0CB3">
        <w:t>sed</w:t>
      </w:r>
      <w:proofErr w:type="spellEnd"/>
      <w:r w:rsidRPr="005D0CB3">
        <w:t xml:space="preserve">) maksed tehti 2023. aastal, ning üks soovitus tõhusate </w:t>
      </w:r>
      <w:proofErr w:type="spellStart"/>
      <w:r w:rsidRPr="005D0CB3">
        <w:t>finantsjärelkontrollide</w:t>
      </w:r>
      <w:proofErr w:type="spellEnd"/>
      <w:r w:rsidRPr="005D0CB3">
        <w:t xml:space="preserve"> kehtestamise kohta ameti poolt; kutsub ametit sellega seoses üles kiirendama pooleliolevate parandusmeetmete rakendamist ja teavitama eelarve täitmisele heakskiidu andmise eest vastutavat institutsiooni selles valdkonnas tehtud edusammudest;</w:t>
      </w:r>
    </w:p>
    <w:p w:rsidR="007D6A18" w:rsidRPr="005D0CB3" w:rsidRDefault="005D0101" w:rsidP="007D6A18">
      <w:pPr>
        <w:pStyle w:val="NormalHanging12a"/>
        <w:rPr>
          <w:szCs w:val="24"/>
        </w:rPr>
      </w:pPr>
      <w:r w:rsidRPr="005D0CB3">
        <w:t>27.</w:t>
      </w:r>
      <w:r w:rsidRPr="005D0CB3">
        <w:tab/>
        <w:t>märgib, et amet viis 2022. </w:t>
      </w:r>
      <w:r w:rsidR="007D6A18" w:rsidRPr="005D0CB3">
        <w:t xml:space="preserve">aastal läbi oma </w:t>
      </w:r>
      <w:proofErr w:type="spellStart"/>
      <w:r w:rsidR="007D6A18" w:rsidRPr="005D0CB3">
        <w:t>sisekontrollisüsteemi</w:t>
      </w:r>
      <w:proofErr w:type="spellEnd"/>
      <w:r w:rsidR="007D6A18" w:rsidRPr="005D0CB3">
        <w:t xml:space="preserve"> enesehindamise, jõudes järeldusele, et kehtestatud üldised kontrollid toimivad plaani</w:t>
      </w:r>
      <w:r w:rsidRPr="005D0CB3">
        <w:t>kohaselt, kusjuures 10 </w:t>
      </w:r>
      <w:r w:rsidR="007D6A18" w:rsidRPr="005D0CB3">
        <w:t>põ</w:t>
      </w:r>
      <w:r w:rsidRPr="005D0CB3">
        <w:t>himõtet on täiesti tõhusad ja 7 </w:t>
      </w:r>
      <w:r w:rsidR="007D6A18" w:rsidRPr="005D0CB3">
        <w:t>põhimõtet tõhusad, samas kui kontrollikeskkonna, kontrollitegevuse ja järelevalve komponentide tasandil on vaja teha mõningaid parandusi</w:t>
      </w:r>
      <w:r w:rsidRPr="005D0CB3">
        <w:t>; rõhutab peale selle, et 2022. </w:t>
      </w:r>
      <w:r w:rsidR="007D6A18" w:rsidRPr="005D0CB3">
        <w:t xml:space="preserve">aastal rakendati </w:t>
      </w:r>
      <w:proofErr w:type="spellStart"/>
      <w:r w:rsidR="007D6A18" w:rsidRPr="005D0CB3">
        <w:t>finantsjärelkontrollide</w:t>
      </w:r>
      <w:proofErr w:type="spellEnd"/>
      <w:r w:rsidR="007D6A18" w:rsidRPr="005D0CB3">
        <w:t xml:space="preserve"> tegemisel riskipõhist strateegiat, mis p</w:t>
      </w:r>
      <w:r w:rsidRPr="005D0CB3">
        <w:t>õhines kaht eelarveaastat (2020 ja </w:t>
      </w:r>
      <w:r w:rsidR="007D6A18" w:rsidRPr="005D0CB3">
        <w:t>2021) hõlmavatel valimisse kuuluvatel tehingutel j</w:t>
      </w:r>
      <w:r w:rsidRPr="005D0CB3">
        <w:t>a hankemenetlustel; võtab 2022. </w:t>
      </w:r>
      <w:r w:rsidR="007D6A18" w:rsidRPr="005D0CB3">
        <w:t>aasta konsolideeritud tegevusaruande põhjal teadmiseks, et nende kontrollide tulemusel es</w:t>
      </w:r>
      <w:r w:rsidRPr="005D0CB3">
        <w:t>itati 44 </w:t>
      </w:r>
      <w:r w:rsidR="007D6A18" w:rsidRPr="005D0CB3">
        <w:t>t</w:t>
      </w:r>
      <w:r w:rsidRPr="005D0CB3">
        <w:t>ähelepanekut ja ettepanekud 122 </w:t>
      </w:r>
      <w:r w:rsidR="007D6A18" w:rsidRPr="005D0CB3">
        <w:t>parandusmeetm</w:t>
      </w:r>
      <w:r w:rsidRPr="005D0CB3">
        <w:t>ete võtmiseks; märgib, et 2022. </w:t>
      </w:r>
      <w:r w:rsidR="007D6A18" w:rsidRPr="005D0CB3">
        <w:t xml:space="preserve">aasta </w:t>
      </w:r>
      <w:proofErr w:type="spellStart"/>
      <w:r w:rsidR="007D6A18" w:rsidRPr="005D0CB3">
        <w:t>sisekontrollisüsteemi</w:t>
      </w:r>
      <w:proofErr w:type="spellEnd"/>
      <w:r w:rsidR="007D6A18" w:rsidRPr="005D0CB3">
        <w:t xml:space="preserve"> enesehindami</w:t>
      </w:r>
      <w:r w:rsidRPr="005D0CB3">
        <w:t>se raames kontrollis amet 2023. aasta esimeses kvartalis nende </w:t>
      </w:r>
      <w:r w:rsidR="007D6A18" w:rsidRPr="005D0CB3">
        <w:t xml:space="preserve">122 (eelnevalt kokku lepitud) parandusmeetme rakendamise seisu ja </w:t>
      </w:r>
      <w:r w:rsidRPr="005D0CB3">
        <w:t>tegi kindlaks, et ainult </w:t>
      </w:r>
      <w:r w:rsidR="007D6A18" w:rsidRPr="005D0CB3">
        <w:t>45 (40 %) puhul olid asjaomased ettevõtteomanikud võtnud parandusmeetmeid aegsasti ja korrektselt; kutsub ametit üles tegelema kõigi pooleliolevate parandusmeetmetega ja teavitama eelarve täitmisele heakskiidu andmise eest vastutavat institutsiooni selles valdkonnas tehtud edusammudest; märgib tunnustavalt, et amet o</w:t>
      </w:r>
      <w:r w:rsidRPr="005D0CB3">
        <w:t>n läbipaistvalt esitanud (2022. </w:t>
      </w:r>
      <w:r w:rsidR="007D6A18" w:rsidRPr="005D0CB3">
        <w:t>aasta ko</w:t>
      </w:r>
      <w:r w:rsidRPr="005D0CB3">
        <w:t>nsolideeritud tegevusaruande IX </w:t>
      </w:r>
      <w:r w:rsidR="007D6A18" w:rsidRPr="005D0CB3">
        <w:t xml:space="preserve">lisa) nende tuvastatud puuduste ja kokkulepitud parandusmeetmete üksikasjad ja seisu, mis tulenevad eri allikatest (erandite ja mittevastavusjuhtumite haldamine, sisekontrolli järelevalvekriteeriumid, </w:t>
      </w:r>
      <w:proofErr w:type="spellStart"/>
      <w:r w:rsidR="007D6A18" w:rsidRPr="005D0CB3">
        <w:t>sisekontrollisüsteemi</w:t>
      </w:r>
      <w:proofErr w:type="spellEnd"/>
      <w:r w:rsidR="007D6A18" w:rsidRPr="005D0CB3">
        <w:t xml:space="preserve"> enesehindamised, finantsalased eel- ja </w:t>
      </w:r>
      <w:proofErr w:type="spellStart"/>
      <w:r w:rsidR="007D6A18" w:rsidRPr="005D0CB3">
        <w:t>järelkontrollid</w:t>
      </w:r>
      <w:proofErr w:type="spellEnd"/>
      <w:r w:rsidR="007D6A18" w:rsidRPr="005D0CB3">
        <w:t xml:space="preserve">, auditiaruanded, riskijuhtimine </w:t>
      </w:r>
      <w:r w:rsidR="007D6A18" w:rsidRPr="005D0CB3">
        <w:lastRenderedPageBreak/>
        <w:t>jne);</w:t>
      </w:r>
    </w:p>
    <w:p w:rsidR="007D6A18" w:rsidRPr="005D0CB3" w:rsidRDefault="005D0101" w:rsidP="007D6A18">
      <w:pPr>
        <w:pStyle w:val="NormalHanging12a"/>
        <w:rPr>
          <w:szCs w:val="24"/>
        </w:rPr>
      </w:pPr>
      <w:r w:rsidRPr="005D0CB3">
        <w:t>28.</w:t>
      </w:r>
      <w:r w:rsidRPr="005D0CB3">
        <w:tab/>
        <w:t>tuletab meelde, et 2020. </w:t>
      </w:r>
      <w:r w:rsidR="007D6A18" w:rsidRPr="005D0CB3">
        <w:t>aasta juulis võeti vastu ameti pettusevastane strateegia aast</w:t>
      </w:r>
      <w:r w:rsidRPr="005D0CB3">
        <w:t>ateks 2020–2022, kehtestades 25 </w:t>
      </w:r>
      <w:r w:rsidR="007D6A18" w:rsidRPr="005D0CB3">
        <w:t>prioriteetset meedet, mida jälgitakse mitme kontrollitegevuse kau</w:t>
      </w:r>
      <w:r w:rsidRPr="005D0CB3">
        <w:t>du; märgib rahuloluga, et 2022. </w:t>
      </w:r>
      <w:r w:rsidR="007D6A18" w:rsidRPr="005D0CB3">
        <w:t xml:space="preserve">aastal loeti 93 % selle strateegia rakendamisega seotud kontrollitegevusest </w:t>
      </w:r>
      <w:proofErr w:type="spellStart"/>
      <w:r w:rsidR="007D6A18" w:rsidRPr="005D0CB3">
        <w:t>elluviiduks</w:t>
      </w:r>
      <w:proofErr w:type="spellEnd"/>
      <w:r w:rsidR="007D6A18" w:rsidRPr="005D0CB3">
        <w:t xml:space="preserve">; väljendab heameelt selle üle, et amet suurendab teadlikkust </w:t>
      </w:r>
      <w:r w:rsidR="00AA689C" w:rsidRPr="005D0CB3">
        <w:t xml:space="preserve">kelmuse ja </w:t>
      </w:r>
      <w:r w:rsidR="007D6A18" w:rsidRPr="005D0CB3">
        <w:t xml:space="preserve">pettusevastastest küsimustest, arvestades, et 56,7 % ameti koosseisulistest töötajatest on osalenud </w:t>
      </w:r>
      <w:r w:rsidR="00AA689C" w:rsidRPr="005D0CB3">
        <w:t xml:space="preserve">kelmuste ja </w:t>
      </w:r>
      <w:r w:rsidR="007D6A18" w:rsidRPr="005D0CB3">
        <w:t xml:space="preserve">pettuste ennetamise ja </w:t>
      </w:r>
      <w:r w:rsidR="00AA689C" w:rsidRPr="005D0CB3">
        <w:t xml:space="preserve">kelmuse- ja </w:t>
      </w:r>
      <w:r w:rsidR="007D6A18" w:rsidRPr="005D0CB3">
        <w:t>pettuseriski kindlakstegemise koolitustel; märgib rahuloluga, et amet o</w:t>
      </w:r>
      <w:r w:rsidRPr="005D0CB3">
        <w:t>n läbipaistvalt esitanud (2022. </w:t>
      </w:r>
      <w:r w:rsidR="007D6A18" w:rsidRPr="005D0CB3">
        <w:t>aasta kon</w:t>
      </w:r>
      <w:r w:rsidRPr="005D0CB3">
        <w:t>solideeritud tegevusaruande XII </w:t>
      </w:r>
      <w:r w:rsidR="007D6A18" w:rsidRPr="005D0CB3">
        <w:t xml:space="preserve">lisa) kontrollitegevuse üksikasjad ja seisu seoses ameti </w:t>
      </w:r>
      <w:proofErr w:type="spellStart"/>
      <w:r w:rsidR="007D6A18" w:rsidRPr="005D0CB3">
        <w:t>pettustevastase</w:t>
      </w:r>
      <w:proofErr w:type="spellEnd"/>
      <w:r w:rsidR="007D6A18" w:rsidRPr="005D0CB3">
        <w:t xml:space="preserve"> strateegiaga;</w:t>
      </w:r>
    </w:p>
    <w:p w:rsidR="007D6A18" w:rsidRPr="005D0CB3" w:rsidRDefault="007D6A18" w:rsidP="007D6A18">
      <w:pPr>
        <w:spacing w:after="240"/>
        <w:ind w:left="567" w:hanging="567"/>
        <w:rPr>
          <w:b/>
          <w:i/>
          <w:szCs w:val="24"/>
        </w:rPr>
      </w:pPr>
      <w:r w:rsidRPr="005D0CB3">
        <w:rPr>
          <w:b/>
          <w:i/>
        </w:rPr>
        <w:t>Muud märkused</w:t>
      </w:r>
    </w:p>
    <w:p w:rsidR="007D6A18" w:rsidRPr="005D0CB3" w:rsidRDefault="007D6A18" w:rsidP="007D6A18">
      <w:pPr>
        <w:spacing w:after="240"/>
        <w:ind w:left="567" w:hanging="567"/>
        <w:rPr>
          <w:szCs w:val="24"/>
        </w:rPr>
      </w:pPr>
      <w:r w:rsidRPr="005D0CB3">
        <w:t>29.</w:t>
      </w:r>
      <w:r w:rsidRPr="005D0CB3">
        <w:tab/>
        <w:t>märgib, et amet on rakendanud eri meetmeid, et suurendada oma avalikku nähtavust ja kohalolekut internetis, näiteks ajakohastas ta veebisaiti ja võttis kasutusele uue ettevõtte visuaalse identiteedi, ajakohastas oma sotsiaalmeediaportfelli, keskendudes audiovisuaalsetele formaatidele, ning hakkas oma ruumides vastu võtma õpilasrühmi;</w:t>
      </w:r>
    </w:p>
    <w:p w:rsidR="007D6A18" w:rsidRPr="005D0CB3" w:rsidRDefault="007D6A18" w:rsidP="007D6A18">
      <w:pPr>
        <w:pStyle w:val="NormalHanging12a"/>
      </w:pPr>
      <w:r w:rsidRPr="005D0CB3">
        <w:t>30.</w:t>
      </w:r>
      <w:r w:rsidRPr="005D0CB3">
        <w:tab/>
        <w:t xml:space="preserve">tuletab meelde ameti rolli rahvusvahelise kaitse taotluste menetlemise toetamisel ning varjupaigataotluste menetlemise eest vastutavate </w:t>
      </w:r>
      <w:proofErr w:type="spellStart"/>
      <w:r w:rsidRPr="005D0CB3">
        <w:t>juhtumimenetlejate</w:t>
      </w:r>
      <w:proofErr w:type="spellEnd"/>
      <w:r w:rsidRPr="005D0CB3">
        <w:t xml:space="preserve"> koolitamisel; märgib, et amet peab jätkama varjupaiga- ja rändetaotluste käsitlemisel liikmesriikide ja kolmandate riikide toetamist; kutsub üles keskenduma eelarves lisatöötajate, eelkõige vähekaitstud rühmadesse kuuluvate taotlejate huvides tegutsevate tõlkide ja psühholoogide värbamisele, et aidata liikmesriikidel tagada rahvusvahelise kaitse varjupaigataotluste aus ja õiglane läbivaatamine;</w:t>
      </w:r>
    </w:p>
    <w:p w:rsidR="005D0101" w:rsidRPr="005D0CB3" w:rsidRDefault="005D0101" w:rsidP="005D0101">
      <w:pPr>
        <w:keepLines/>
        <w:spacing w:before="100" w:beforeAutospacing="1" w:after="100" w:afterAutospacing="1"/>
        <w:jc w:val="center"/>
      </w:pPr>
      <w:r w:rsidRPr="005D0CB3">
        <w:rPr>
          <w:noProof/>
        </w:rPr>
        <w:t>o</w:t>
      </w:r>
      <w:r w:rsidRPr="005D0CB3">
        <w:rPr>
          <w:noProof/>
        </w:rPr>
        <w:br/>
        <w:t>o   o</w:t>
      </w:r>
    </w:p>
    <w:p w:rsidR="00E365E1" w:rsidRPr="005D0CB3" w:rsidRDefault="007D6A18" w:rsidP="005D0101">
      <w:pPr>
        <w:pStyle w:val="NormalHanging12a"/>
      </w:pPr>
      <w:r w:rsidRPr="005D0CB3">
        <w:t>31.</w:t>
      </w:r>
      <w:r w:rsidRPr="005D0CB3">
        <w:tab/>
        <w:t xml:space="preserve">viitab eelarve täitmisele heakskiidu andmise otsusele lisatud muude horisontaalsete tähelepanekute osas oma </w:t>
      </w:r>
      <w:r w:rsidR="005D0101" w:rsidRPr="005D0CB3">
        <w:t>11. aprilli</w:t>
      </w:r>
      <w:r w:rsidRPr="005D0CB3">
        <w:t xml:space="preserve"> 2024. aasta resolutsioonile</w:t>
      </w:r>
      <w:r w:rsidRPr="005D0CB3">
        <w:rPr>
          <w:rStyle w:val="FootnoteReference"/>
        </w:rPr>
        <w:footnoteReference w:id="14"/>
      </w:r>
      <w:r w:rsidRPr="005D0CB3">
        <w:t xml:space="preserve"> ametite tulemuste, finantsjuhtimise ja kontrolli kohta.</w:t>
      </w:r>
      <w:bookmarkStart w:id="8" w:name="TextBodyEnd"/>
      <w:bookmarkStart w:id="9" w:name="_GoBack"/>
      <w:bookmarkEnd w:id="8"/>
      <w:bookmarkEnd w:id="9"/>
    </w:p>
    <w:sectPr w:rsidR="00E365E1" w:rsidRPr="005D0CB3" w:rsidSect="00F43BA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67B" w:rsidRPr="00F43BA5" w:rsidRDefault="0082167B">
      <w:r w:rsidRPr="00F43BA5">
        <w:separator/>
      </w:r>
    </w:p>
  </w:endnote>
  <w:endnote w:type="continuationSeparator" w:id="0">
    <w:p w:rsidR="0082167B" w:rsidRPr="00F43BA5" w:rsidRDefault="0082167B">
      <w:r w:rsidRPr="00F43B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18" w:rsidRPr="00F43BA5" w:rsidRDefault="007D6A18" w:rsidP="00DB1D45">
    <w:pPr>
      <w:pStyle w:val="EPFooter"/>
    </w:pPr>
    <w:r w:rsidRPr="00F43BA5">
      <w:t>PE</w:t>
    </w:r>
    <w:r w:rsidRPr="00F43BA5">
      <w:rPr>
        <w:rStyle w:val="HideTWBExt"/>
      </w:rPr>
      <w:t>&lt;NoPE&gt;</w:t>
    </w:r>
    <w:r w:rsidRPr="00F43BA5">
      <w:t>753.532</w:t>
    </w:r>
    <w:r w:rsidRPr="00F43BA5">
      <w:rPr>
        <w:rStyle w:val="HideTWBExt"/>
      </w:rPr>
      <w:t>&lt;/NoPE&gt;&lt;Version&gt;</w:t>
    </w:r>
    <w:r w:rsidRPr="00F43BA5">
      <w:t>v03-00</w:t>
    </w:r>
    <w:r w:rsidRPr="00F43BA5">
      <w:rPr>
        <w:rStyle w:val="HideTWBExt"/>
      </w:rPr>
      <w:t>&lt;/Version&gt;</w:t>
    </w:r>
    <w:r w:rsidRPr="00F43BA5">
      <w:tab/>
    </w:r>
    <w:r w:rsidRPr="00F43BA5">
      <w:fldChar w:fldCharType="begin"/>
    </w:r>
    <w:r w:rsidRPr="00F43BA5">
      <w:instrText xml:space="preserve"> PAGE  \* MERGEFORMAT </w:instrText>
    </w:r>
    <w:r w:rsidRPr="00F43BA5">
      <w:fldChar w:fldCharType="separate"/>
    </w:r>
    <w:r w:rsidRPr="00F43BA5">
      <w:rPr>
        <w:noProof/>
      </w:rPr>
      <w:t>4</w:t>
    </w:r>
    <w:r w:rsidRPr="00F43BA5">
      <w:fldChar w:fldCharType="end"/>
    </w:r>
    <w:r w:rsidRPr="00F43BA5">
      <w:t>/</w:t>
    </w:r>
    <w:r w:rsidR="0003626A">
      <w:fldChar w:fldCharType="begin"/>
    </w:r>
    <w:r w:rsidR="0003626A">
      <w:instrText xml:space="preserve"> NUMPAGES  \* MERGEFORMAT </w:instrText>
    </w:r>
    <w:r w:rsidR="0003626A">
      <w:fldChar w:fldCharType="separate"/>
    </w:r>
    <w:r w:rsidRPr="00F43BA5">
      <w:rPr>
        <w:noProof/>
      </w:rPr>
      <w:t>4</w:t>
    </w:r>
    <w:r w:rsidR="0003626A">
      <w:rPr>
        <w:noProof/>
      </w:rPr>
      <w:fldChar w:fldCharType="end"/>
    </w:r>
    <w:r w:rsidRPr="00F43BA5">
      <w:tab/>
    </w:r>
    <w:r w:rsidRPr="00F43BA5">
      <w:rPr>
        <w:rStyle w:val="HideTWBExt"/>
      </w:rPr>
      <w:t>&lt;PathFdR&gt;</w:t>
    </w:r>
    <w:r w:rsidRPr="00F43BA5">
      <w:t>RR\1299515ET.docx</w:t>
    </w:r>
    <w:r w:rsidRPr="00F43BA5">
      <w:rPr>
        <w:rStyle w:val="HideTWBExt"/>
      </w:rPr>
      <w:t>&lt;/PathFdR&gt;</w:t>
    </w:r>
  </w:p>
  <w:p w:rsidR="007D6A18" w:rsidRPr="00F43BA5" w:rsidRDefault="007D6A18" w:rsidP="00DB1D45">
    <w:pPr>
      <w:pStyle w:val="EPFooter2"/>
    </w:pPr>
    <w:r w:rsidRPr="00F43BA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18" w:rsidRPr="00F43BA5" w:rsidRDefault="007D6A18" w:rsidP="00DB1D4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18" w:rsidRPr="00F43BA5" w:rsidRDefault="007D6A18" w:rsidP="00DB1D45">
    <w:pPr>
      <w:pStyle w:val="EPFooter"/>
    </w:pPr>
    <w:r w:rsidRPr="00F43BA5">
      <w:rPr>
        <w:rStyle w:val="HideTWBExt"/>
      </w:rPr>
      <w:t>&lt;PathFdR&gt;</w:t>
    </w:r>
    <w:r w:rsidRPr="00F43BA5">
      <w:t>RR\1299515ET.docx</w:t>
    </w:r>
    <w:r w:rsidRPr="00F43BA5">
      <w:rPr>
        <w:rStyle w:val="HideTWBExt"/>
      </w:rPr>
      <w:t>&lt;/PathFdR&gt;</w:t>
    </w:r>
    <w:r w:rsidRPr="00F43BA5">
      <w:tab/>
    </w:r>
    <w:r w:rsidRPr="00F43BA5">
      <w:tab/>
      <w:t>PE</w:t>
    </w:r>
    <w:r w:rsidRPr="00F43BA5">
      <w:rPr>
        <w:rStyle w:val="HideTWBExt"/>
      </w:rPr>
      <w:t>&lt;NoPE&gt;</w:t>
    </w:r>
    <w:r w:rsidRPr="00F43BA5">
      <w:t>753.532</w:t>
    </w:r>
    <w:r w:rsidRPr="00F43BA5">
      <w:rPr>
        <w:rStyle w:val="HideTWBExt"/>
      </w:rPr>
      <w:t>&lt;/NoPE&gt;&lt;Version&gt;</w:t>
    </w:r>
    <w:r w:rsidRPr="00F43BA5">
      <w:t>v03-00</w:t>
    </w:r>
    <w:r w:rsidRPr="00F43BA5">
      <w:rPr>
        <w:rStyle w:val="HideTWBExt"/>
      </w:rPr>
      <w:t>&lt;/Version&gt;</w:t>
    </w:r>
  </w:p>
  <w:p w:rsidR="007D6A18" w:rsidRPr="00F43BA5" w:rsidRDefault="007D6A18" w:rsidP="00DB1D45">
    <w:pPr>
      <w:pStyle w:val="EPFooter2"/>
    </w:pPr>
    <w:r w:rsidRPr="00F43BA5">
      <w:t>ET</w:t>
    </w:r>
    <w:r w:rsidRPr="00F43BA5">
      <w:tab/>
    </w:r>
    <w:r w:rsidRPr="00F43BA5">
      <w:rPr>
        <w:b w:val="0"/>
        <w:i/>
        <w:color w:val="C0C0C0"/>
        <w:sz w:val="22"/>
      </w:rPr>
      <w:t>Ühinenud mitmekesisuses</w:t>
    </w:r>
    <w:r w:rsidRPr="00F43BA5">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A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67B" w:rsidRPr="00F43BA5" w:rsidRDefault="0082167B">
      <w:r w:rsidRPr="00F43BA5">
        <w:separator/>
      </w:r>
    </w:p>
  </w:footnote>
  <w:footnote w:type="continuationSeparator" w:id="0">
    <w:p w:rsidR="0082167B" w:rsidRPr="00F43BA5" w:rsidRDefault="0082167B">
      <w:r w:rsidRPr="00F43BA5">
        <w:continuationSeparator/>
      </w:r>
    </w:p>
  </w:footnote>
  <w:footnote w:id="1">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0E6E3B">
        <w:rPr>
          <w:sz w:val="24"/>
          <w:lang w:val="et-EE"/>
        </w:rPr>
        <w:t>ELT </w:t>
      </w:r>
      <w:r w:rsidRPr="00F43BA5">
        <w:rPr>
          <w:sz w:val="24"/>
          <w:lang w:val="et-EE"/>
        </w:rPr>
        <w:t>C, C/2023/594, 27.10.2023.</w:t>
      </w:r>
    </w:p>
  </w:footnote>
  <w:footnote w:id="2">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Pr="00F43BA5">
        <w:rPr>
          <w:sz w:val="24"/>
          <w:lang w:val="et-EE"/>
        </w:rPr>
        <w:t>ELT C, C/2023/112, 12.10.2023.</w:t>
      </w:r>
    </w:p>
  </w:footnote>
  <w:footnote w:id="3">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Pr="00F43BA5">
        <w:rPr>
          <w:sz w:val="24"/>
          <w:lang w:val="et-EE"/>
        </w:rPr>
        <w:t>ELT L 193, 30.7.2018, lk 1.</w:t>
      </w:r>
    </w:p>
  </w:footnote>
  <w:footnote w:id="4">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0E6E3B">
        <w:rPr>
          <w:sz w:val="24"/>
          <w:lang w:val="et-EE"/>
        </w:rPr>
        <w:t>ELT L 132, 29.5.2010, lk </w:t>
      </w:r>
      <w:r w:rsidRPr="00F43BA5">
        <w:rPr>
          <w:sz w:val="24"/>
          <w:lang w:val="et-EE"/>
        </w:rPr>
        <w:t>11.</w:t>
      </w:r>
    </w:p>
  </w:footnote>
  <w:footnote w:id="5">
    <w:p w:rsidR="007D6A18" w:rsidRPr="00F43BA5" w:rsidRDefault="007D6A18" w:rsidP="00F43BA5">
      <w:pPr>
        <w:pStyle w:val="FootnoteText"/>
        <w:ind w:left="567" w:hanging="567"/>
        <w:rPr>
          <w:sz w:val="24"/>
          <w:szCs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0E6E3B">
        <w:rPr>
          <w:sz w:val="24"/>
          <w:lang w:val="et-EE"/>
        </w:rPr>
        <w:t>ELT L 468, 30.12.2021, lk </w:t>
      </w:r>
      <w:r w:rsidRPr="00F43BA5">
        <w:rPr>
          <w:sz w:val="24"/>
          <w:lang w:val="et-EE"/>
        </w:rPr>
        <w:t>1.</w:t>
      </w:r>
    </w:p>
  </w:footnote>
  <w:footnote w:id="6">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0E6E3B">
        <w:rPr>
          <w:sz w:val="24"/>
          <w:lang w:val="et-EE"/>
        </w:rPr>
        <w:t>ELT L </w:t>
      </w:r>
      <w:r w:rsidRPr="00F43BA5">
        <w:rPr>
          <w:sz w:val="24"/>
          <w:lang w:val="et-EE"/>
        </w:rPr>
        <w:t>122</w:t>
      </w:r>
      <w:r w:rsidR="000E6E3B">
        <w:rPr>
          <w:sz w:val="24"/>
          <w:lang w:val="et-EE"/>
        </w:rPr>
        <w:t>, 10.5.2019, lk </w:t>
      </w:r>
      <w:r w:rsidRPr="00F43BA5">
        <w:rPr>
          <w:sz w:val="24"/>
          <w:lang w:val="et-EE"/>
        </w:rPr>
        <w:t>1.</w:t>
      </w:r>
    </w:p>
  </w:footnote>
  <w:footnote w:id="7">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A13A7A">
        <w:rPr>
          <w:sz w:val="24"/>
          <w:lang w:val="et-EE"/>
        </w:rPr>
        <w:t>ELT </w:t>
      </w:r>
      <w:r w:rsidRPr="00F43BA5">
        <w:rPr>
          <w:sz w:val="24"/>
          <w:lang w:val="et-EE"/>
        </w:rPr>
        <w:t>C, C/2023/594, 27.10.2023.</w:t>
      </w:r>
    </w:p>
  </w:footnote>
  <w:footnote w:id="8">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A13A7A">
        <w:rPr>
          <w:sz w:val="24"/>
          <w:lang w:val="et-EE"/>
        </w:rPr>
        <w:t>ELT </w:t>
      </w:r>
      <w:r w:rsidRPr="00F43BA5">
        <w:rPr>
          <w:sz w:val="24"/>
          <w:lang w:val="et-EE"/>
        </w:rPr>
        <w:t>C, C/2023/112, 12.10.2023.</w:t>
      </w:r>
    </w:p>
  </w:footnote>
  <w:footnote w:id="9">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A13A7A">
        <w:rPr>
          <w:sz w:val="24"/>
          <w:lang w:val="et-EE"/>
        </w:rPr>
        <w:t>ELT L 193, 30.7.2018, lk </w:t>
      </w:r>
      <w:r w:rsidRPr="00F43BA5">
        <w:rPr>
          <w:sz w:val="24"/>
          <w:lang w:val="et-EE"/>
        </w:rPr>
        <w:t>1.</w:t>
      </w:r>
    </w:p>
  </w:footnote>
  <w:footnote w:id="10">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A13A7A">
        <w:rPr>
          <w:sz w:val="24"/>
          <w:lang w:val="et-EE"/>
        </w:rPr>
        <w:t>ELT L 132, 29.5.2010, lk </w:t>
      </w:r>
      <w:r w:rsidRPr="00F43BA5">
        <w:rPr>
          <w:sz w:val="24"/>
          <w:lang w:val="et-EE"/>
        </w:rPr>
        <w:t>11.</w:t>
      </w:r>
    </w:p>
  </w:footnote>
  <w:footnote w:id="11">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A13A7A">
        <w:rPr>
          <w:sz w:val="24"/>
          <w:lang w:val="et-EE"/>
        </w:rPr>
        <w:t>ELT L 468, 30.12.2021, lk </w:t>
      </w:r>
      <w:r w:rsidRPr="00F43BA5">
        <w:rPr>
          <w:sz w:val="24"/>
          <w:lang w:val="et-EE"/>
        </w:rPr>
        <w:t>1.</w:t>
      </w:r>
    </w:p>
  </w:footnote>
  <w:footnote w:id="12">
    <w:p w:rsidR="007D6A18" w:rsidRPr="00F43BA5" w:rsidRDefault="007D6A18" w:rsidP="00F43BA5">
      <w:pPr>
        <w:pStyle w:val="FootnoteText"/>
        <w:ind w:left="567" w:hanging="567"/>
        <w:rPr>
          <w:sz w:val="24"/>
          <w:szCs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00A13A7A">
        <w:rPr>
          <w:sz w:val="24"/>
          <w:lang w:val="et-EE"/>
        </w:rPr>
        <w:t>ELT L 122, 10.5.2019, lk </w:t>
      </w:r>
      <w:r w:rsidRPr="00F43BA5">
        <w:rPr>
          <w:sz w:val="24"/>
          <w:lang w:val="et-EE"/>
        </w:rPr>
        <w:t>1.</w:t>
      </w:r>
    </w:p>
  </w:footnote>
  <w:footnote w:id="13">
    <w:p w:rsidR="007D6A18" w:rsidRPr="00F43BA5" w:rsidRDefault="007D6A18" w:rsidP="00F43BA5">
      <w:pPr>
        <w:pStyle w:val="FootnoteText"/>
        <w:ind w:left="567" w:hanging="567"/>
        <w:rPr>
          <w:sz w:val="24"/>
          <w:lang w:val="et-EE"/>
        </w:rPr>
      </w:pPr>
      <w:r w:rsidRPr="00F43BA5">
        <w:rPr>
          <w:sz w:val="24"/>
          <w:vertAlign w:val="superscript"/>
          <w:lang w:val="et-EE"/>
        </w:rPr>
        <w:footnoteRef/>
      </w:r>
      <w:r w:rsidR="00F43BA5" w:rsidRPr="00F43BA5">
        <w:rPr>
          <w:sz w:val="24"/>
          <w:lang w:val="et-EE"/>
        </w:rPr>
        <w:t xml:space="preserve"> </w:t>
      </w:r>
      <w:r w:rsidR="00F43BA5" w:rsidRPr="00F43BA5">
        <w:rPr>
          <w:sz w:val="24"/>
          <w:lang w:val="et-EE"/>
        </w:rPr>
        <w:tab/>
      </w:r>
      <w:r w:rsidR="00A13A7A">
        <w:rPr>
          <w:sz w:val="24"/>
          <w:lang w:val="et-EE"/>
        </w:rPr>
        <w:t>ELT C </w:t>
      </w:r>
      <w:r w:rsidRPr="00F43BA5">
        <w:rPr>
          <w:sz w:val="24"/>
          <w:lang w:val="et-EE"/>
        </w:rPr>
        <w:t>38, 31.</w:t>
      </w:r>
      <w:r w:rsidR="00A13A7A">
        <w:rPr>
          <w:sz w:val="24"/>
          <w:lang w:val="et-EE"/>
        </w:rPr>
        <w:t>1.2023, lk </w:t>
      </w:r>
      <w:r w:rsidRPr="00F43BA5">
        <w:rPr>
          <w:sz w:val="24"/>
          <w:lang w:val="et-EE"/>
        </w:rPr>
        <w:t>180.</w:t>
      </w:r>
    </w:p>
  </w:footnote>
  <w:footnote w:id="14">
    <w:p w:rsidR="007D6A18" w:rsidRPr="00F43BA5" w:rsidRDefault="007D6A18" w:rsidP="00F43BA5">
      <w:pPr>
        <w:pStyle w:val="FootnoteText"/>
        <w:ind w:left="567" w:hanging="567"/>
        <w:rPr>
          <w:sz w:val="24"/>
          <w:lang w:val="et-EE"/>
        </w:rPr>
      </w:pPr>
      <w:r w:rsidRPr="00F43BA5">
        <w:rPr>
          <w:rStyle w:val="FootnoteReference"/>
          <w:sz w:val="24"/>
          <w:lang w:val="et-EE"/>
        </w:rPr>
        <w:footnoteRef/>
      </w:r>
      <w:r w:rsidR="00F43BA5" w:rsidRPr="00F43BA5">
        <w:rPr>
          <w:sz w:val="24"/>
          <w:lang w:val="et-EE"/>
        </w:rPr>
        <w:t xml:space="preserve"> </w:t>
      </w:r>
      <w:r w:rsidR="00F43BA5" w:rsidRPr="00F43BA5">
        <w:rPr>
          <w:sz w:val="24"/>
          <w:lang w:val="et-EE"/>
        </w:rPr>
        <w:tab/>
      </w:r>
      <w:r w:rsidRPr="00F43BA5">
        <w:rPr>
          <w:sz w:val="24"/>
          <w:lang w:val="et-EE"/>
        </w:rPr>
        <w:t>Vastuvõetud tekstid, P9_TA(2024)0</w:t>
      </w:r>
      <w:r w:rsidR="0003626A">
        <w:rPr>
          <w:sz w:val="24"/>
          <w:lang w:val="et-EE"/>
        </w:rPr>
        <w:t>280</w:t>
      </w:r>
      <w:r w:rsidRPr="00F43BA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18" w:rsidRPr="00F43BA5" w:rsidRDefault="007D6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18" w:rsidRPr="00F43BA5" w:rsidRDefault="007D6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A18" w:rsidRPr="00F43BA5" w:rsidRDefault="007D6A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A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A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3B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ET"/>
    <w:docVar w:name="dvnumam" w:val="0"/>
    <w:docVar w:name="dvpe" w:val="753.532"/>
    <w:docVar w:name="dvrapporteur" w:val="Raportöör: "/>
    <w:docVar w:name="dvtitre" w:val="Euroopa Parlamendi .... 2024. aasta otsus Euroopa Liidu Varjupaigaameti (enne 19.1.2022: Euroopa Varjupaigaküsimuste Tugiamet) 2022. aasta eelarve täitmisele heakskiidu andmise kohta(2023/2164(DEC))"/>
  </w:docVars>
  <w:rsids>
    <w:rsidRoot w:val="0082167B"/>
    <w:rsid w:val="00002272"/>
    <w:rsid w:val="0003626A"/>
    <w:rsid w:val="00064002"/>
    <w:rsid w:val="000677B9"/>
    <w:rsid w:val="000831BA"/>
    <w:rsid w:val="000A42CC"/>
    <w:rsid w:val="000E6E3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101"/>
    <w:rsid w:val="005D0CB3"/>
    <w:rsid w:val="006037C0"/>
    <w:rsid w:val="006631B6"/>
    <w:rsid w:val="00680577"/>
    <w:rsid w:val="006F74FA"/>
    <w:rsid w:val="00731ADD"/>
    <w:rsid w:val="00734777"/>
    <w:rsid w:val="00747932"/>
    <w:rsid w:val="00751A4A"/>
    <w:rsid w:val="00756632"/>
    <w:rsid w:val="00762C74"/>
    <w:rsid w:val="00776686"/>
    <w:rsid w:val="00786EC0"/>
    <w:rsid w:val="007D1690"/>
    <w:rsid w:val="007D6A18"/>
    <w:rsid w:val="007E22AD"/>
    <w:rsid w:val="00817416"/>
    <w:rsid w:val="0082167B"/>
    <w:rsid w:val="00842779"/>
    <w:rsid w:val="00865F67"/>
    <w:rsid w:val="00881A7B"/>
    <w:rsid w:val="008840E5"/>
    <w:rsid w:val="00887B3E"/>
    <w:rsid w:val="008C2AC6"/>
    <w:rsid w:val="00930C23"/>
    <w:rsid w:val="0093193B"/>
    <w:rsid w:val="009509D8"/>
    <w:rsid w:val="00950B64"/>
    <w:rsid w:val="00981893"/>
    <w:rsid w:val="00A13A7A"/>
    <w:rsid w:val="00A1687D"/>
    <w:rsid w:val="00A43E52"/>
    <w:rsid w:val="00A4678D"/>
    <w:rsid w:val="00A778C7"/>
    <w:rsid w:val="00AA689C"/>
    <w:rsid w:val="00AB441E"/>
    <w:rsid w:val="00AB6293"/>
    <w:rsid w:val="00AE0928"/>
    <w:rsid w:val="00AF3B82"/>
    <w:rsid w:val="00B12E95"/>
    <w:rsid w:val="00B22876"/>
    <w:rsid w:val="00B558F0"/>
    <w:rsid w:val="00B70E4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BA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E19A5"/>
  <w15:chartTrackingRefBased/>
  <w15:docId w15:val="{8C01B312-0EDB-4CA8-B776-36E86FBC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D6A1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D6A18"/>
    <w:pPr>
      <w:spacing w:before="480" w:after="240"/>
    </w:pPr>
  </w:style>
  <w:style w:type="paragraph" w:customStyle="1" w:styleId="PageHeading">
    <w:name w:val="PageHeading"/>
    <w:basedOn w:val="Normal"/>
    <w:rsid w:val="007D6A18"/>
    <w:pPr>
      <w:keepNext/>
      <w:spacing w:after="480"/>
      <w:jc w:val="center"/>
    </w:pPr>
    <w:rPr>
      <w:rFonts w:ascii="Arial" w:hAnsi="Arial" w:cs="Arial"/>
      <w:b/>
    </w:rPr>
  </w:style>
  <w:style w:type="paragraph" w:customStyle="1" w:styleId="NormalBold">
    <w:name w:val="NormalBold"/>
    <w:basedOn w:val="Normal"/>
    <w:rsid w:val="007D6A18"/>
    <w:rPr>
      <w:b/>
    </w:rPr>
  </w:style>
  <w:style w:type="paragraph" w:customStyle="1" w:styleId="NormalHanging12a">
    <w:name w:val="NormalHanging12a"/>
    <w:basedOn w:val="Normal"/>
    <w:link w:val="NormalHanging12aChar"/>
    <w:rsid w:val="007D6A18"/>
    <w:pPr>
      <w:spacing w:after="240"/>
      <w:ind w:left="567" w:hanging="567"/>
    </w:pPr>
  </w:style>
  <w:style w:type="paragraph" w:customStyle="1" w:styleId="NormalCenter12a">
    <w:name w:val="NormalCenter12a"/>
    <w:basedOn w:val="Normal"/>
    <w:rsid w:val="007D6A18"/>
    <w:pPr>
      <w:spacing w:after="240"/>
      <w:jc w:val="center"/>
    </w:pPr>
  </w:style>
  <w:style w:type="paragraph" w:styleId="Header">
    <w:name w:val="header"/>
    <w:basedOn w:val="Normal"/>
    <w:link w:val="HeaderChar"/>
    <w:rsid w:val="007D6A18"/>
    <w:pPr>
      <w:tabs>
        <w:tab w:val="center" w:pos="4513"/>
        <w:tab w:val="right" w:pos="9026"/>
      </w:tabs>
    </w:pPr>
  </w:style>
  <w:style w:type="character" w:customStyle="1" w:styleId="HeaderChar">
    <w:name w:val="Header Char"/>
    <w:basedOn w:val="DefaultParagraphFont"/>
    <w:link w:val="Header"/>
    <w:rsid w:val="007D6A18"/>
    <w:rPr>
      <w:sz w:val="24"/>
      <w:lang w:val="et-EE"/>
    </w:rPr>
  </w:style>
  <w:style w:type="paragraph" w:customStyle="1" w:styleId="EPFooter">
    <w:name w:val="EPFooter"/>
    <w:basedOn w:val="Normal"/>
    <w:rsid w:val="007D6A1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D6A18"/>
    <w:rPr>
      <w:sz w:val="24"/>
      <w:lang w:val="et-EE"/>
    </w:rPr>
  </w:style>
  <w:style w:type="character" w:customStyle="1" w:styleId="Normal12HangingChar">
    <w:name w:val="Normal12Hanging Char"/>
    <w:link w:val="Normal12Hanging"/>
    <w:locked/>
    <w:rsid w:val="007D6A18"/>
    <w:rPr>
      <w:sz w:val="24"/>
    </w:rPr>
  </w:style>
  <w:style w:type="paragraph" w:customStyle="1" w:styleId="Normal12Hanging">
    <w:name w:val="Normal12Hanging"/>
    <w:basedOn w:val="Normal"/>
    <w:link w:val="Normal12HangingChar"/>
    <w:rsid w:val="007D6A18"/>
    <w:pPr>
      <w:spacing w:after="240"/>
      <w:ind w:left="567" w:hanging="567"/>
    </w:pPr>
    <w:rPr>
      <w:lang w:val="en-GB"/>
    </w:rPr>
  </w:style>
  <w:style w:type="paragraph" w:styleId="BalloonText">
    <w:name w:val="Balloon Text"/>
    <w:basedOn w:val="Normal"/>
    <w:link w:val="BalloonTextChar"/>
    <w:rsid w:val="00A13A7A"/>
    <w:rPr>
      <w:rFonts w:ascii="Segoe UI" w:hAnsi="Segoe UI" w:cs="Segoe UI"/>
      <w:sz w:val="18"/>
      <w:szCs w:val="18"/>
    </w:rPr>
  </w:style>
  <w:style w:type="character" w:customStyle="1" w:styleId="BalloonTextChar">
    <w:name w:val="Balloon Text Char"/>
    <w:basedOn w:val="DefaultParagraphFont"/>
    <w:link w:val="BalloonText"/>
    <w:rsid w:val="00A13A7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282E0-0E43-49F4-AF92-F98830FD3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4309</Words>
  <Characters>31497</Characters>
  <Application>Microsoft Office Word</Application>
  <DocSecurity>0</DocSecurity>
  <Lines>262</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2024-05-15T08:57:00Z</dcterms:created>
  <dcterms:modified xsi:type="dcterms:W3CDTF">2024-05-15T08:57:00Z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P9_TA(2024)0268_</vt:lpwstr>
  </property>
  <property fmtid="{D5CDD505-2E9C-101B-9397-08002B2CF9AE}" pid="4" name="&lt;Type&gt;">
    <vt:lpwstr>RR</vt:lpwstr>
  </property>
</Properties>
</file>