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56CB" w:rsidTr="0010095E">
        <w:trPr>
          <w:trHeight w:hRule="exact" w:val="1418"/>
        </w:trPr>
        <w:tc>
          <w:tcPr>
            <w:tcW w:w="6804" w:type="dxa"/>
            <w:shd w:val="clear" w:color="auto" w:fill="auto"/>
            <w:vAlign w:val="center"/>
          </w:tcPr>
          <w:p w:rsidR="00751A4A" w:rsidRPr="005856CB" w:rsidRDefault="00A35AD7" w:rsidP="0010095E">
            <w:pPr>
              <w:pStyle w:val="EPName"/>
            </w:pPr>
            <w:r w:rsidRPr="005856CB">
              <w:t>Europski parlament</w:t>
            </w:r>
          </w:p>
          <w:p w:rsidR="00751A4A" w:rsidRPr="005856CB" w:rsidRDefault="00817416" w:rsidP="00756632">
            <w:pPr>
              <w:pStyle w:val="EPTerm"/>
              <w:rPr>
                <w:rStyle w:val="HideTWBExt"/>
                <w:noProof w:val="0"/>
                <w:vanish w:val="0"/>
                <w:color w:val="auto"/>
              </w:rPr>
            </w:pPr>
            <w:r w:rsidRPr="005856CB">
              <w:t>2019-2024</w:t>
            </w:r>
          </w:p>
        </w:tc>
        <w:tc>
          <w:tcPr>
            <w:tcW w:w="2268" w:type="dxa"/>
            <w:shd w:val="clear" w:color="auto" w:fill="auto"/>
          </w:tcPr>
          <w:p w:rsidR="00751A4A" w:rsidRPr="005856CB" w:rsidRDefault="00187494" w:rsidP="0010095E">
            <w:pPr>
              <w:pStyle w:val="EPLogo"/>
            </w:pPr>
            <w:r w:rsidRPr="005856CB">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56CB" w:rsidRDefault="00D058B8" w:rsidP="004C5D52">
      <w:pPr>
        <w:pStyle w:val="LineTop"/>
      </w:pPr>
    </w:p>
    <w:p w:rsidR="00680577" w:rsidRPr="005856CB" w:rsidRDefault="00A35AD7" w:rsidP="00680577">
      <w:pPr>
        <w:pStyle w:val="EPBodyTA1"/>
      </w:pPr>
      <w:r w:rsidRPr="005856CB">
        <w:t>USVOJENI TEKSTOVI</w:t>
      </w:r>
    </w:p>
    <w:p w:rsidR="00D058B8" w:rsidRPr="005856CB" w:rsidRDefault="00D058B8" w:rsidP="00D058B8">
      <w:pPr>
        <w:pStyle w:val="LineBottom"/>
      </w:pPr>
    </w:p>
    <w:p w:rsidR="00A35AD7" w:rsidRPr="005856CB" w:rsidRDefault="00A35AD7" w:rsidP="00A35AD7">
      <w:pPr>
        <w:pStyle w:val="ATHeading1"/>
      </w:pPr>
      <w:bookmarkStart w:id="0" w:name="TANumber"/>
      <w:r w:rsidRPr="005856CB">
        <w:t>P9_TA(2024)0</w:t>
      </w:r>
      <w:r w:rsidR="00A84B17">
        <w:t>268</w:t>
      </w:r>
      <w:bookmarkEnd w:id="0"/>
    </w:p>
    <w:p w:rsidR="00A35AD7" w:rsidRPr="005856CB" w:rsidRDefault="00A35AD7" w:rsidP="00A35AD7">
      <w:pPr>
        <w:pStyle w:val="ATHeading2"/>
      </w:pPr>
      <w:bookmarkStart w:id="1" w:name="title"/>
      <w:r w:rsidRPr="005856CB">
        <w:t>Razrješnica za 2022.: Agencija Europske unije za azil (prije 19. siječnja 2022. Europski potporni ured za azil)</w:t>
      </w:r>
      <w:bookmarkEnd w:id="1"/>
    </w:p>
    <w:p w:rsidR="00A35AD7" w:rsidRPr="005856CB" w:rsidRDefault="00A35AD7" w:rsidP="00A35AD7">
      <w:pPr>
        <w:rPr>
          <w:i/>
          <w:vanish/>
        </w:rPr>
      </w:pPr>
      <w:r w:rsidRPr="005856CB">
        <w:rPr>
          <w:i/>
        </w:rPr>
        <w:fldChar w:fldCharType="begin"/>
      </w:r>
      <w:r w:rsidRPr="005856CB">
        <w:rPr>
          <w:i/>
        </w:rPr>
        <w:instrText xml:space="preserve"> TC"(</w:instrText>
      </w:r>
      <w:bookmarkStart w:id="2" w:name="DocNumber"/>
      <w:r w:rsidRPr="005856CB">
        <w:rPr>
          <w:i/>
        </w:rPr>
        <w:instrText>A9-0106/2024</w:instrText>
      </w:r>
      <w:bookmarkEnd w:id="2"/>
      <w:r w:rsidRPr="005856CB">
        <w:rPr>
          <w:i/>
        </w:rPr>
        <w:instrText xml:space="preserve"> - Izvjestitelj: Petri </w:instrText>
      </w:r>
      <w:proofErr w:type="spellStart"/>
      <w:r w:rsidRPr="005856CB">
        <w:rPr>
          <w:i/>
        </w:rPr>
        <w:instrText>Sarvamaa</w:instrText>
      </w:r>
      <w:proofErr w:type="spellEnd"/>
      <w:r w:rsidRPr="005856CB">
        <w:rPr>
          <w:i/>
        </w:rPr>
        <w:instrText xml:space="preserve">)"\l3 \n&gt; \* MERGEFORMAT </w:instrText>
      </w:r>
      <w:r w:rsidRPr="005856CB">
        <w:rPr>
          <w:i/>
        </w:rPr>
        <w:fldChar w:fldCharType="end"/>
      </w:r>
    </w:p>
    <w:p w:rsidR="00A35AD7" w:rsidRPr="005856CB" w:rsidRDefault="00A35AD7" w:rsidP="00A35AD7">
      <w:pPr>
        <w:rPr>
          <w:vanish/>
        </w:rPr>
      </w:pPr>
      <w:bookmarkStart w:id="3" w:name="Commission"/>
      <w:r w:rsidRPr="005856CB">
        <w:rPr>
          <w:vanish/>
        </w:rPr>
        <w:t>Odbor za proračunski nadzor</w:t>
      </w:r>
      <w:bookmarkEnd w:id="3"/>
    </w:p>
    <w:p w:rsidR="00A35AD7" w:rsidRPr="005856CB" w:rsidRDefault="00A35AD7" w:rsidP="00A35AD7">
      <w:pPr>
        <w:rPr>
          <w:vanish/>
        </w:rPr>
      </w:pPr>
      <w:bookmarkStart w:id="4" w:name="PE"/>
      <w:r w:rsidRPr="005856CB">
        <w:rPr>
          <w:vanish/>
        </w:rPr>
        <w:t>PE753.532</w:t>
      </w:r>
      <w:bookmarkEnd w:id="4"/>
    </w:p>
    <w:p w:rsidR="00A35AD7" w:rsidRPr="005856CB" w:rsidRDefault="005856CB" w:rsidP="00A35AD7">
      <w:pPr>
        <w:pStyle w:val="ATHeading3"/>
      </w:pPr>
      <w:bookmarkStart w:id="5" w:name="Sujet"/>
      <w:r>
        <w:t xml:space="preserve">1. </w:t>
      </w:r>
      <w:r w:rsidR="00A35AD7" w:rsidRPr="005856CB">
        <w:t>Od</w:t>
      </w:r>
      <w:r>
        <w:t>luka Europskog parlamenta od 11</w:t>
      </w:r>
      <w:r w:rsidR="00A35AD7" w:rsidRPr="005856CB">
        <w:t xml:space="preserve">. </w:t>
      </w:r>
      <w:r>
        <w:t xml:space="preserve">travnja </w:t>
      </w:r>
      <w:r w:rsidR="00A35AD7" w:rsidRPr="005856CB">
        <w:t>2024. o razrješnici za izvršenje proračuna Agencije Europske unije za azil (prije 19.1.2022: Europskog potpornog ureda za azil) za financijsku godinu 2022.</w:t>
      </w:r>
      <w:bookmarkEnd w:id="5"/>
      <w:r w:rsidR="00A35AD7" w:rsidRPr="005856CB">
        <w:t xml:space="preserve"> </w:t>
      </w:r>
      <w:bookmarkStart w:id="6" w:name="References"/>
      <w:r w:rsidR="00A35AD7" w:rsidRPr="005856CB">
        <w:t>(2023/2164(DEC))</w:t>
      </w:r>
      <w:bookmarkEnd w:id="6"/>
    </w:p>
    <w:p w:rsidR="0065666E" w:rsidRPr="005856CB" w:rsidRDefault="0065666E" w:rsidP="0065666E">
      <w:pPr>
        <w:pStyle w:val="EPComma"/>
      </w:pPr>
      <w:bookmarkStart w:id="7" w:name="TextBodyBegin"/>
      <w:bookmarkEnd w:id="7"/>
      <w:r w:rsidRPr="005856CB">
        <w:rPr>
          <w:i/>
        </w:rPr>
        <w:t>Europski parlament</w:t>
      </w:r>
      <w:r w:rsidRPr="005856CB">
        <w:t>,</w:t>
      </w:r>
    </w:p>
    <w:p w:rsidR="0065666E" w:rsidRPr="005856CB" w:rsidRDefault="0065666E" w:rsidP="0065666E">
      <w:pPr>
        <w:pStyle w:val="NormalHanging12a"/>
      </w:pPr>
      <w:r w:rsidRPr="005856CB">
        <w:t>–</w:t>
      </w:r>
      <w:r w:rsidRPr="005856CB">
        <w:tab/>
        <w:t>uzimajući u obzir završnu godišnju računovodstvenu dokumentaciju Agencije Europske unije za azil za financijsku godinu 2022.,</w:t>
      </w:r>
    </w:p>
    <w:p w:rsidR="0065666E" w:rsidRPr="005856CB" w:rsidRDefault="0065666E" w:rsidP="0065666E">
      <w:pPr>
        <w:pStyle w:val="NormalHanging12a"/>
      </w:pPr>
      <w:r w:rsidRPr="005856CB">
        <w:t>–</w:t>
      </w:r>
      <w:r w:rsidRPr="005856CB">
        <w:tab/>
        <w:t>uzimajući u obzir godišnje izvješće Revizorskog suda o agencijama EU-a za financijsku godinu 2022., kojemu su priloženi odgovori agencija</w:t>
      </w:r>
      <w:r w:rsidRPr="005856CB">
        <w:rPr>
          <w:rStyle w:val="FootnoteReference"/>
        </w:rPr>
        <w:footnoteReference w:id="1"/>
      </w:r>
      <w:r w:rsidRPr="005856CB">
        <w:t>,</w:t>
      </w:r>
    </w:p>
    <w:p w:rsidR="0065666E" w:rsidRPr="005856CB" w:rsidRDefault="0065666E" w:rsidP="0065666E">
      <w:pPr>
        <w:pStyle w:val="NormalHanging12a"/>
      </w:pPr>
      <w:r w:rsidRPr="005856CB">
        <w:t>–</w:t>
      </w:r>
      <w:r w:rsidRPr="005856CB">
        <w:tab/>
        <w:t>uzimajući u obzir izjavu o jamstvu</w:t>
      </w:r>
      <w:r w:rsidRPr="005856CB">
        <w:rPr>
          <w:rStyle w:val="FootnoteReference"/>
        </w:rPr>
        <w:footnoteReference w:id="2"/>
      </w:r>
      <w:r w:rsidRPr="005856CB">
        <w:t xml:space="preserve"> u pogledu pouzdanosti računovodstvene dokumentacije te zakonitosti i pravilnosti temeljnih transakcija, koju je podnio Revizorski sud za financijsku godinu 2022., u skladu s člankom 287. Ugovora o funkcioniranju Europske unije,</w:t>
      </w:r>
    </w:p>
    <w:p w:rsidR="0065666E" w:rsidRPr="005856CB" w:rsidRDefault="0065666E" w:rsidP="0065666E">
      <w:pPr>
        <w:pStyle w:val="NormalHanging12a"/>
      </w:pPr>
      <w:r w:rsidRPr="005856CB">
        <w:t>–</w:t>
      </w:r>
      <w:r w:rsidRPr="005856CB">
        <w:tab/>
        <w:t>uzimajući u obzir preporuku Vijeća od 22. veljače 2024. o razrješnici koju Agencija treba dobiti za izvršenje proračuna za financijsku godinu 2022. (0</w:t>
      </w:r>
      <w:r w:rsidR="00B53A9A">
        <w:t>6180</w:t>
      </w:r>
      <w:r w:rsidRPr="005856CB">
        <w:t>/2024 – C9</w:t>
      </w:r>
      <w:r w:rsidRPr="005856CB">
        <w:noBreakHyphen/>
        <w:t>0</w:t>
      </w:r>
      <w:r w:rsidR="00B53A9A">
        <w:t>102</w:t>
      </w:r>
      <w:r w:rsidRPr="005856CB">
        <w:t>/2024),</w:t>
      </w:r>
    </w:p>
    <w:p w:rsidR="0065666E" w:rsidRPr="005856CB" w:rsidRDefault="0065666E" w:rsidP="0065666E">
      <w:pPr>
        <w:pStyle w:val="NormalHanging12a"/>
      </w:pPr>
      <w:r w:rsidRPr="005856CB">
        <w:t>–</w:t>
      </w:r>
      <w:r w:rsidRPr="005856CB">
        <w:tab/>
        <w:t>uzimajući u obzir članak 319. Ugovora o funkcioniranju Europske unije,</w:t>
      </w:r>
    </w:p>
    <w:p w:rsidR="0065666E" w:rsidRPr="005856CB" w:rsidRDefault="0065666E" w:rsidP="0065666E">
      <w:pPr>
        <w:pStyle w:val="NormalHanging12a"/>
      </w:pPr>
      <w:r w:rsidRPr="005856CB">
        <w:t>–</w:t>
      </w:r>
      <w:r w:rsidRPr="005856CB">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5856CB">
        <w:rPr>
          <w:rStyle w:val="FootnoteReference"/>
        </w:rPr>
        <w:footnoteReference w:id="3"/>
      </w:r>
      <w:r w:rsidRPr="005856CB">
        <w:t>, a posebno njezin članak 70.,</w:t>
      </w:r>
    </w:p>
    <w:p w:rsidR="0065666E" w:rsidRPr="005856CB" w:rsidRDefault="0065666E" w:rsidP="0065666E">
      <w:pPr>
        <w:pStyle w:val="NormalHanging12a"/>
      </w:pPr>
      <w:r w:rsidRPr="005856CB">
        <w:lastRenderedPageBreak/>
        <w:t>–</w:t>
      </w:r>
      <w:r w:rsidRPr="005856CB">
        <w:tab/>
        <w:t>uzimajući u obzir Uredbu (EU) br. 439/2010 Europskog parlamenta i Vijeća od 19. svibnja 2010. o osnivanju Europskog potpornog ureda za azil</w:t>
      </w:r>
      <w:r w:rsidRPr="005856CB">
        <w:rPr>
          <w:rStyle w:val="FootnoteReference"/>
        </w:rPr>
        <w:footnoteReference w:id="4"/>
      </w:r>
      <w:r w:rsidRPr="005856CB">
        <w:t>, a posebno njezin članak 36.,</w:t>
      </w:r>
    </w:p>
    <w:p w:rsidR="0065666E" w:rsidRPr="005856CB" w:rsidRDefault="0065666E" w:rsidP="0065666E">
      <w:pPr>
        <w:pStyle w:val="NormalHanging12a"/>
      </w:pPr>
      <w:r w:rsidRPr="005856CB">
        <w:t>–</w:t>
      </w:r>
      <w:r w:rsidRPr="005856CB">
        <w:tab/>
        <w:t>uzimajući u obzir Uredbu (EU) 2021/2303 Europskog parlamenta i Vijeća od 15. prosinca 2021. o Agenciji Europske unije za azil i stavljanju izvan snage Uredbe (EU) br. 439/2010</w:t>
      </w:r>
      <w:r w:rsidRPr="005856CB">
        <w:rPr>
          <w:rStyle w:val="FootnoteReference"/>
        </w:rPr>
        <w:footnoteReference w:id="5"/>
      </w:r>
      <w:r w:rsidRPr="005856CB">
        <w:t>, a posebno njezin članak 55.,</w:t>
      </w:r>
    </w:p>
    <w:p w:rsidR="0065666E" w:rsidRPr="005856CB" w:rsidRDefault="0065666E" w:rsidP="0065666E">
      <w:pPr>
        <w:pStyle w:val="NormalHanging12a"/>
      </w:pPr>
      <w:r w:rsidRPr="005856CB">
        <w:t>–</w:t>
      </w:r>
      <w:r w:rsidRPr="005856CB">
        <w:tab/>
        <w:t xml:space="preserve">uzimajući u obzir Delegiranu uredbu Komisije (EU) 2019/715 od 18. prosinca 2018. o okvirnoj financijskoj uredbi za tijela osnovana na temelju Ugovora o funkcioniranju Europske unije i Ugovora o </w:t>
      </w:r>
      <w:proofErr w:type="spellStart"/>
      <w:r w:rsidRPr="005856CB">
        <w:t>Euratomu</w:t>
      </w:r>
      <w:proofErr w:type="spellEnd"/>
      <w:r w:rsidRPr="005856CB">
        <w:t xml:space="preserve"> na koja se upućuje u članku 70. Uredbe (EU, Euratom) 2018/1046 Europskog parlamenta i Vijeća</w:t>
      </w:r>
      <w:r w:rsidRPr="005856CB">
        <w:rPr>
          <w:rStyle w:val="FootnoteReference"/>
        </w:rPr>
        <w:footnoteReference w:id="6"/>
      </w:r>
      <w:r w:rsidRPr="005856CB">
        <w:t>, a posebno njezin članak 105.,</w:t>
      </w:r>
    </w:p>
    <w:p w:rsidR="0065666E" w:rsidRPr="005856CB" w:rsidRDefault="0065666E" w:rsidP="0065666E">
      <w:pPr>
        <w:pStyle w:val="NormalHanging12a"/>
      </w:pPr>
      <w:r w:rsidRPr="005856CB">
        <w:t>–</w:t>
      </w:r>
      <w:r w:rsidRPr="005856CB">
        <w:tab/>
        <w:t>uzimajući u obzir članak 100. Poslovnika i Prilog V. Poslovniku,</w:t>
      </w:r>
    </w:p>
    <w:p w:rsidR="0065666E" w:rsidRPr="005856CB" w:rsidRDefault="0065666E" w:rsidP="0065666E">
      <w:pPr>
        <w:pStyle w:val="NormalHanging12a"/>
      </w:pPr>
      <w:r w:rsidRPr="005856CB">
        <w:t>–</w:t>
      </w:r>
      <w:r w:rsidRPr="005856CB">
        <w:tab/>
        <w:t>uzimajući u obzir mišljenje Odbora za građanske slobode, pravosuđe i unutarnje poslove,</w:t>
      </w:r>
    </w:p>
    <w:p w:rsidR="0065666E" w:rsidRPr="005856CB" w:rsidRDefault="0065666E" w:rsidP="0065666E">
      <w:pPr>
        <w:pStyle w:val="NormalHanging12a"/>
      </w:pPr>
      <w:r w:rsidRPr="005856CB">
        <w:t>–</w:t>
      </w:r>
      <w:r w:rsidRPr="005856CB">
        <w:tab/>
        <w:t>uzimajući u obzir izvješće Odbora za proračunski nadzor (A9</w:t>
      </w:r>
      <w:r w:rsidRPr="005856CB">
        <w:noBreakHyphen/>
        <w:t>0106/2024),</w:t>
      </w:r>
    </w:p>
    <w:p w:rsidR="0065666E" w:rsidRPr="005856CB" w:rsidRDefault="0065666E" w:rsidP="0065666E">
      <w:pPr>
        <w:pStyle w:val="NormalHanging12a"/>
      </w:pPr>
      <w:r w:rsidRPr="005856CB">
        <w:t>1.</w:t>
      </w:r>
      <w:r w:rsidRPr="005856CB">
        <w:tab/>
        <w:t>daje razrješnicu izvršnoj direktorici Agencije Europske unije za azil za izvršenje proračuna Agencije za financijsku godinu 2022.;</w:t>
      </w:r>
    </w:p>
    <w:p w:rsidR="0065666E" w:rsidRPr="005856CB" w:rsidRDefault="0065666E" w:rsidP="0065666E">
      <w:pPr>
        <w:pStyle w:val="NormalHanging12a"/>
      </w:pPr>
      <w:r w:rsidRPr="005856CB">
        <w:t>2.</w:t>
      </w:r>
      <w:r w:rsidRPr="005856CB">
        <w:tab/>
        <w:t>iznosi svoje primjedbe u Rezoluciji u nastavku;</w:t>
      </w:r>
    </w:p>
    <w:p w:rsidR="0065666E" w:rsidRPr="005856CB" w:rsidRDefault="0065666E" w:rsidP="0065666E">
      <w:pPr>
        <w:pStyle w:val="NormalHanging12a"/>
      </w:pPr>
      <w:r w:rsidRPr="005856CB">
        <w:t>3.</w:t>
      </w:r>
      <w:r w:rsidRPr="005856CB">
        <w:tab/>
        <w:t xml:space="preserve">nalaže svojoj predsjednici da ovu Odluku i Rezoluciju, koja je njezin sastavni dio, proslijedi izvršnoj direktorici Agencije Europske unije za azil, Vijeću, Komisiji i Revizorskom sudu te da ih da na objavu u </w:t>
      </w:r>
      <w:r w:rsidRPr="005856CB">
        <w:rPr>
          <w:i/>
        </w:rPr>
        <w:t>Službenom listu Europske unije</w:t>
      </w:r>
      <w:r w:rsidRPr="005856CB">
        <w:t xml:space="preserve"> (serija L).</w:t>
      </w:r>
    </w:p>
    <w:p w:rsidR="0065666E" w:rsidRPr="005856CB" w:rsidRDefault="0065666E" w:rsidP="0065666E"/>
    <w:p w:rsidR="0065666E" w:rsidRPr="005856CB" w:rsidRDefault="0065666E" w:rsidP="0065666E">
      <w:pPr>
        <w:pStyle w:val="PageHeading"/>
        <w:sectPr w:rsidR="0065666E" w:rsidRPr="005856CB" w:rsidSect="0003410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5666E" w:rsidRPr="005856CB" w:rsidRDefault="005856CB" w:rsidP="005856CB">
      <w:pPr>
        <w:pStyle w:val="ATHeading3"/>
      </w:pPr>
      <w:bookmarkStart w:id="8" w:name="_Toc161989387"/>
      <w:r w:rsidRPr="005856CB">
        <w:lastRenderedPageBreak/>
        <w:t xml:space="preserve">2. </w:t>
      </w:r>
      <w:r>
        <w:t>Odluka E</w:t>
      </w:r>
      <w:r w:rsidRPr="005856CB">
        <w:t>uropskog parlamenta</w:t>
      </w:r>
      <w:bookmarkEnd w:id="8"/>
      <w:r w:rsidRPr="005856CB">
        <w:t xml:space="preserve"> </w:t>
      </w:r>
      <w:r>
        <w:t xml:space="preserve">od 11. travnja 2024. </w:t>
      </w:r>
      <w:r w:rsidR="0065666E" w:rsidRPr="005856CB">
        <w:t>o zaključenju poslovnih knjiga Agencije Europske unije za azil (prije 19.1.2022.: Europskog potpornog ureda za azil) za financijsku godinu 2022.</w:t>
      </w:r>
      <w:r w:rsidRPr="005856CB">
        <w:t xml:space="preserve"> </w:t>
      </w:r>
      <w:r w:rsidR="0065666E" w:rsidRPr="005856CB">
        <w:t>(2023/2164(DEC))</w:t>
      </w:r>
    </w:p>
    <w:p w:rsidR="0065666E" w:rsidRPr="005856CB" w:rsidRDefault="0065666E" w:rsidP="0065666E">
      <w:pPr>
        <w:pStyle w:val="EPComma"/>
      </w:pPr>
      <w:r w:rsidRPr="005856CB">
        <w:rPr>
          <w:i/>
        </w:rPr>
        <w:t>Europski parlament</w:t>
      </w:r>
      <w:r w:rsidRPr="005856CB">
        <w:t>,</w:t>
      </w:r>
    </w:p>
    <w:p w:rsidR="0065666E" w:rsidRPr="005856CB" w:rsidRDefault="0065666E" w:rsidP="0065666E">
      <w:pPr>
        <w:pStyle w:val="NormalHanging12a"/>
      </w:pPr>
      <w:r w:rsidRPr="005856CB">
        <w:t>–</w:t>
      </w:r>
      <w:r w:rsidRPr="005856CB">
        <w:tab/>
        <w:t>uzimajući u obzir završnu godišnju računovodstvenu dokumentaciju Agencije Europske unije za azil za financijsku godinu 2022.,</w:t>
      </w:r>
    </w:p>
    <w:p w:rsidR="0065666E" w:rsidRPr="005856CB" w:rsidRDefault="0065666E" w:rsidP="0065666E">
      <w:pPr>
        <w:pStyle w:val="NormalHanging12a"/>
      </w:pPr>
      <w:r w:rsidRPr="005856CB">
        <w:t>–</w:t>
      </w:r>
      <w:r w:rsidRPr="005856CB">
        <w:tab/>
        <w:t>uzimajući u obzir godišnje izvješće Revizorskog suda o agencijama EU-a za financijsku godinu 2022., kojemu su priloženi odgovori agencija</w:t>
      </w:r>
      <w:r w:rsidRPr="005856CB">
        <w:rPr>
          <w:rStyle w:val="FootnoteReference"/>
        </w:rPr>
        <w:footnoteReference w:id="7"/>
      </w:r>
      <w:r w:rsidRPr="005856CB">
        <w:t>,</w:t>
      </w:r>
    </w:p>
    <w:p w:rsidR="0065666E" w:rsidRPr="005856CB" w:rsidRDefault="0065666E" w:rsidP="0065666E">
      <w:pPr>
        <w:pStyle w:val="NormalHanging12a"/>
      </w:pPr>
      <w:r w:rsidRPr="005856CB">
        <w:t>–</w:t>
      </w:r>
      <w:r w:rsidRPr="005856CB">
        <w:tab/>
        <w:t>uzimajući u obzir izjavu o jamstvu</w:t>
      </w:r>
      <w:r w:rsidRPr="005856CB">
        <w:rPr>
          <w:rStyle w:val="FootnoteReference"/>
        </w:rPr>
        <w:footnoteReference w:id="8"/>
      </w:r>
      <w:r w:rsidRPr="005856CB">
        <w:t xml:space="preserve"> u pogledu pouzdanosti računovodstvene dokumentacije te zakonitosti i pravilnosti temeljnih transakcija, koju je podnio Revizorski sud za financijsku godinu 2022., u skladu s člankom 287. Ugovora o funkcioniranju Europske unije,</w:t>
      </w:r>
    </w:p>
    <w:p w:rsidR="0065666E" w:rsidRPr="005856CB" w:rsidRDefault="0065666E" w:rsidP="0065666E">
      <w:pPr>
        <w:pStyle w:val="NormalHanging12a"/>
      </w:pPr>
      <w:r w:rsidRPr="005856CB">
        <w:t>–</w:t>
      </w:r>
      <w:r w:rsidRPr="005856CB">
        <w:tab/>
        <w:t>uzimajući u obzir preporuku Vijeća od 22. veljače 2024. o razrješnici koju Agencija treba dobiti za izvršenje proračuna za financijsku godinu 2022. (0</w:t>
      </w:r>
      <w:r w:rsidR="00B53A9A">
        <w:t>618</w:t>
      </w:r>
      <w:r w:rsidRPr="005856CB">
        <w:t>0/2024 – C9</w:t>
      </w:r>
      <w:r w:rsidRPr="005856CB">
        <w:noBreakHyphen/>
        <w:t>0</w:t>
      </w:r>
      <w:r w:rsidR="00B53A9A">
        <w:t>102</w:t>
      </w:r>
      <w:r w:rsidRPr="005856CB">
        <w:t>/2024),</w:t>
      </w:r>
    </w:p>
    <w:p w:rsidR="0065666E" w:rsidRPr="005856CB" w:rsidRDefault="0065666E" w:rsidP="0065666E">
      <w:pPr>
        <w:pStyle w:val="NormalHanging12a"/>
      </w:pPr>
      <w:r w:rsidRPr="005856CB">
        <w:t>–</w:t>
      </w:r>
      <w:r w:rsidRPr="005856CB">
        <w:tab/>
        <w:t>uzimajući u obzir članak 319. Ugovora o funkcioniranju Europske unije,</w:t>
      </w:r>
    </w:p>
    <w:p w:rsidR="0065666E" w:rsidRPr="005856CB" w:rsidRDefault="0065666E" w:rsidP="0065666E">
      <w:pPr>
        <w:pStyle w:val="NormalHanging12a"/>
      </w:pPr>
      <w:r w:rsidRPr="005856CB">
        <w:t>–</w:t>
      </w:r>
      <w:r w:rsidRPr="005856CB">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5856CB">
        <w:rPr>
          <w:rStyle w:val="FootnoteReference"/>
        </w:rPr>
        <w:footnoteReference w:id="9"/>
      </w:r>
      <w:r w:rsidRPr="005856CB">
        <w:t>, a posebno njezin članak 70.,</w:t>
      </w:r>
    </w:p>
    <w:p w:rsidR="0065666E" w:rsidRPr="005856CB" w:rsidRDefault="0065666E" w:rsidP="0065666E">
      <w:pPr>
        <w:pStyle w:val="NormalHanging12a"/>
      </w:pPr>
      <w:r w:rsidRPr="005856CB">
        <w:t>–</w:t>
      </w:r>
      <w:r w:rsidRPr="005856CB">
        <w:tab/>
        <w:t>uzimajući u obzir Uredbu (EU) br. 439/2010 Europskog parlamenta i Vijeća od 19. svibnja 2010. o osnivanju Europskog potpornog ureda za azil</w:t>
      </w:r>
      <w:r w:rsidRPr="005856CB">
        <w:rPr>
          <w:rStyle w:val="FootnoteReference"/>
        </w:rPr>
        <w:footnoteReference w:id="10"/>
      </w:r>
      <w:r w:rsidRPr="005856CB">
        <w:t>, a posebno njezin članak 36.,</w:t>
      </w:r>
    </w:p>
    <w:p w:rsidR="0065666E" w:rsidRPr="005856CB" w:rsidRDefault="0065666E" w:rsidP="0065666E">
      <w:pPr>
        <w:pStyle w:val="NormalHanging12a"/>
      </w:pPr>
      <w:r w:rsidRPr="005856CB">
        <w:t>–</w:t>
      </w:r>
      <w:r w:rsidRPr="005856CB">
        <w:tab/>
        <w:t>uzimajući u obzir Uredbu (EU) 2021/2303 Europskog parlamenta i Vijeća od 15. prosinca 2021. o Agenciji Europske unije za azil i stavljanju izvan snage Uredbe (EU) br. 439/2010</w:t>
      </w:r>
      <w:r w:rsidRPr="005856CB">
        <w:rPr>
          <w:rStyle w:val="FootnoteReference"/>
        </w:rPr>
        <w:footnoteReference w:id="11"/>
      </w:r>
      <w:r w:rsidRPr="005856CB">
        <w:t>, a posebno njezin članak 55.,</w:t>
      </w:r>
    </w:p>
    <w:p w:rsidR="0065666E" w:rsidRPr="005856CB" w:rsidRDefault="0065666E" w:rsidP="0065666E">
      <w:pPr>
        <w:pStyle w:val="NormalHanging12a"/>
      </w:pPr>
      <w:r w:rsidRPr="005856CB">
        <w:t>–</w:t>
      </w:r>
      <w:r w:rsidRPr="005856CB">
        <w:tab/>
        <w:t xml:space="preserve">uzimajući u obzir Delegiranu uredbu Komisije (EU) 2019/715 od 18. prosinca 2018. o okvirnoj financijskoj uredbi za tijela osnovana na temelju Ugovora o funkcioniranju Europske unije i Ugovora o </w:t>
      </w:r>
      <w:proofErr w:type="spellStart"/>
      <w:r w:rsidRPr="005856CB">
        <w:t>Euratomu</w:t>
      </w:r>
      <w:proofErr w:type="spellEnd"/>
      <w:r w:rsidRPr="005856CB">
        <w:t xml:space="preserve"> na koja se upućuje u članku 70. Uredbe (EU, Euratom) 2018/1046 Europskog parlamenta i Vijeća</w:t>
      </w:r>
      <w:r w:rsidRPr="005856CB">
        <w:rPr>
          <w:rStyle w:val="FootnoteReference"/>
        </w:rPr>
        <w:footnoteReference w:id="12"/>
      </w:r>
      <w:r w:rsidRPr="005856CB">
        <w:t>, a posebno njezin članak 105.,</w:t>
      </w:r>
    </w:p>
    <w:p w:rsidR="0065666E" w:rsidRPr="005856CB" w:rsidRDefault="0065666E" w:rsidP="0065666E">
      <w:pPr>
        <w:pStyle w:val="NormalHanging12a"/>
      </w:pPr>
      <w:r w:rsidRPr="005856CB">
        <w:t>–</w:t>
      </w:r>
      <w:r w:rsidRPr="005856CB">
        <w:tab/>
        <w:t>uzimajući u obzir članak 100. Poslovnika i Prilog V. Poslovniku,</w:t>
      </w:r>
    </w:p>
    <w:p w:rsidR="0065666E" w:rsidRPr="005856CB" w:rsidRDefault="0065666E" w:rsidP="0065666E">
      <w:pPr>
        <w:pStyle w:val="NormalHanging12a"/>
      </w:pPr>
      <w:r w:rsidRPr="005856CB">
        <w:lastRenderedPageBreak/>
        <w:t>–</w:t>
      </w:r>
      <w:r w:rsidRPr="005856CB">
        <w:tab/>
        <w:t>uzimajući u obzir mišljenje Odbora za građanske slobode, pravosuđe i unutarnje poslove,</w:t>
      </w:r>
    </w:p>
    <w:p w:rsidR="0065666E" w:rsidRPr="005856CB" w:rsidRDefault="0065666E" w:rsidP="0065666E">
      <w:pPr>
        <w:pStyle w:val="NormalHanging12a"/>
      </w:pPr>
      <w:r w:rsidRPr="005856CB">
        <w:t>–</w:t>
      </w:r>
      <w:r w:rsidRPr="005856CB">
        <w:tab/>
        <w:t>uzimajući u obzir izvješće Odbora za proračunski nadzor (A9</w:t>
      </w:r>
      <w:r w:rsidRPr="005856CB">
        <w:noBreakHyphen/>
        <w:t>0106/2024),</w:t>
      </w:r>
    </w:p>
    <w:p w:rsidR="0065666E" w:rsidRPr="005856CB" w:rsidRDefault="0065666E" w:rsidP="0065666E">
      <w:pPr>
        <w:pStyle w:val="NormalHanging12a"/>
      </w:pPr>
      <w:r w:rsidRPr="005856CB">
        <w:t>1.</w:t>
      </w:r>
      <w:r w:rsidRPr="005856CB">
        <w:tab/>
        <w:t>odobrava zaključenje poslovnih knjiga Agencije Europske unije za a</w:t>
      </w:r>
      <w:r w:rsidR="005856CB">
        <w:t>zil za financijsku godinu 2022.;</w:t>
      </w:r>
    </w:p>
    <w:p w:rsidR="0065666E" w:rsidRPr="005856CB" w:rsidRDefault="0065666E" w:rsidP="0065666E">
      <w:pPr>
        <w:pStyle w:val="NormalHanging12a"/>
      </w:pPr>
      <w:r w:rsidRPr="005856CB">
        <w:t>2.</w:t>
      </w:r>
      <w:r w:rsidRPr="005856CB">
        <w:tab/>
        <w:t xml:space="preserve">nalaže svojoj predsjednici da ovu Odluku proslijedi izvršnoj direktorici Agencije Europske unije za azil, Vijeću, Komisiji i Revizorskom sudu te da je da na objavu u </w:t>
      </w:r>
      <w:r w:rsidRPr="005856CB">
        <w:rPr>
          <w:i/>
        </w:rPr>
        <w:t>Službenom listu Europske unije</w:t>
      </w:r>
      <w:r w:rsidRPr="005856CB">
        <w:t xml:space="preserve"> (serija L).</w:t>
      </w:r>
    </w:p>
    <w:p w:rsidR="0065666E" w:rsidRPr="005856CB" w:rsidRDefault="0065666E" w:rsidP="0065666E">
      <w:pPr>
        <w:pStyle w:val="PageHeading"/>
        <w:sectPr w:rsidR="0065666E" w:rsidRPr="005856CB" w:rsidSect="00034108">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66E" w:rsidRPr="005856CB" w:rsidRDefault="005856CB" w:rsidP="005856CB">
      <w:pPr>
        <w:pStyle w:val="ATHeading3"/>
      </w:pPr>
      <w:bookmarkStart w:id="10" w:name="_Toc161989388"/>
      <w:r w:rsidRPr="005856CB">
        <w:lastRenderedPageBreak/>
        <w:t>3.</w:t>
      </w:r>
      <w:r w:rsidR="0065666E" w:rsidRPr="005856CB">
        <w:t xml:space="preserve"> </w:t>
      </w:r>
      <w:r>
        <w:t>Rezolucija E</w:t>
      </w:r>
      <w:r w:rsidRPr="005856CB">
        <w:t>uropskog parlamenta</w:t>
      </w:r>
      <w:bookmarkEnd w:id="10"/>
      <w:r w:rsidRPr="005856CB">
        <w:t xml:space="preserve"> </w:t>
      </w:r>
      <w:r>
        <w:t xml:space="preserve">od 11. travnja 2024. </w:t>
      </w:r>
      <w:r w:rsidR="0065666E" w:rsidRPr="005856CB">
        <w:t>s primjedbama koje su sastavni dio Odluke o razrješnici za izvršenje proračuna Agencije Europske unije za azil (prije 19.1.2022.: Europskog potpornog ureda za azil) za financijsku godinu 2022.</w:t>
      </w:r>
      <w:r w:rsidRPr="005856CB">
        <w:t xml:space="preserve"> </w:t>
      </w:r>
      <w:r w:rsidR="0065666E" w:rsidRPr="005856CB">
        <w:t>(2023/2164(DEC))</w:t>
      </w:r>
    </w:p>
    <w:p w:rsidR="0065666E" w:rsidRPr="005856CB" w:rsidRDefault="0065666E" w:rsidP="0065666E">
      <w:pPr>
        <w:pStyle w:val="EPComma"/>
      </w:pPr>
      <w:r w:rsidRPr="005856CB">
        <w:rPr>
          <w:i/>
        </w:rPr>
        <w:t>Europski parlament</w:t>
      </w:r>
      <w:r w:rsidRPr="005856CB">
        <w:t>,</w:t>
      </w:r>
    </w:p>
    <w:p w:rsidR="0065666E" w:rsidRPr="005856CB" w:rsidRDefault="0065666E" w:rsidP="0065666E">
      <w:pPr>
        <w:pStyle w:val="NormalHanging12a"/>
      </w:pPr>
      <w:r w:rsidRPr="005856CB">
        <w:t>–</w:t>
      </w:r>
      <w:r w:rsidRPr="005856CB">
        <w:tab/>
        <w:t>uzimajući u obzir svoju Odluku o razrješnici za izvršenje proračuna Agencije Europske unije za azil za financijsku godinu 2022.,</w:t>
      </w:r>
    </w:p>
    <w:p w:rsidR="0065666E" w:rsidRPr="005856CB" w:rsidRDefault="0065666E" w:rsidP="0065666E">
      <w:pPr>
        <w:pStyle w:val="NormalHanging12a"/>
      </w:pPr>
      <w:r w:rsidRPr="005856CB">
        <w:t>–</w:t>
      </w:r>
      <w:r w:rsidRPr="005856CB">
        <w:tab/>
        <w:t>uzimajući u obzir članak 100. Poslovnika i Prilog V. Poslovniku,</w:t>
      </w:r>
    </w:p>
    <w:p w:rsidR="0065666E" w:rsidRPr="005856CB" w:rsidRDefault="0065666E" w:rsidP="0065666E">
      <w:pPr>
        <w:pStyle w:val="NormalHanging12a"/>
      </w:pPr>
      <w:r w:rsidRPr="005856CB">
        <w:t>–</w:t>
      </w:r>
      <w:r w:rsidRPr="005856CB">
        <w:tab/>
        <w:t>uzimajući u obzir mišljenje Odbora za građanske slobode, pravosuđe i unutarnje poslove,</w:t>
      </w:r>
    </w:p>
    <w:p w:rsidR="0065666E" w:rsidRPr="005856CB" w:rsidRDefault="0065666E" w:rsidP="0065666E">
      <w:pPr>
        <w:pStyle w:val="NormalHanging12a"/>
      </w:pPr>
      <w:r w:rsidRPr="005856CB">
        <w:t>–</w:t>
      </w:r>
      <w:r w:rsidRPr="005856CB">
        <w:tab/>
        <w:t>uzimajući u obzir izvješće Odbora za proračunski nadzor (A9</w:t>
      </w:r>
      <w:r w:rsidRPr="005856CB">
        <w:noBreakHyphen/>
        <w:t>0106/2024),</w:t>
      </w:r>
    </w:p>
    <w:p w:rsidR="0065666E" w:rsidRPr="005856CB" w:rsidRDefault="0065666E" w:rsidP="0065666E">
      <w:pPr>
        <w:pStyle w:val="Normal12Hanging"/>
        <w:rPr>
          <w:color w:val="000000" w:themeColor="text1"/>
          <w:szCs w:val="24"/>
          <w:lang w:val="hr-HR"/>
        </w:rPr>
      </w:pPr>
      <w:r w:rsidRPr="005856CB">
        <w:rPr>
          <w:lang w:val="hr-HR"/>
        </w:rPr>
        <w:t>A.</w:t>
      </w:r>
      <w:r w:rsidRPr="005856CB">
        <w:rPr>
          <w:lang w:val="hr-HR"/>
        </w:rPr>
        <w:tab/>
      </w:r>
      <w:r w:rsidRPr="005856CB">
        <w:rPr>
          <w:color w:val="000000" w:themeColor="text1"/>
          <w:lang w:val="hr-HR"/>
        </w:rPr>
        <w:t>budući da je, prema Izvještaju o prihodima i rashodima</w:t>
      </w:r>
      <w:r w:rsidRPr="005856CB">
        <w:rPr>
          <w:rStyle w:val="FootnoteReference"/>
          <w:color w:val="000000" w:themeColor="text1"/>
          <w:szCs w:val="24"/>
          <w:lang w:val="hr-HR"/>
        </w:rPr>
        <w:footnoteReference w:id="13"/>
      </w:r>
      <w:r w:rsidRPr="005856CB">
        <w:rPr>
          <w:color w:val="000000" w:themeColor="text1"/>
          <w:lang w:val="hr-HR"/>
        </w:rPr>
        <w:t xml:space="preserve"> Agencije Europske unije za azil („Agencija”) za financijsku godinu 2022., konačni proračun Agencije za financijsku godinu 2022. iznosio 186 842 192 EUR, odnosno 12,46 % više od u odnosu na 2021.; budući da se proračun Ureda financira uglavnom iz proračuna Unije;</w:t>
      </w:r>
    </w:p>
    <w:p w:rsidR="0065666E" w:rsidRPr="005856CB" w:rsidRDefault="0065666E" w:rsidP="0065666E">
      <w:pPr>
        <w:pStyle w:val="Normal12Hanging"/>
        <w:rPr>
          <w:color w:val="000000" w:themeColor="text1"/>
          <w:szCs w:val="24"/>
          <w:lang w:val="hr-HR"/>
        </w:rPr>
      </w:pPr>
      <w:r w:rsidRPr="005856CB">
        <w:rPr>
          <w:color w:val="000000" w:themeColor="text1"/>
          <w:lang w:val="hr-HR"/>
        </w:rPr>
        <w:t>B.</w:t>
      </w:r>
      <w:r w:rsidRPr="005856CB">
        <w:rPr>
          <w:color w:val="000000" w:themeColor="text1"/>
          <w:lang w:val="hr-HR"/>
        </w:rPr>
        <w:tab/>
        <w:t xml:space="preserve">budući da je Agencija u lipnju 2022. s Komisijom potpisala sporazum o doprinosu za provedbu treće faze projekta „Regionalna potpora EU-a sustavima upravljanja migracijama na zapadnom Balkanu, s naglaskom na zaštitu, 3. faza, 2. ugovor” u okviru Instrumenta </w:t>
      </w:r>
      <w:proofErr w:type="spellStart"/>
      <w:r w:rsidRPr="005856CB">
        <w:rPr>
          <w:color w:val="000000" w:themeColor="text1"/>
          <w:lang w:val="hr-HR"/>
        </w:rPr>
        <w:t>pretpristupne</w:t>
      </w:r>
      <w:proofErr w:type="spellEnd"/>
      <w:r w:rsidRPr="005856CB">
        <w:rPr>
          <w:color w:val="000000" w:themeColor="text1"/>
          <w:lang w:val="hr-HR"/>
        </w:rPr>
        <w:t xml:space="preserve"> pomoći (IPA) (dalje u tekstu „IPA III – zapadni Balkan”) u ukupnoj vrijednosti od 6 milijuna EUR i s provedbenim razdobljem od 47 mjeseci;</w:t>
      </w:r>
    </w:p>
    <w:p w:rsidR="0065666E" w:rsidRPr="005856CB" w:rsidRDefault="0065666E" w:rsidP="0065666E">
      <w:pPr>
        <w:pStyle w:val="Normal12Hanging"/>
        <w:rPr>
          <w:color w:val="000000" w:themeColor="text1"/>
          <w:szCs w:val="24"/>
          <w:lang w:val="hr-HR"/>
        </w:rPr>
      </w:pPr>
      <w:r w:rsidRPr="005856CB">
        <w:rPr>
          <w:color w:val="000000" w:themeColor="text1"/>
          <w:lang w:val="hr-HR"/>
        </w:rPr>
        <w:t>C.</w:t>
      </w:r>
      <w:r w:rsidRPr="005856CB">
        <w:rPr>
          <w:color w:val="000000" w:themeColor="text1"/>
          <w:lang w:val="hr-HR"/>
        </w:rPr>
        <w:tab/>
        <w:t>budući da je proračun Agencije 2022. znatno povećan zbog proširenja njezinih zadaća u skladu s Uredbom (EU) 2021/2303 čiji je cilj da Agencija postane centar stručnog znanja o azilu;</w:t>
      </w:r>
    </w:p>
    <w:p w:rsidR="0065666E" w:rsidRPr="005856CB" w:rsidRDefault="0065666E" w:rsidP="0065666E">
      <w:pPr>
        <w:pStyle w:val="Normal12Hanging"/>
        <w:rPr>
          <w:color w:val="000000" w:themeColor="text1"/>
          <w:szCs w:val="24"/>
          <w:lang w:val="hr-HR"/>
        </w:rPr>
      </w:pPr>
      <w:r w:rsidRPr="005856CB">
        <w:rPr>
          <w:color w:val="000000" w:themeColor="text1"/>
          <w:lang w:val="hr-HR"/>
        </w:rPr>
        <w:t>D.</w:t>
      </w:r>
      <w:r w:rsidRPr="005856CB">
        <w:rPr>
          <w:color w:val="000000" w:themeColor="text1"/>
          <w:lang w:val="hr-HR"/>
        </w:rPr>
        <w:tab/>
        <w:t>budući da je 2022. u Uniji bilo gotovo milijun tražitelja azila i oko 4 milijuna korisnika privremene zaštite;</w:t>
      </w:r>
    </w:p>
    <w:p w:rsidR="0065666E" w:rsidRPr="005856CB" w:rsidRDefault="0065666E" w:rsidP="0065666E">
      <w:pPr>
        <w:spacing w:after="240"/>
        <w:ind w:left="567" w:hanging="567"/>
        <w:rPr>
          <w:color w:val="000000" w:themeColor="text1"/>
          <w:szCs w:val="24"/>
        </w:rPr>
      </w:pPr>
      <w:r w:rsidRPr="005856CB">
        <w:rPr>
          <w:color w:val="000000" w:themeColor="text1"/>
        </w:rPr>
        <w:t>E.</w:t>
      </w:r>
      <w:r w:rsidRPr="005856CB">
        <w:rPr>
          <w:color w:val="000000" w:themeColor="text1"/>
        </w:rPr>
        <w:tab/>
      </w:r>
      <w:r w:rsidRPr="005856C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65666E" w:rsidRPr="005856CB" w:rsidRDefault="0065666E" w:rsidP="0065666E">
      <w:pPr>
        <w:spacing w:after="240"/>
        <w:ind w:left="567" w:hanging="567"/>
        <w:rPr>
          <w:b/>
          <w:i/>
          <w:szCs w:val="24"/>
        </w:rPr>
      </w:pPr>
      <w:r w:rsidRPr="005856CB">
        <w:rPr>
          <w:b/>
          <w:i/>
        </w:rPr>
        <w:t>Proračunsko i financijsko upravljanje</w:t>
      </w:r>
    </w:p>
    <w:p w:rsidR="0065666E" w:rsidRPr="005856CB" w:rsidRDefault="0065666E" w:rsidP="0065666E">
      <w:pPr>
        <w:pStyle w:val="NormalHanging12a"/>
        <w:rPr>
          <w:szCs w:val="24"/>
        </w:rPr>
      </w:pPr>
      <w:r w:rsidRPr="005856CB">
        <w:t>1.</w:t>
      </w:r>
      <w:r w:rsidRPr="005856CB">
        <w:tab/>
        <w:t xml:space="preserve">prima na znanje da je praćenje proračuna tijekom financijske godine 2022. rezultiralo stopom izvršenja proračuna od 96,23 % za odobrena sredstva za preuzimanje obveza za tekuću godinu, što je tek neznatno smanjenje od 0,44 % u odnosu na 2021. (96,67 %); konstatira da je stopa izvršenja odobrenih sredstava za plaćanje za tekuću godinu iznosila 89,55 %, što je smanjenje od 1,36 % u odnosu na prethodnu 2021. godinu (90,91 %); sa zabrinutošću prima na znanje relativno visoku stopu storniranja (15 %) sredstava prenesenih iz 2021. u 2022., zbog čega nije ostvaren godišnji cilj Agencije od </w:t>
      </w:r>
      <w:r w:rsidRPr="005856CB">
        <w:lastRenderedPageBreak/>
        <w:t>manje od 10 %;</w:t>
      </w:r>
    </w:p>
    <w:p w:rsidR="0065666E" w:rsidRPr="005856CB" w:rsidRDefault="0065666E" w:rsidP="0065666E">
      <w:pPr>
        <w:pStyle w:val="NormalHanging12a"/>
        <w:rPr>
          <w:szCs w:val="24"/>
        </w:rPr>
      </w:pPr>
      <w:r w:rsidRPr="005856CB">
        <w:t>2.</w:t>
      </w:r>
      <w:r w:rsidRPr="005856CB">
        <w:tab/>
        <w:t xml:space="preserve">ističe da je upravni odbor Agencije 2022. donio dvije izmjene proračuna; u tom kontekstu napominje da je Agencija provela polugodišnju reviziju svojeg proračuna za 2022. na temelju koje je od Komisije zatražila dodatnu subvenciju u iznosu od 12 milijuna EUR odobrenih sredstava za preuzimanje obveza i 6 milijuna EUR odobrenih sredstava za plaćanja kako bi odgovorila na dodatne zadaće proizišle iz humanitarne krize nastale zbog nezakonite i ničim izazvane ruske invazije na Ukrajinu; napominje da su ti iznosi uključeni u prvu izmjenu proračuna koju je Agencija donijela u rujnu 2022.; međutim, žali zbog toga što su u jesenskom proračunu Agencije i pregledu planiranja istaknuta nepredviđena kašnjenja u provedbi operativnih planova relevantnih za krizu u Ukrajini, što je dovelo do negativne (druge) izmjene proračuna koju je upravni odbor donio u studenome 2022. i kojom su odobrena sredstva za plaćanje smanjena za 12 milijuna EUR; primjećuje, naposljetku, da su izmjene proračuna Agencije također bile odraz dobrovoljnog doprinosa Danske (drugi obrok u iznosu od 94 063 EUR) za provedbu „Plana za suradnju između EASO-a i Egipta” i prvo </w:t>
      </w:r>
      <w:proofErr w:type="spellStart"/>
      <w:r w:rsidRPr="005856CB">
        <w:t>pretfinanciranje</w:t>
      </w:r>
      <w:proofErr w:type="spellEnd"/>
      <w:r w:rsidRPr="005856CB">
        <w:t xml:space="preserve"> (u iznosu od 2 968 129 EUR) za </w:t>
      </w:r>
      <w:r w:rsidRPr="005856CB">
        <w:rPr>
          <w:color w:val="000000" w:themeColor="text1"/>
        </w:rPr>
        <w:t>IPA III – zapadni Balkan</w:t>
      </w:r>
      <w:r w:rsidRPr="005856CB">
        <w:t>;</w:t>
      </w:r>
    </w:p>
    <w:p w:rsidR="0065666E" w:rsidRPr="005856CB" w:rsidRDefault="0065666E" w:rsidP="0065666E">
      <w:pPr>
        <w:pStyle w:val="NormalHanging12a"/>
        <w:rPr>
          <w:szCs w:val="24"/>
        </w:rPr>
      </w:pPr>
      <w:r w:rsidRPr="005856CB">
        <w:t>3.</w:t>
      </w:r>
      <w:r w:rsidRPr="005856CB">
        <w:tab/>
        <w:t>prima na znanje, iz izvješća Revizorskog suda, da su dogovori koji su sklopljeni između Unije i zemalja pridruženih Schengenu i koji služe kao pravna osnova za izračun tih doprinosa proračunu Agencije nejasni i da dopuštaju različita tumačenja, što dovodi do toga da svaka zemlja pridružena Schengenu u proračun Agencije doprinosi iznos jednak nedostatnim plaćanjima od otprilike 0,7 milijuna EUR (7 %) zbog primjene formule za izračun koju Revizorski sud smatra manjkavim jer se omjer doprinosa množi s iznosom koji odražava samo subvencije iz proračuna Unije za aktivnosti Agencije, dok bi, prema Revizorskom sudu, taj iznos trebao uključivati i udio doprinosa zemlje pridružene Schengenu; poziva Komisiju da se pozabavi tim pitanjem u predstojećim pregovorima sa zemljama pridruženima Schengenu o novim sporazumima koji će obuhvatiti sudjelovanje zemalja pridruženih Schengenu u radu Agencije kako bi se osigurala veća jasnoća u tom pogledu;</w:t>
      </w:r>
    </w:p>
    <w:p w:rsidR="0065666E" w:rsidRPr="005856CB" w:rsidRDefault="0065666E" w:rsidP="0065666E">
      <w:pPr>
        <w:spacing w:after="240"/>
        <w:ind w:left="567" w:hanging="567"/>
        <w:rPr>
          <w:szCs w:val="24"/>
        </w:rPr>
      </w:pPr>
      <w:r w:rsidRPr="005856CB">
        <w:rPr>
          <w:b/>
          <w:i/>
        </w:rPr>
        <w:t>Uspješnost</w:t>
      </w:r>
    </w:p>
    <w:p w:rsidR="0065666E" w:rsidRPr="005856CB" w:rsidRDefault="0065666E" w:rsidP="0065666E">
      <w:pPr>
        <w:pStyle w:val="NormalHanging12a"/>
        <w:rPr>
          <w:szCs w:val="24"/>
        </w:rPr>
      </w:pPr>
      <w:r w:rsidRPr="005856CB">
        <w:t>4.</w:t>
      </w:r>
      <w:r w:rsidRPr="005856CB">
        <w:tab/>
        <w:t>primjećuje da je uspješnost Agencije za 2022. izmjerena u odnosu na 204 godišnja cilja, od kojih je 48 % premašeno, 26 % ostvareno, 10 % gotovo ostvareno, 12 % kasnilo, a 4 % nije bilo primjenjivo;</w:t>
      </w:r>
    </w:p>
    <w:p w:rsidR="0065666E" w:rsidRPr="005856CB" w:rsidRDefault="0065666E" w:rsidP="0065666E">
      <w:pPr>
        <w:pStyle w:val="NormalHanging12a"/>
        <w:rPr>
          <w:szCs w:val="24"/>
        </w:rPr>
      </w:pPr>
      <w:r w:rsidRPr="005856CB">
        <w:t>5.</w:t>
      </w:r>
      <w:r w:rsidRPr="005856CB">
        <w:tab/>
        <w:t>pohvaljuje Agenciju za znatan napredak ostvaren 2022. na putu do ostvarenja potpune provedbe novih odredbi Uredbe (EU) 2021/2033; posebno prima na znanje, iz izvješća Agencije o daljnjem postupanju u vezi s razrješnicom za 2021. (dalje u tekstu „izvješće o daljnjim mjerama”), da je Agencija uspostavila savjetodavni forum kao i pričuvu za azil s 360 odobrenih stručnjaka iz država članica (od 500 kako je propisano tom uredbom) sredinom lipnja 2023. te da je provela postupak zapošljavanja službenika za temeljna prava koji je stupio na dužnost u svibnju 2023., kao i savjetovanja s dionicima u cilju izrade i donošenja mehanizma za podnošenje pritužbi; u pogledu mehanizma za praćenje primjećuje da se metodologija i program razvijaju te da je njihovo donošenje planirano za prvo tromjesečje 2024., nakon čega slijedi pilot-postupak praćenja;</w:t>
      </w:r>
    </w:p>
    <w:p w:rsidR="0065666E" w:rsidRPr="005856CB" w:rsidRDefault="0065666E" w:rsidP="0065666E">
      <w:pPr>
        <w:pStyle w:val="NormalHanging12a"/>
        <w:rPr>
          <w:szCs w:val="24"/>
        </w:rPr>
      </w:pPr>
      <w:r w:rsidRPr="005856CB">
        <w:t>6.</w:t>
      </w:r>
      <w:r w:rsidRPr="005856CB">
        <w:tab/>
        <w:t xml:space="preserve">kad je riječ o području aktivnosti koje obuhvaća raspoređivanje časnika za vezu u državama članicama i trećim zemljama, napominje da su ograničenja u pogledu ljudskih resursa dovela do toga da je Agencija grupirala države članice i da jedan časnik za vezu </w:t>
      </w:r>
      <w:r w:rsidRPr="005856CB">
        <w:lastRenderedPageBreak/>
        <w:t>pokriva do četiri države članice, kao i do nedostatka vremenskog okvira za razvoj časnika za vezu s trećim zemljama; prima na znanje potrebu Agencije za dodatnim sredstvima kako bi u potpunosti provela zahtjeve iz Uredbe (EU) 2021/2303 u tom području i ponavlja svoj poziv Komisiji da pri odlučivanju o budućim planovima radnih mjesta bolje uzme u obzir operativne potrebe Agencije;</w:t>
      </w:r>
    </w:p>
    <w:p w:rsidR="0065666E" w:rsidRPr="005856CB" w:rsidRDefault="0065666E" w:rsidP="0065666E">
      <w:pPr>
        <w:pStyle w:val="NormalHanging12a"/>
        <w:rPr>
          <w:szCs w:val="24"/>
        </w:rPr>
      </w:pPr>
      <w:r w:rsidRPr="005856CB">
        <w:t>7.</w:t>
      </w:r>
      <w:r w:rsidRPr="005856CB">
        <w:tab/>
        <w:t>potvrđuje da se Agencija 2022. suočila s novim zadaćama i višestrukim izazovima zbog ruske nezakonite invazije na Ukrajinu; u tom kontekstu napominje da je Agencija na zahtjev relevantnih nacionalnih tijela proširila svoje operacije na šest dodatnih država članica, što je dovelo do operativnih planova u ukupno 14 država članica; pohvaljuje Agenciju i zbog pomaganja tim državama članicama u provedbi Direktive o privremenoj zaštiti; nadalje napominje da je Agencija podržala program dobrovoljnog transfera kojim se osobama koje bježe iz Ukrajine pomaže da se premjeste u Uniju i podnesu zahtjev za privremenu zaštitu, da je provela osposobljavanja o Direktivi o privremenoj zaštiti za nacionalne uprave, razvila komunikacijske proizvode za pojedine zemlje (knjige, letke i plakate) s prilagođenim informacijama o privremenoj zaštiti, povećala proizvodnju analiza stanja i po prvi put rasporedila osoblje u zemlju koja nije članica Unije (</w:t>
      </w:r>
      <w:proofErr w:type="spellStart"/>
      <w:r w:rsidRPr="005856CB">
        <w:t>Moldova</w:t>
      </w:r>
      <w:proofErr w:type="spellEnd"/>
      <w:r w:rsidRPr="005856CB">
        <w:t>); nadalje, cijeni snažan angažman Agencije u vanjskoj dimenziji zajedničkog europskog sustava azila (CEAS), pri čemu je poduprla zemlje EU-a+ da rasele 2585 osoba u okviru pružanja potpore za 13 misija odabira i tri pripremne misije prije odlaska;</w:t>
      </w:r>
    </w:p>
    <w:p w:rsidR="0065666E" w:rsidRPr="005856CB" w:rsidRDefault="0065666E" w:rsidP="0065666E">
      <w:pPr>
        <w:pStyle w:val="NormalHanging12a"/>
      </w:pPr>
      <w:r w:rsidRPr="005856CB">
        <w:t>8.</w:t>
      </w:r>
      <w:r w:rsidRPr="005856CB">
        <w:tab/>
        <w:t>ističe, među ostalim postignućima za 2022., da je Agencija sastavila oko 3000 stranica teksta s informacijama o zemljama podrijetla, da je odgovorila na više od 1000 pojedinačnih medicinskih zahtjeva povezanih s aktivnostima Agencije u području medicinskih informacija o zemlji podrijetla, da je provela osposobljavanja u kojima je sudjelovao rekordan broj od ukupno 13 000 sudionika i da je objavila i/ili ažurirala smjernice za pojedine zemlje (za Somaliju, Afganistan i Irak); pohvaljuje Agenciju i za pomoć zemljama zapadnog Balkana pružanjem institucijskih kapaciteta, osposobljavanjem i podučavanjem na radnom mjestu o osnovnim postupcima azila u Albaniji, Bosni i Hercegovini, Kosovu, Crnoj Gori, Sjevernoj Makedoniji i Srbiji;</w:t>
      </w:r>
    </w:p>
    <w:p w:rsidR="0065666E" w:rsidRPr="005856CB" w:rsidRDefault="0065666E" w:rsidP="0065666E">
      <w:pPr>
        <w:pStyle w:val="NormalHanging12a"/>
        <w:rPr>
          <w:b/>
          <w:i/>
        </w:rPr>
      </w:pPr>
      <w:r w:rsidRPr="005856CB">
        <w:rPr>
          <w:b/>
          <w:i/>
        </w:rPr>
        <w:t>Povećanje učinkovitosti</w:t>
      </w:r>
    </w:p>
    <w:p w:rsidR="0065666E" w:rsidRPr="005856CB" w:rsidRDefault="0065666E" w:rsidP="0065666E">
      <w:pPr>
        <w:pStyle w:val="NormalHanging12a"/>
      </w:pPr>
      <w:r w:rsidRPr="005856CB">
        <w:t>9.</w:t>
      </w:r>
      <w:r w:rsidRPr="005856CB">
        <w:tab/>
        <w:t xml:space="preserve">konstatira da Agencija surađuje s nekoliko agencija za pravosuđe i unutarnje poslove (npr. </w:t>
      </w:r>
      <w:proofErr w:type="spellStart"/>
      <w:r w:rsidRPr="005856CB">
        <w:t>Frontexom</w:t>
      </w:r>
      <w:proofErr w:type="spellEnd"/>
      <w:r w:rsidRPr="005856CB">
        <w:t xml:space="preserve">, </w:t>
      </w:r>
      <w:proofErr w:type="spellStart"/>
      <w:r w:rsidRPr="005856CB">
        <w:t>eu</w:t>
      </w:r>
      <w:proofErr w:type="spellEnd"/>
      <w:r w:rsidRPr="005856CB">
        <w:t xml:space="preserve">-LISA-om, FRA-om, CEPOL-om) u pogledu proizvoda za svjesnost o stanju, potpore za savladavanje operativnih izazova (uključujući raspoređeno osoblje), učenja i razmjene informacija te osposobljavanja i izgradnje kapaciteta, među ostalim; naglašava važnost suradnje za pravilnu raspodjelu sredstava; nadalje konstatira da je, na temelju sporazuma o razini usluga, </w:t>
      </w:r>
      <w:proofErr w:type="spellStart"/>
      <w:r w:rsidRPr="005856CB">
        <w:t>eu</w:t>
      </w:r>
      <w:proofErr w:type="spellEnd"/>
      <w:r w:rsidRPr="005856CB">
        <w:t xml:space="preserve">-LISA domaćin lokacije za oporavak </w:t>
      </w:r>
      <w:proofErr w:type="spellStart"/>
      <w:r w:rsidRPr="005856CB">
        <w:t>Agencijine</w:t>
      </w:r>
      <w:proofErr w:type="spellEnd"/>
      <w:r w:rsidRPr="005856CB">
        <w:t xml:space="preserve"> logističke infrastrukture i komunikacija u području IKT-a; potiče Agenciju da nastavi istraživati načine za razmjenu najboljih praksi i mogućnosti, u okviru svojeg novog mandata, kako bi dijelila resurse i dodatno razvijala sinergiju s drugim agencijama u područjima od zajedničkog interesa u cilju poboljšanja učinkovitosti;</w:t>
      </w:r>
    </w:p>
    <w:p w:rsidR="0065666E" w:rsidRPr="005856CB" w:rsidRDefault="0065666E" w:rsidP="0065666E">
      <w:pPr>
        <w:pStyle w:val="NormalHanging12a"/>
      </w:pPr>
      <w:r w:rsidRPr="005856CB">
        <w:t>10.</w:t>
      </w:r>
      <w:r w:rsidRPr="005856CB">
        <w:tab/>
        <w:t xml:space="preserve">pozdravlja mjere koje je Agencija poduzela 2022. kako bi povećala učinkovitost i pojednostavnjenje, kao što su smanjenje </w:t>
      </w:r>
      <w:proofErr w:type="spellStart"/>
      <w:r w:rsidRPr="005856CB">
        <w:t>postupovnih</w:t>
      </w:r>
      <w:proofErr w:type="spellEnd"/>
      <w:r w:rsidRPr="005856CB">
        <w:t xml:space="preserve"> koraka, automatizacija ponavljajućih zadaća i uvođenje organizacijskog modela za pružanje horizontalnih usluga kojim se administrativno stručno znanje približava mjestu primjene putem prisutnosti na daljinu, na licu mjesta ili hibridne prisutnosti, čime se ostvaruju koristi od operacija zemalja u područjima kao što su financijsko pokretanje transakcija, </w:t>
      </w:r>
      <w:r w:rsidRPr="005856CB">
        <w:lastRenderedPageBreak/>
        <w:t xml:space="preserve">informacijska i komunikacijska potpora, pravna potpora i upravljanje objektima; pohvaljuje povećanu učinkovitost Agencije u osiguravanju sigurnosti osoblja u više operacija u zemljama s pomoću istih resursa kao 2021.; nadalje napominje da je Agencija provela nekoliko mjera usmjerenih na poboljšanje učinkovitosti u područjima </w:t>
      </w:r>
      <w:proofErr w:type="spellStart"/>
      <w:r w:rsidRPr="005856CB">
        <w:t>kibernetičke</w:t>
      </w:r>
      <w:proofErr w:type="spellEnd"/>
      <w:r w:rsidRPr="005856CB">
        <w:t xml:space="preserve"> sigurnosti (npr. automatiziranim radnim postupkom odgovora na incidente), javne nabave (imenovanjem kontaktnih točaka za robu i usluge koje se najčešće kupuju kako bi se poboljšala kvaliteta i pravodobnost postupaka i pružila potpora od ranih faza javne nabave), informacijske i komunikacijske tehnologije (pružanjem korisnicima jedinstvene referentne točke o statusu njihovih zahtjeva) i ljudskih resursa (otvaranjem prvih modula SYSPER-a o identitetu, organizaciji, skrbniku, osobnim podacima i upravljanju vremenom, među ostalim, kao i sustava izdavanja karata za ljudske resurse za usluge podrške koje se pružaju cjelokupnom osoblju Agencije); poziva Agenciju da u potpunosti primijeni Komisijin alat za upravljanje javnom nabavom; prima na znanje, iz konsolidiranog izvješća o radu Agencije za 2022. (dalje u tekstu „konsolidirano godišnje izvješće o radu za 2022.”) ponovno povećanje udjela sredstava dodijeljenih za operativne aktivnosti Agencije u iznosu od 79,13 % u 2022. (u usporedbi sa 72,14 % u 2021. i 68,68 % u 2020.);</w:t>
      </w:r>
    </w:p>
    <w:p w:rsidR="0065666E" w:rsidRPr="005856CB" w:rsidRDefault="0065666E" w:rsidP="0065666E">
      <w:pPr>
        <w:pStyle w:val="NormalHanging12a"/>
      </w:pPr>
      <w:r w:rsidRPr="005856CB">
        <w:t>11.</w:t>
      </w:r>
      <w:r w:rsidRPr="005856CB">
        <w:tab/>
        <w:t>sa žaljenjem prima na znanje opažanje iz izvješća Revizorskog suda da Agencija ne pripada onim agencijama koje su izradile poslovne planove za povećanje energetske učinkovitosti i klimatske neutralnosti svojeg poslovanja, uključile neki oblik izvješćivanja o okolišu u svoja godišnja izvješća o radu i primile registraciju u sustavu EMAS; međutim, na temelju odgovora Agencije na pisana pitanja Parlamenta, ističe da je Agencija 2022. pokrenula prvu fazu pripreme za osmišljavanje i provedbu sustava upravljanja okolišem te poduzela pripremna djelovanja za njegove sljedeće faze; potiče Agenciju da nastavi sudjelovati u aktivnostima izgradnje kapaciteta i da surađuje s drugim agencijama i institucijama Unije kako bi se ubrzao postupak certifikacije EMAS-a Agencije; ističe da Agencija u tehničke specifikacije ili kriterije za dodjelu, npr. za ugovore u vezi s nekretninama, usluge kantine, usluge čišćenja, među ostalim, uključuje aspekte okoliša; poziva Agenciju da razmotri mogućnost izrade svoje politike u području zelene javne nabave;</w:t>
      </w:r>
      <w:r w:rsidRPr="005856CB">
        <w:rPr>
          <w:b/>
          <w:i/>
        </w:rPr>
        <w:t> </w:t>
      </w:r>
      <w:r w:rsidRPr="005856CB">
        <w:t>odlučno poziva Agenciju da razmotri uvođenje prijelaznih održivih i energetski učinkovitih rješenja i za svoju infrastrukturu i za unutarnje procese, kao što su povećana upotreba digitalnih alata i upravljanje dokumentima;</w:t>
      </w:r>
    </w:p>
    <w:p w:rsidR="0065666E" w:rsidRPr="005856CB" w:rsidRDefault="0065666E" w:rsidP="0065666E">
      <w:pPr>
        <w:spacing w:after="240"/>
        <w:ind w:left="567" w:hanging="567"/>
        <w:rPr>
          <w:b/>
          <w:i/>
          <w:szCs w:val="24"/>
        </w:rPr>
      </w:pPr>
      <w:r w:rsidRPr="005856CB">
        <w:rPr>
          <w:b/>
          <w:i/>
        </w:rPr>
        <w:t>Kadrovska politika</w:t>
      </w:r>
    </w:p>
    <w:p w:rsidR="0065666E" w:rsidRPr="005856CB" w:rsidRDefault="0065666E" w:rsidP="0065666E">
      <w:pPr>
        <w:pStyle w:val="NormalHanging12a"/>
      </w:pPr>
      <w:r w:rsidRPr="005856CB">
        <w:t>12.</w:t>
      </w:r>
      <w:r w:rsidRPr="005856CB">
        <w:tab/>
        <w:t>prima na znanje rodnu raspodjelu u Agenciji s 9 muškaraca (69 %) i 4 žene (31 %) u višem i srednjem rukovodstvu (ista raspodjela kao i 2021.), pri čemu je u njezinu upravnom odboru 27 muškaraca (48 %) i 29 žena (52 %) (poboljšana raspodjela u odnosu na 2021.), dok su među ukupnim osobljem 203 muškarca (39 %) i 316 žena (61 %) (ista raspodjela kao i 2021.); podsjeća na važnost osiguravanja rodne ravnoteže i poziva Agenciju da taj aspekt uzme u obzir kad je riječ o budućem zapošljavanju novog osoblja i imenovanjima na položaje višeg i srednjeg rukovodstva; sa zadovoljstvom prima na znanje predanost Agencije da u svoju predstojeću strategiju za ljudske resurse uključi mjere kojima će se dati prednost promicanju rodne zastupljenosti i raznolikosti u Agenciji te promicati programi razvoja vodstva prilagođeni budućim rukovoditeljima; traži Agenciju da tijelo nadležno za davanje razrješnice obavještava o provedbi te obveze;</w:t>
      </w:r>
    </w:p>
    <w:p w:rsidR="0065666E" w:rsidRPr="005856CB" w:rsidRDefault="0065666E" w:rsidP="0065666E">
      <w:pPr>
        <w:pStyle w:val="NormalHanging12a"/>
        <w:rPr>
          <w:szCs w:val="24"/>
        </w:rPr>
      </w:pPr>
      <w:r w:rsidRPr="005856CB">
        <w:t>13.</w:t>
      </w:r>
      <w:r w:rsidRPr="005856CB">
        <w:tab/>
        <w:t xml:space="preserve">konstatira da je plan radnih mjesta 31. prosinca 2022. bio izvršen u mjeri od 90 % </w:t>
      </w:r>
      <w:r w:rsidRPr="005856CB">
        <w:lastRenderedPageBreak/>
        <w:t>(2021. je ta mjera iznosila 87 %), odnosno da je od 371 odobrenog radnog mjesta privremenih djelatnika u okviru proračuna Unije bilo popunjeno 333 radnih mjesta (u odnosu na 366 odobrena radna mjesta 2021.); pozdravlja ponovno povećanje stope popunjenosti Agencije; žali zbog povećanja stope fluktuacije Agencije s 4,1 % u 2021. na 8,2 % u 2022.; nadalje, konstatira da su 2022. za Agenciju radila 184 ugovorna djelatnika i 10 upućenih nacionalnih stručnjaka; ističe da je u kontekstu rata u Ukrajini i provedbe Direktive o privremenoj zaštiti Komisija Agenciji odobrila 90 kratkoročnih radnih mjesta za članove ugovornog osoblja na razdoblje od dvije godine; primjećuje da je Agencija 2022. objavila 29 slobodnih radnih mjesta i 138 ponuda za zapošljavanje za privremeno i ugovorno osoblje;</w:t>
      </w:r>
    </w:p>
    <w:p w:rsidR="0065666E" w:rsidRPr="005856CB" w:rsidRDefault="0065666E" w:rsidP="0065666E">
      <w:pPr>
        <w:pStyle w:val="NormalHanging12a"/>
      </w:pPr>
      <w:r w:rsidRPr="005856CB">
        <w:t>14.</w:t>
      </w:r>
      <w:r w:rsidRPr="005856CB">
        <w:tab/>
        <w:t xml:space="preserve">pozdravlja politiku Agencije u vezi sa zaštitom dostojanstva osobe i sprečavanjem psihološkog i seksualnog uznemiravanja, provedbu pravila Komisije o provođenju administrativnih istraga i disciplinskih postupaka te interne smjernice o zahtjevima za pomoć u skladu s člankom 24. Pravilnika o osoblju Unije; prima na znanje iz odgovora Agencije na pisana pitanja Parlamenta da je Agencija 2022. zaprimila tri slučaja uznemiravanja, od kojih su dva odbačena jer nisu postojali dokazi </w:t>
      </w:r>
      <w:r w:rsidRPr="005856CB">
        <w:rPr>
          <w:i/>
        </w:rPr>
        <w:t xml:space="preserve">prima </w:t>
      </w:r>
      <w:proofErr w:type="spellStart"/>
      <w:r w:rsidRPr="005856CB">
        <w:rPr>
          <w:i/>
        </w:rPr>
        <w:t>facie</w:t>
      </w:r>
      <w:proofErr w:type="spellEnd"/>
      <w:r w:rsidRPr="005856CB">
        <w:t xml:space="preserve"> o uznemiravanju te su zaključeni bez daljnjih mjera, dok je u trećem slučaju pokrenuta administrativna istraga; poziva Agenciju da o ishodu te istrage obavijesti tijelo nadležno za davanje razrješnice; sa zadovoljstvom prima na znanje da je Agencija, nakon preporuke Službe Komisije za unutarnju reviziju, u travnju 2023. donijela smjernice o administrativnim istragama i disciplinskim postupcima; naglašava važnost uspostave čvrstih okvira protiv uznemiravanja, posebno u vrlo stresnim i zahtjevnim radnim okruženjima; poziva Agenciju da uvede program osposobljavanja o toj problematici i za novozaposlene i za postojeće zaposlenike;</w:t>
      </w:r>
    </w:p>
    <w:p w:rsidR="0065666E" w:rsidRPr="005856CB" w:rsidRDefault="0065666E" w:rsidP="0065666E">
      <w:pPr>
        <w:pStyle w:val="NormalHanging12a"/>
      </w:pPr>
      <w:r w:rsidRPr="005856CB">
        <w:t>15.</w:t>
      </w:r>
      <w:r w:rsidRPr="005856CB">
        <w:tab/>
        <w:t>prima na znanje, iz mjera koje je Agencija poduzela na temelju horizontalnih primjedbi Parlamenta u vezi s postupkom davanja razrješnice za 2021., kao i iz izvješća Agencije o daljnjem mjerama, da se Agencija posljednjih godina (od 2019.) koristila uslugama vanjskog odvjetničkog društva (specijaliziranog za pravo Unije o javnoj službi) za rješavanje slučajeva navodnog uznemiravanja (tj. zahtjeva za pomoć u skladu s člankom 24. Pravilnika o osoblju unije); u tom kontekstu primjećuje da Odjel za pravne usluge Agencije provodi procjenu kako bi utvrdio postoji li potreba za traženjem potpore ili savjeta od vanjskog odvjetničkog društva te da taj odjel upravlja relevantnim postupkom i surađuje s Odjelom za ljudske resurse Agencije u svim tim slučajevima;</w:t>
      </w:r>
    </w:p>
    <w:p w:rsidR="0065666E" w:rsidRPr="005856CB" w:rsidRDefault="0065666E" w:rsidP="0065666E">
      <w:pPr>
        <w:pStyle w:val="NormalHanging12a"/>
      </w:pPr>
      <w:r w:rsidRPr="005856CB">
        <w:t>16.</w:t>
      </w:r>
      <w:r w:rsidRPr="005856CB">
        <w:tab/>
        <w:t xml:space="preserve">podsjeća na zaključak Revizorskog suda da je Agencija 2020. imala 16 slobodnih rukovodećih radnih mjesta, od kojih su na 10 na više od godinu dana bili zaposleni vršitelji dužnosti, kao i na druga pitanja kao što su vršitelji dužnosti rukovoditelja na dva radna mjesta u planu radnih mjesta Agencije; sa zadovoljstvom prima na znanje, iz izvješća Agencije o daljnjem postupanju, da je Agencija provela mjere ublažavanja kako bi bila u skladu s člankom 7. stavkom 2. Pravilnika o osoblju unije, prvo smanjenjem broja privremenih radnih mjesta na rukovodećim radnim mjestima koja su na kraju 2022. trajala dulje od jedne do dvije godine i, od 2023., njihovim potpunim ukidanjem, budući da nijedan član osoblja više nije na privremenom rukovodećem mjestu dulje od jedne godine; pozdravlja predanost Agencije davanju prednosti zapošljavanju osoblja na rukovodećim radnim mjestima; pohvaljuje Agenciju za napredak postignut 2022. i 2023. u pogledu postupaka zapošljavanja na različitim srednjim i višim rukovodećim položajima, uključujući položaj zamjenika izvršnog direktora, budući da su, prema izvješću Agencije o daljnjim mjerama, dovršena dva postupka odabira, dok je devet postupaka odabira u tijeku ili nije dovršeno; naposljetku, </w:t>
      </w:r>
      <w:r w:rsidRPr="005856CB">
        <w:lastRenderedPageBreak/>
        <w:t>primjećuje na internetskim stranicama Agencije da je na dan 15. siječnja 2024. voditelj Administrativnog centra Agencije bio na privremenom radnom mjestu, dok je voditelj Centra za institucionalna i horizontalna pitanja Agencije bio u funkciji vršitelja dužnosti; napominje da je u tijeku postupak odabira voditelja Administrativnog centra za koji se očekuje da će biti dovršen u prvom tromjesečju 2024.; također napominje da je u tijeku postupak odabira voditelja Centra za institucionalna i horizontalna pitanja za koji se očekuje da će biti dovršen u prvom tromjesečju 2024.; poziva Agenciju da o ishodu tih postupaka obavijesti tijelo nadležno za davanje razrješnice;</w:t>
      </w:r>
    </w:p>
    <w:p w:rsidR="0065666E" w:rsidRPr="005856CB" w:rsidRDefault="0065666E" w:rsidP="0065666E">
      <w:pPr>
        <w:pStyle w:val="NormalHanging12a"/>
        <w:rPr>
          <w:szCs w:val="24"/>
        </w:rPr>
      </w:pPr>
      <w:r w:rsidRPr="005856CB">
        <w:t>17.</w:t>
      </w:r>
      <w:r w:rsidRPr="005856CB">
        <w:tab/>
        <w:t>ističe da su mjere ublažavanja koje je Agencija poduzela kako bi bila u skladu s člankom 7. stavkom 2. Pravilnika o osoblju unije, misija za utvrđivanje činjenica koju je Služba za unutarnju reviziju provela u listopadu 2022., terenski rad Revizorskog suda na reviziji za financijsku godinu 2022., relevantne primjedbe Parlamenta upućene Agenciji u rezoluciji Parlamenta o razrješnici za 2021., kao i istraga koju je 24. studenoga 2022. pokrenuo Europski ured za borbu protiv prijevara (OLAF) (i koja je u tijeku) također proizašli iz anonimne e-poruke koja je sadržavala brojne navode o, među ostalim, nepravilnostima povezanima s osobljem koje je uzrokovao cijeli tim višeg rukovodstva Agencije; poziva Agenciju na punu suradnju s OLAF-om u istrazi koja je u tijeku; prima na znanje, iz konsolidiranog godišnjeg izvješća o radu za 2022., zaključke Revizorskog suda da je izračun naknada za određivanje razreda privremeno popunjenih rukovodećih radnih mjesta bio zakonit i pravilan, dok privremena popunjenost radnih mjesta na dulje od jedne godine nije bila usklađena, ali nije dovela do nepravilnih plaćanja; poziva Agenciju da tijelo nadležno za davanje razrješnice obavještava o napretku i fazama te istrage;</w:t>
      </w:r>
    </w:p>
    <w:p w:rsidR="0065666E" w:rsidRPr="005856CB" w:rsidRDefault="0065666E" w:rsidP="0065666E">
      <w:pPr>
        <w:pStyle w:val="NormalHanging12a"/>
      </w:pPr>
      <w:r w:rsidRPr="005856CB">
        <w:t>18.</w:t>
      </w:r>
      <w:r w:rsidRPr="005856CB">
        <w:tab/>
        <w:t>zabrinut je zbog unutarnjeg upravljanja i postupaka Agencije s obzirom na to da je OLAF 2022. pokrenuo istragu o politici upravljanja i kadrovskoj politici, na temelju navoda o nepotizmu, kao i istragu povezanu s nepoštovanjem ljudskih prava; ponavlja svoj poziv Agenciji da u potpunosti surađuje s istražnim tijelom i da pravodobno obavijesti tijelo nadležno za davanje razrješnice o ishodu i korektivnim mjerama;</w:t>
      </w:r>
    </w:p>
    <w:p w:rsidR="0065666E" w:rsidRPr="005856CB" w:rsidRDefault="0065666E" w:rsidP="0065666E">
      <w:pPr>
        <w:spacing w:after="240"/>
        <w:ind w:left="567" w:hanging="567"/>
      </w:pPr>
      <w:r w:rsidRPr="005856CB">
        <w:t>19.</w:t>
      </w:r>
      <w:r w:rsidRPr="005856CB">
        <w:tab/>
        <w:t xml:space="preserve">podsjeća da je OLAF 2018. zaključio još jednu istragu koja je dovela do nalaza povezanih s, primjerice, lošim upravljanjem ljudskim resursima, ostavkom tadašnjeg izvršnog direktora Agencije i donošenjem akcijskog plana upravljanja u upravnom odboru Agencije čiji je cilj ponovna uspostava povjerenja na unutarnjoj i vanjskoj razini, jačanje upravljačke strukture i ponovna izgradnja unutarnjih kapaciteta; primjećuje da je Revizorski sud u svojem godišnjem izvješću zaključio i ocijenio riješenim opažanje u pogledu velikog broja nepopunjenih rukovodećih radnih mjesta, kao i pitanja povezana s neizvjesnošću na razini rukovodećih radnih mjesta, što je moglo ugroziti vođenje Agencije i njezin strateški kontinuitet; potvrđuje da u skladu s člankom 41. stavkom 1. točkom (t) Uredbe o Agenciji EU-u za azil Upravni odbor donosi sve odluke o uspostavi unutarnjih struktura Agencije, dok Komisija kao članica Upravnog odbora Agencije redovito nadzire reorganizaciju Agencije; međutim, primjećuje da, unatoč reorganizaciji Agencije posljednjih godina, još uvijek postoje problemi, o čemu svjedoči i anonimno pismo iz siječnja 2023.; prima na znanje zaključke Revizorskog suda za financijsku godinu 2022. na temelju korektivnih mjera koje je poduzela Agencija; u tom kontekstu poziva Komisiju da pronađe rješenja za provedbu neovisne procjene nedavnih reorganizacija Agencije i očekuje da će revizija o upravljanju kadrovskim pitanjima koju trenutačno provodi služba za unutarnju reviziju rezultirati relevantnom evaluacijom u vezi s time u kojoj su mjeri, među ostalim, trenutačni organigram Agencije i raspodjela odgovornosti među srednjim i višim </w:t>
      </w:r>
      <w:r w:rsidRPr="005856CB">
        <w:lastRenderedPageBreak/>
        <w:t>rukovodećim položajima Agencije izloženi rizicima od neučinkovitosti, lošeg upravljanja ljudskim resursima i nedostatka transparentnosti (uključujući prema upravnom odboru Agencije);</w:t>
      </w:r>
    </w:p>
    <w:p w:rsidR="0065666E" w:rsidRPr="005856CB" w:rsidRDefault="0065666E" w:rsidP="0065666E">
      <w:pPr>
        <w:pStyle w:val="NormalHanging12a"/>
        <w:rPr>
          <w:szCs w:val="24"/>
        </w:rPr>
      </w:pPr>
      <w:r w:rsidRPr="005856CB">
        <w:t>20.</w:t>
      </w:r>
      <w:r w:rsidRPr="005856CB">
        <w:tab/>
        <w:t xml:space="preserve">sa zabrinutošću primjećuje da Agencija nije donijela „Povelju o raznolikosti i </w:t>
      </w:r>
      <w:proofErr w:type="spellStart"/>
      <w:r w:rsidRPr="005856CB">
        <w:t>inkluziji</w:t>
      </w:r>
      <w:proofErr w:type="spellEnd"/>
      <w:r w:rsidRPr="005856CB">
        <w:t>” niti je izvijestila o mjerama poduzetima za integraciju osoba s invaliditetom; podsjeća da se Poveljom Unije o temeljnim pravima zabranjuje diskriminacija na temelju invaliditeta i priznaje pravo osoba s invaliditetom na mjere kojima se osigurava njihova neovisnost, društvena i profesionalna uključenost te njihovo sudjelovanje u životu zajednice; međutim, prima na znanje predanost Agencije rješavanju tih područja mjerama koje će se provesti nakon donošenja predstojeće strategije za ljudske resurse; također primjećuje da je Agencija poduzela inicijative i uvela razne mjere kako bi poboljšala dobrobit svojeg osoblja na radnom mjestu i ravnotežu između poslovnog i privatnog života, kao što su ciljani tečajevi osposobljavanja, sporazumi o razini usluga s pružateljima usluga skrbi o djeci i školama, služba za psihološku i socijalnu potporu, kampanje za podizanje razine osviještenosti te aktivnosti u slobodnom vremenu;</w:t>
      </w:r>
    </w:p>
    <w:p w:rsidR="0065666E" w:rsidRPr="005856CB" w:rsidRDefault="0065666E" w:rsidP="0065666E">
      <w:pPr>
        <w:pStyle w:val="NormalHanging12a"/>
        <w:rPr>
          <w:b/>
          <w:i/>
          <w:szCs w:val="24"/>
        </w:rPr>
      </w:pPr>
      <w:r w:rsidRPr="005856CB">
        <w:rPr>
          <w:b/>
          <w:i/>
        </w:rPr>
        <w:t>Javna nabava</w:t>
      </w:r>
    </w:p>
    <w:p w:rsidR="0065666E" w:rsidRPr="005856CB" w:rsidRDefault="0065666E" w:rsidP="0065666E">
      <w:pPr>
        <w:pStyle w:val="NormalHanging12a"/>
        <w:rPr>
          <w:szCs w:val="24"/>
        </w:rPr>
      </w:pPr>
      <w:r w:rsidRPr="005856CB">
        <w:t>21.</w:t>
      </w:r>
      <w:r w:rsidRPr="005856CB">
        <w:tab/>
        <w:t xml:space="preserve">podsjeća na primjedbe Revizorskog suda za financijske godine 2017. i 2020. prema kojima su postupci javne nabave za unajmljene prostorije na </w:t>
      </w:r>
      <w:proofErr w:type="spellStart"/>
      <w:r w:rsidRPr="005856CB">
        <w:t>Lezbosu</w:t>
      </w:r>
      <w:proofErr w:type="spellEnd"/>
      <w:r w:rsidRPr="005856CB">
        <w:t xml:space="preserve"> i Rimu bili nepravilni zbog nedovoljnog tržišnog natjecanja i nepoštovanja načela ekonomičnosti; prima na znanje, iz izvješća Revizorskog suda, da su sva naknadna plaćanja izvršena u vezi s tim postupcima nepravilna, uključujući povezana plaćanja u iznosu od 281 095 EUR izvršena 2022.; sa zadovoljstvom prima na znanje, iz izvješća Revizorskog suda, korektivne mjere koje je Agencija poduzela, pri čemu je ugovor o najmu prostora na </w:t>
      </w:r>
      <w:proofErr w:type="spellStart"/>
      <w:r w:rsidRPr="005856CB">
        <w:t>Lezbosu</w:t>
      </w:r>
      <w:proofErr w:type="spellEnd"/>
      <w:r w:rsidRPr="005856CB">
        <w:t xml:space="preserve"> istekao 30. travnja 2023., a onaj o najmu prostora u Rimu 31. srpnja 2023.; prima na znanje, iz konsolidiranog godišnjeg izvješća o radu za 2022., da se u suradnji s grčkim vlastima traži održivo rješenje za najam na </w:t>
      </w:r>
      <w:proofErr w:type="spellStart"/>
      <w:r w:rsidRPr="005856CB">
        <w:t>Lezbosu</w:t>
      </w:r>
      <w:proofErr w:type="spellEnd"/>
      <w:r w:rsidRPr="005856CB">
        <w:t>;</w:t>
      </w:r>
    </w:p>
    <w:p w:rsidR="0065666E" w:rsidRPr="005856CB" w:rsidRDefault="0065666E" w:rsidP="0065666E">
      <w:pPr>
        <w:pStyle w:val="NormalHanging12a"/>
        <w:rPr>
          <w:szCs w:val="24"/>
        </w:rPr>
      </w:pPr>
      <w:r w:rsidRPr="005856CB">
        <w:t>22.</w:t>
      </w:r>
      <w:r w:rsidRPr="005856CB">
        <w:tab/>
        <w:t>prima na znanje primjedbu iz izvješća Revizorskog suda da je Agencija kupila informatičku opremu iz internetskog kataloga pružatelja usluga umjesto s prethodno odobrenog troškovnika priloženog financijskoj i tehničkoj ponudi, što je dovelo do toga da je kupovna cijena bila 44 % (što odgovara iznosu od 49 224 EUR koji Revizorski sud smatra nepravilnim) veća nego što bi bila da se temeljila na prethodno odobrenom troškovniku; prima na znanje, iz odgovora Agencije, da je odluka o kupnji te opreme bila određena operativnim potrebama i hitnošću te ograničenom dostupnošću informatičke opreme na tržištu te da su definirane odgovarajuće kontrole kako bi se pružilo razumno jamstvo da će kupnja zamjenskih proizvoda iz internetskog kataloga biti ograničena na cijenu za odgovarajuću stavku kako je navedeno u prvotnoj ponudi ugovaratelja;</w:t>
      </w:r>
    </w:p>
    <w:p w:rsidR="0065666E" w:rsidRPr="005856CB" w:rsidRDefault="0065666E" w:rsidP="0065666E">
      <w:pPr>
        <w:spacing w:after="240"/>
        <w:ind w:left="567" w:hanging="567"/>
        <w:rPr>
          <w:szCs w:val="24"/>
        </w:rPr>
      </w:pPr>
      <w:r w:rsidRPr="005856CB">
        <w:rPr>
          <w:b/>
          <w:i/>
        </w:rPr>
        <w:t>Sprečavanje i postupanje u slučaju sukoba interesa te transparentnost</w:t>
      </w:r>
    </w:p>
    <w:p w:rsidR="0065666E" w:rsidRPr="005856CB" w:rsidRDefault="0065666E" w:rsidP="0065666E">
      <w:pPr>
        <w:pStyle w:val="NormalHanging12a"/>
        <w:rPr>
          <w:szCs w:val="24"/>
        </w:rPr>
      </w:pPr>
      <w:r w:rsidRPr="005856CB">
        <w:t>23.</w:t>
      </w:r>
      <w:r w:rsidRPr="005856CB">
        <w:tab/>
        <w:t xml:space="preserve">pohvaljuje napredak koji je Agencija ostvarila 2022. u području upravljanja sukobima interesa i njihova sprečavanja te etičke smjernice pripremnim radom koji je doveo do donošenja jedne odluke u siječnju 2023. koja se primjenjuje na članove upravnog odbora Agencije, kao i na organizacije i nadležna tijela koji su članovi savjetodavnog foruma Agencije te dvije odluke koje se primjenjuju na osoblje Agencije; pozdravlja imenovanje koordinatora za etiku u Agenciji, kao i predanost Agencije da u pozive na sastanke koji uključuju vanjske sudionike uključi standardni tekst s izjavama o sukobu </w:t>
      </w:r>
      <w:r w:rsidRPr="005856CB">
        <w:lastRenderedPageBreak/>
        <w:t>interesa; sa zadovoljstvom primjećuje da je Agencija izradila smjernice o pravilima i postupcima nakon prestanka radnog odnosa koji se primjenjuju na osoblje koje napušta Agenciju;</w:t>
      </w:r>
    </w:p>
    <w:p w:rsidR="0065666E" w:rsidRPr="005856CB" w:rsidRDefault="0065666E" w:rsidP="0065666E">
      <w:pPr>
        <w:pStyle w:val="NormalHanging12a"/>
        <w:rPr>
          <w:szCs w:val="24"/>
        </w:rPr>
      </w:pPr>
      <w:r w:rsidRPr="005856CB">
        <w:t>24.</w:t>
      </w:r>
      <w:r w:rsidRPr="005856CB">
        <w:tab/>
        <w:t xml:space="preserve">prima na znanje da su izjave o financijskim interesima i životopisi članova upravnog odbora objavljeni na internetskim stranicama Agencije, kao i izjave o financijskim interesima i životopisi rukovodećeg osoblja Agencije; primjećuje, međutim, da životopisi internih i vanjskih stručnjaka nisu dostupni na internetskim stranicama Agencije; prima na znanje, iz odgovora Agencije na pisana pitanja Parlamenta, da 2022. nije bilo otvorenih, zaključenih ili tekućih slučajeva sukoba interesa ili prijavljenih nepravilnosti na razini Agencije; pohvaljuje Agenciju za održavanje bliskog dijaloga s relevantnim organizacijama civilnog društva koje djeluju u području azila putem savjetodavnog foruma Agencije, koji je rekonstituiran u lipnju 2022. (i broji 116 članova) s novim skupom pravila koja proizlaze iz </w:t>
      </w:r>
      <w:r w:rsidRPr="005856CB">
        <w:rPr>
          <w:color w:val="000000" w:themeColor="text1"/>
        </w:rPr>
        <w:t>Uredbe (EU) 2021/2303;</w:t>
      </w:r>
    </w:p>
    <w:p w:rsidR="0065666E" w:rsidRPr="005856CB" w:rsidRDefault="0065666E" w:rsidP="0065666E">
      <w:pPr>
        <w:spacing w:after="240"/>
        <w:ind w:left="567" w:hanging="567"/>
        <w:rPr>
          <w:b/>
          <w:i/>
          <w:szCs w:val="24"/>
        </w:rPr>
      </w:pPr>
      <w:r w:rsidRPr="005856CB">
        <w:rPr>
          <w:b/>
          <w:i/>
        </w:rPr>
        <w:t>Unutarnja kontrola</w:t>
      </w:r>
    </w:p>
    <w:p w:rsidR="0065666E" w:rsidRPr="005856CB" w:rsidRDefault="0065666E" w:rsidP="0065666E">
      <w:pPr>
        <w:pStyle w:val="NormalHanging12a"/>
        <w:rPr>
          <w:szCs w:val="24"/>
        </w:rPr>
      </w:pPr>
      <w:r w:rsidRPr="005856CB">
        <w:t>25.</w:t>
      </w:r>
      <w:r w:rsidRPr="005856CB">
        <w:tab/>
        <w:t>prima na znanje primjedbu iz izvješća Revizorskog suda da su tri slučaja daljnjeg delegiranja koja su zahtijevala ponovnu potvrdu u travnju 2021. ponovno potvrđena tek u veljači 2022., kada je stanje ispravljeno, zbog čega je Agencija prekršila svoja interna pravila prema kojima daljnje delegiranje financijskih ovlasti treba obnoviti čim se imenuje novi dužnosnik za ovjeravanje na osnovi delegiranja;</w:t>
      </w:r>
    </w:p>
    <w:p w:rsidR="0065666E" w:rsidRPr="005856CB" w:rsidRDefault="0065666E" w:rsidP="0065666E">
      <w:pPr>
        <w:pStyle w:val="NormalHanging12a"/>
        <w:rPr>
          <w:szCs w:val="24"/>
        </w:rPr>
      </w:pPr>
      <w:r w:rsidRPr="005856CB">
        <w:t>26.</w:t>
      </w:r>
      <w:r w:rsidRPr="005856CB">
        <w:tab/>
        <w:t>pozdravlja napredak koji je Agencija ostvarila u rješavanju preporuka koje su ostale otvorene iz prethodnih revizija koje su proveli Služba za unutarnju reviziju i Revizorski sud; prima na znanje, iz konsolidiranog godišnjeg izvješća o radu za 2022., da su neke preporuke povezane s revizijom Službe za unutarnju reviziju iz 2020. („Upravljanje ljudskim resursima i etika u EASO-u”) i 2021. („upravljanje IT-</w:t>
      </w:r>
      <w:proofErr w:type="spellStart"/>
      <w:r w:rsidRPr="005856CB">
        <w:t>jem</w:t>
      </w:r>
      <w:proofErr w:type="spellEnd"/>
      <w:r w:rsidRPr="005856CB">
        <w:t xml:space="preserve"> i upravljanje IT projektima”) još uvijek u tijeku ili da znatno kasne; također prima na znanje, iz izvješća Revizorskog suda, da su još uvijek otvorene tri preporuke iz prethodnih revizija koje je Revizorski sud proveo: dvije preporuke u pogledu ugovora o najmu prostora na </w:t>
      </w:r>
      <w:proofErr w:type="spellStart"/>
      <w:r w:rsidRPr="005856CB">
        <w:t>Lezbosu</w:t>
      </w:r>
      <w:proofErr w:type="spellEnd"/>
      <w:r w:rsidRPr="005856CB">
        <w:t xml:space="preserve"> i u Rimu za koje Agencija očekuje da će ih Revizorski sud 2024. smatrati zaključenima nakon što su 2023. izvršena posljednja povezana (nepravilna) plaćanja i jedna preporuka u pogledu uspostave učinkovitih financijskih ex post kontrola od strane Agencije; u tom kontekstu poziva Agenciju da ubrza provedbu preostalih korektivnih mjera i obavještava tijelo nadležno za davanje razrješnice o napretku postignutom u tom pogledu;</w:t>
      </w:r>
    </w:p>
    <w:p w:rsidR="0065666E" w:rsidRPr="005856CB" w:rsidRDefault="0065666E" w:rsidP="0065666E">
      <w:pPr>
        <w:pStyle w:val="NormalHanging12a"/>
        <w:rPr>
          <w:szCs w:val="24"/>
        </w:rPr>
      </w:pPr>
      <w:r w:rsidRPr="005856CB">
        <w:t>27.</w:t>
      </w:r>
      <w:r w:rsidRPr="005856CB">
        <w:tab/>
        <w:t xml:space="preserve">prima na znanje da je Agencija provela </w:t>
      </w:r>
      <w:proofErr w:type="spellStart"/>
      <w:r w:rsidRPr="005856CB">
        <w:t>samoprocjenu</w:t>
      </w:r>
      <w:proofErr w:type="spellEnd"/>
      <w:r w:rsidRPr="005856CB">
        <w:t xml:space="preserve"> svojeg sustava unutarnje kontrole za 2022., zaključivši da postojeće kontrole općenito funkcioniraju kako je predviđeno, pri čemu je deset načela potpuno učinkovito, a sedam načela učinkovito, te da su potrebna određena poboljšanja na razini sastavnica „kontrolno okruženje”, „aktivnosti kontrole” i „aktivnosti praćenja”; nadalje ističe da je 2022. provedena strategija utemeljena na riziku za financijske ex post kontrole na temelju uzorkovanih transakcija i operacija javne nabave koje obuhvaćaju dvije financijske godine (2020. – 2021.); primjećuje, iz konsolidiranog godišnjeg izvješća o radu za 2022., da su rezultati tih kontrola uključivali 44 primjedbe i 122 predložene korektivne mjere; napominje da je Agencija u okviru procjene sustava unutarnje kontrole za 2022. tijekom prvog tromjesečja 2023. provela kontrole trenutačnog stanja provedbe tih 122 (unaprijed dogovorenih) korektivnih mjera, od kojih su relevantni vlasnici poduzeća pravodobno proveli samo 45 korektivnih mjera (40 %); poziva Agenciju da se pozabavim svim </w:t>
      </w:r>
      <w:r w:rsidRPr="005856CB">
        <w:lastRenderedPageBreak/>
        <w:t xml:space="preserve">preostalim korektivnim mjerama koje su još otvorene i da o napretku u vezi s time obavještava tijelo nadležno za davanje razrješnice; sa zadovoljstvom primjećuje da Agencija transparentno (Prilog IX. konsolidiranom godišnjem izvješću o radu za 2022.,) iznosi pojedinosti i stanje u vezi s utvrđenim nedostacima i dogovorenim korektivnim mjerama koje proizlaze iz različitih izvora (upravljanje iznimkama i nesukladnostima, kriteriji za praćenje unutarnje kontrole, </w:t>
      </w:r>
      <w:proofErr w:type="spellStart"/>
      <w:r w:rsidRPr="005856CB">
        <w:t>samoprocjene</w:t>
      </w:r>
      <w:proofErr w:type="spellEnd"/>
      <w:r w:rsidRPr="005856CB">
        <w:t xml:space="preserve"> sustava unutarnje kontrole, financijske ex </w:t>
      </w:r>
      <w:proofErr w:type="spellStart"/>
      <w:r w:rsidRPr="005856CB">
        <w:t>ante</w:t>
      </w:r>
      <w:proofErr w:type="spellEnd"/>
      <w:r w:rsidRPr="005856CB">
        <w:t xml:space="preserve"> i ex post kontrole, revizijska izvješća, upravljanje rizicima itd.);</w:t>
      </w:r>
    </w:p>
    <w:p w:rsidR="0065666E" w:rsidRPr="005856CB" w:rsidRDefault="0065666E" w:rsidP="0065666E">
      <w:pPr>
        <w:pStyle w:val="NormalHanging12a"/>
        <w:rPr>
          <w:szCs w:val="24"/>
        </w:rPr>
      </w:pPr>
      <w:r w:rsidRPr="005856CB">
        <w:t>28.</w:t>
      </w:r>
      <w:r w:rsidRPr="005856CB">
        <w:tab/>
        <w:t>podsjeća da je strategija Agencije za borbu protiv prijevara za razdoblje 2020. – 2022. donesena u srpnju 2020. i da je njome utvrđeno 25 prioritetnih mjera koje se prate nizom kontrolnih aktivnosti; sa zadovoljstvom primjećuje da se 93 % kontrolnih aktivnosti povezanih s provedbom te strategije u 2022. smatralo provedenim; pozdravlja napore Agencije u cilju podizanja razine osviještenosti o pitanjima povezanima s borbom protiv prijevara, budući da je 56,7 % statutarnog osoblja Agencije sudjelovalo u osposobljavanju o sprečavanju prijevara i utvrđivanju rizika od prijevara; sa zadovoljstvom prima na znanje da Agencija transparentno (Prilog XII. konsolidiranom godišnjem izvješću o radu za 2022.) iznosi pojedinosti i stanje kontrolnih aktivnosti u pogledu strategije Agencije za borbu protiv prijevara;</w:t>
      </w:r>
    </w:p>
    <w:p w:rsidR="0065666E" w:rsidRPr="005856CB" w:rsidRDefault="0065666E" w:rsidP="0065666E">
      <w:pPr>
        <w:spacing w:after="240"/>
        <w:ind w:left="567" w:hanging="567"/>
        <w:rPr>
          <w:b/>
          <w:i/>
          <w:szCs w:val="24"/>
        </w:rPr>
      </w:pPr>
      <w:r w:rsidRPr="005856CB">
        <w:rPr>
          <w:b/>
          <w:i/>
        </w:rPr>
        <w:t>Ostale primjedbe</w:t>
      </w:r>
    </w:p>
    <w:p w:rsidR="0065666E" w:rsidRPr="005856CB" w:rsidRDefault="0065666E" w:rsidP="0065666E">
      <w:pPr>
        <w:spacing w:after="240"/>
        <w:ind w:left="567" w:hanging="567"/>
        <w:rPr>
          <w:szCs w:val="24"/>
        </w:rPr>
      </w:pPr>
      <w:r w:rsidRPr="005856CB">
        <w:t>29.</w:t>
      </w:r>
      <w:r w:rsidRPr="005856CB">
        <w:tab/>
        <w:t>konstatira da je Agencija provela različite mjere za povećanje svoje javne vidljivosti i prisutnosti na internetu, npr. pokretanjem poboljšane internetske stranice i novim korporativnim vizualnim identitetom, unapređenjem svojeg portfelja društvenih medija s naglaskom na audiovizualnim formatima i primanjem skupina studenata u svoje prostorije;</w:t>
      </w:r>
    </w:p>
    <w:p w:rsidR="0065666E" w:rsidRPr="005856CB" w:rsidRDefault="0065666E" w:rsidP="0065666E">
      <w:pPr>
        <w:pStyle w:val="NormalHanging12a"/>
      </w:pPr>
      <w:r w:rsidRPr="005856CB">
        <w:t>30.</w:t>
      </w:r>
      <w:r w:rsidRPr="005856CB">
        <w:tab/>
        <w:t>podsjeća na ulogu Agencije u pružanju potpore u obradi zahtjeva za međunarodnu zaštitu, kao i u osposobljavanju službenika odgovornih za obradu zahtjeva za azil; navodi da Agencija treba nastavi pružati potporu državama članicama i trećim zemljama u rješavanju zahtjeva za azil i migracije; poziva na to da se proračun usmjeri na daljnje zapošljavanje osoblja, ako je to potrebno za pružanje pomoći državama članicama, kako bi se osiguralo pošteno i pravedno razmatranje zahtjeva za azil radi međunarodne zaštite, posebno na zapošljavanje usmenih prevoditelja i psihologa radi pružanja pomoći podnositeljima zahtjeva koji pripadaju ugroženim skupinama;</w:t>
      </w:r>
    </w:p>
    <w:p w:rsidR="0065666E" w:rsidRPr="005856CB" w:rsidRDefault="0065666E" w:rsidP="0065666E">
      <w:pPr>
        <w:pStyle w:val="NormalCenter12a"/>
      </w:pPr>
      <w:r w:rsidRPr="005856CB">
        <w:t>°</w:t>
      </w:r>
    </w:p>
    <w:p w:rsidR="0065666E" w:rsidRPr="005856CB" w:rsidRDefault="0065666E" w:rsidP="0065666E">
      <w:pPr>
        <w:pStyle w:val="NormalCenter12a"/>
      </w:pPr>
      <w:r w:rsidRPr="005856CB">
        <w:t>°</w:t>
      </w:r>
      <w:r w:rsidRPr="005856CB">
        <w:tab/>
        <w:t>°</w:t>
      </w:r>
    </w:p>
    <w:p w:rsidR="0065666E" w:rsidRPr="005856CB" w:rsidRDefault="0065666E" w:rsidP="005856CB">
      <w:pPr>
        <w:ind w:left="567" w:hanging="567"/>
      </w:pPr>
      <w:r w:rsidRPr="005856CB">
        <w:t>31.</w:t>
      </w:r>
      <w:r w:rsidRPr="005856CB">
        <w:tab/>
        <w:t xml:space="preserve">u vezi s drugim primjedbama koje su priložene Odluci o razrješnici i horizontalne su naravi upućuje na svoju Rezoluciju od </w:t>
      </w:r>
      <w:r w:rsidR="005856CB">
        <w:t>11. travnja 2024.</w:t>
      </w:r>
      <w:r w:rsidRPr="005856CB">
        <w:rPr>
          <w:rStyle w:val="FootnoteReference"/>
        </w:rPr>
        <w:footnoteReference w:id="14"/>
      </w:r>
      <w:r w:rsidRPr="005856CB">
        <w:t xml:space="preserve"> o uspješnosti, financijskom upravljanju i nadzoru agencija.</w:t>
      </w:r>
    </w:p>
    <w:sectPr w:rsidR="0065666E" w:rsidRPr="005856CB" w:rsidSect="0003410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AD7" w:rsidRPr="00034108" w:rsidRDefault="00A35AD7">
      <w:r w:rsidRPr="00034108">
        <w:separator/>
      </w:r>
    </w:p>
  </w:endnote>
  <w:endnote w:type="continuationSeparator" w:id="0">
    <w:p w:rsidR="00A35AD7" w:rsidRPr="00034108" w:rsidRDefault="00A35AD7">
      <w:r w:rsidRPr="000341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66E" w:rsidRPr="00034108" w:rsidRDefault="0065666E" w:rsidP="008D5797">
    <w:pPr>
      <w:pStyle w:val="EPFooter"/>
    </w:pPr>
    <w:r w:rsidRPr="00034108">
      <w:t>PE</w:t>
    </w:r>
    <w:r w:rsidRPr="00034108">
      <w:rPr>
        <w:rStyle w:val="HideTWBExt"/>
      </w:rPr>
      <w:t>&lt;</w:t>
    </w:r>
    <w:proofErr w:type="spellStart"/>
    <w:r w:rsidRPr="00034108">
      <w:rPr>
        <w:rStyle w:val="HideTWBExt"/>
      </w:rPr>
      <w:t>NoPE</w:t>
    </w:r>
    <w:proofErr w:type="spellEnd"/>
    <w:r w:rsidRPr="00034108">
      <w:rPr>
        <w:rStyle w:val="HideTWBExt"/>
      </w:rPr>
      <w:t>&gt;</w:t>
    </w:r>
    <w:r w:rsidRPr="00034108">
      <w:t>753.532</w:t>
    </w:r>
    <w:r w:rsidRPr="00034108">
      <w:rPr>
        <w:rStyle w:val="HideTWBExt"/>
      </w:rPr>
      <w:t>&lt;/</w:t>
    </w:r>
    <w:proofErr w:type="spellStart"/>
    <w:r w:rsidRPr="00034108">
      <w:rPr>
        <w:rStyle w:val="HideTWBExt"/>
      </w:rPr>
      <w:t>NoPE</w:t>
    </w:r>
    <w:proofErr w:type="spellEnd"/>
    <w:r w:rsidRPr="00034108">
      <w:rPr>
        <w:rStyle w:val="HideTWBExt"/>
      </w:rPr>
      <w:t>&gt;&lt;Version&gt;</w:t>
    </w:r>
    <w:r w:rsidRPr="00034108">
      <w:t>v03-00</w:t>
    </w:r>
    <w:r w:rsidRPr="00034108">
      <w:rPr>
        <w:rStyle w:val="HideTWBExt"/>
      </w:rPr>
      <w:t>&lt;/</w:t>
    </w:r>
    <w:proofErr w:type="spellStart"/>
    <w:r w:rsidRPr="00034108">
      <w:rPr>
        <w:rStyle w:val="HideTWBExt"/>
      </w:rPr>
      <w:t>Version</w:t>
    </w:r>
    <w:proofErr w:type="spellEnd"/>
    <w:r w:rsidRPr="00034108">
      <w:rPr>
        <w:rStyle w:val="HideTWBExt"/>
      </w:rPr>
      <w:t>&gt;</w:t>
    </w:r>
    <w:r w:rsidRPr="00034108">
      <w:tab/>
    </w:r>
    <w:r w:rsidRPr="00034108">
      <w:fldChar w:fldCharType="begin"/>
    </w:r>
    <w:r w:rsidRPr="00034108">
      <w:instrText xml:space="preserve"> PAGE  \* MERGEFORMAT </w:instrText>
    </w:r>
    <w:r w:rsidRPr="00034108">
      <w:fldChar w:fldCharType="separate"/>
    </w:r>
    <w:r w:rsidR="00034108" w:rsidRPr="00034108">
      <w:rPr>
        <w:noProof/>
      </w:rPr>
      <w:t>2</w:t>
    </w:r>
    <w:r w:rsidRPr="00034108">
      <w:fldChar w:fldCharType="end"/>
    </w:r>
    <w:r w:rsidRPr="00034108">
      <w:t>/</w:t>
    </w:r>
    <w:fldSimple w:instr=" NUMPAGES  \* MERGEFORMAT ">
      <w:r w:rsidR="00034108" w:rsidRPr="00034108">
        <w:rPr>
          <w:noProof/>
        </w:rPr>
        <w:t>4</w:t>
      </w:r>
    </w:fldSimple>
    <w:r w:rsidRPr="00034108">
      <w:tab/>
    </w:r>
    <w:r w:rsidRPr="00034108">
      <w:rPr>
        <w:rStyle w:val="HideTWBExt"/>
      </w:rPr>
      <w:t>&lt;PathFdR&gt;</w:t>
    </w:r>
    <w:r w:rsidRPr="00034108">
      <w:t>RR\1299515HR.docx</w:t>
    </w:r>
    <w:r w:rsidRPr="00034108">
      <w:rPr>
        <w:rStyle w:val="HideTWBExt"/>
      </w:rPr>
      <w:t>&lt;/</w:t>
    </w:r>
    <w:proofErr w:type="spellStart"/>
    <w:r w:rsidRPr="00034108">
      <w:rPr>
        <w:rStyle w:val="HideTWBExt"/>
      </w:rPr>
      <w:t>PathFdR</w:t>
    </w:r>
    <w:proofErr w:type="spellEnd"/>
    <w:r w:rsidRPr="00034108">
      <w:rPr>
        <w:rStyle w:val="HideTWBExt"/>
      </w:rPr>
      <w:t>&gt;</w:t>
    </w:r>
  </w:p>
  <w:p w:rsidR="0065666E" w:rsidRPr="00034108" w:rsidRDefault="0065666E" w:rsidP="008D5797">
    <w:pPr>
      <w:pStyle w:val="EPFooter2"/>
    </w:pPr>
    <w:r w:rsidRPr="00034108">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66E" w:rsidRPr="00034108" w:rsidRDefault="0065666E" w:rsidP="008D5797">
    <w:pPr>
      <w:pStyle w:val="EPFooter"/>
    </w:pPr>
    <w:r w:rsidRPr="00034108">
      <w:rPr>
        <w:rStyle w:val="HideTWBExt"/>
      </w:rPr>
      <w:t>&lt;PathFdR&gt;</w:t>
    </w:r>
    <w:r w:rsidRPr="00034108">
      <w:t>RR\1299515HR.docx</w:t>
    </w:r>
    <w:r w:rsidRPr="00034108">
      <w:rPr>
        <w:rStyle w:val="HideTWBExt"/>
      </w:rPr>
      <w:t>&lt;/</w:t>
    </w:r>
    <w:proofErr w:type="spellStart"/>
    <w:r w:rsidRPr="00034108">
      <w:rPr>
        <w:rStyle w:val="HideTWBExt"/>
      </w:rPr>
      <w:t>PathFdR</w:t>
    </w:r>
    <w:proofErr w:type="spellEnd"/>
    <w:r w:rsidRPr="00034108">
      <w:rPr>
        <w:rStyle w:val="HideTWBExt"/>
      </w:rPr>
      <w:t>&gt;</w:t>
    </w:r>
    <w:r w:rsidRPr="00034108">
      <w:tab/>
    </w:r>
    <w:r w:rsidRPr="00034108">
      <w:tab/>
      <w:t>PE</w:t>
    </w:r>
    <w:r w:rsidRPr="00034108">
      <w:rPr>
        <w:rStyle w:val="HideTWBExt"/>
      </w:rPr>
      <w:t>&lt;</w:t>
    </w:r>
    <w:proofErr w:type="spellStart"/>
    <w:r w:rsidRPr="00034108">
      <w:rPr>
        <w:rStyle w:val="HideTWBExt"/>
      </w:rPr>
      <w:t>NoPE</w:t>
    </w:r>
    <w:proofErr w:type="spellEnd"/>
    <w:r w:rsidRPr="00034108">
      <w:rPr>
        <w:rStyle w:val="HideTWBExt"/>
      </w:rPr>
      <w:t>&gt;</w:t>
    </w:r>
    <w:r w:rsidRPr="00034108">
      <w:t>753.532</w:t>
    </w:r>
    <w:r w:rsidRPr="00034108">
      <w:rPr>
        <w:rStyle w:val="HideTWBExt"/>
      </w:rPr>
      <w:t>&lt;/</w:t>
    </w:r>
    <w:proofErr w:type="spellStart"/>
    <w:r w:rsidRPr="00034108">
      <w:rPr>
        <w:rStyle w:val="HideTWBExt"/>
      </w:rPr>
      <w:t>NoPE</w:t>
    </w:r>
    <w:proofErr w:type="spellEnd"/>
    <w:r w:rsidRPr="00034108">
      <w:rPr>
        <w:rStyle w:val="HideTWBExt"/>
      </w:rPr>
      <w:t>&gt;&lt;Version&gt;</w:t>
    </w:r>
    <w:r w:rsidRPr="00034108">
      <w:t>v03-00</w:t>
    </w:r>
    <w:r w:rsidRPr="00034108">
      <w:rPr>
        <w:rStyle w:val="HideTWBExt"/>
      </w:rPr>
      <w:t>&lt;/</w:t>
    </w:r>
    <w:proofErr w:type="spellStart"/>
    <w:r w:rsidRPr="00034108">
      <w:rPr>
        <w:rStyle w:val="HideTWBExt"/>
      </w:rPr>
      <w:t>Version</w:t>
    </w:r>
    <w:proofErr w:type="spellEnd"/>
    <w:r w:rsidRPr="00034108">
      <w:rPr>
        <w:rStyle w:val="HideTWBExt"/>
      </w:rPr>
      <w:t>&gt;</w:t>
    </w:r>
  </w:p>
  <w:p w:rsidR="0065666E" w:rsidRPr="00034108" w:rsidRDefault="0065666E" w:rsidP="008D5797">
    <w:pPr>
      <w:pStyle w:val="EPFooter2"/>
    </w:pPr>
    <w:r w:rsidRPr="00034108">
      <w:t>HR</w:t>
    </w:r>
    <w:r w:rsidRPr="00034108">
      <w:tab/>
    </w:r>
    <w:r w:rsidRPr="00034108">
      <w:rPr>
        <w:b w:val="0"/>
        <w:i/>
        <w:color w:val="C0C0C0"/>
        <w:sz w:val="22"/>
      </w:rPr>
      <w:t>Ujedinjena u raznolikosti</w:t>
    </w:r>
    <w:r w:rsidRPr="00034108">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10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10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1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AD7" w:rsidRPr="00034108" w:rsidRDefault="00A35AD7">
      <w:r w:rsidRPr="00034108">
        <w:separator/>
      </w:r>
    </w:p>
  </w:footnote>
  <w:footnote w:type="continuationSeparator" w:id="0">
    <w:p w:rsidR="00A35AD7" w:rsidRPr="00034108" w:rsidRDefault="00A35AD7">
      <w:r w:rsidRPr="00034108">
        <w:continuationSeparator/>
      </w:r>
    </w:p>
  </w:footnote>
  <w:footnote w:id="1">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C, C/2023/594, 27.10.2023.</w:t>
      </w:r>
    </w:p>
  </w:footnote>
  <w:footnote w:id="2">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C, C/2023/112, 12.10.2023.</w:t>
      </w:r>
    </w:p>
  </w:footnote>
  <w:footnote w:id="3">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193, 30.7.2018., str. 1.</w:t>
      </w:r>
    </w:p>
  </w:footnote>
  <w:footnote w:id="4">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132, 29.5.2010., str. 11.</w:t>
      </w:r>
    </w:p>
  </w:footnote>
  <w:footnote w:id="5">
    <w:p w:rsidR="0065666E" w:rsidRPr="00034108" w:rsidRDefault="0065666E" w:rsidP="00034108">
      <w:pPr>
        <w:pStyle w:val="FootnoteText"/>
        <w:ind w:left="567" w:hanging="567"/>
        <w:rPr>
          <w:sz w:val="24"/>
          <w:szCs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468, 30.12.2021., str</w:t>
      </w:r>
      <w:r w:rsidR="006139AA">
        <w:rPr>
          <w:sz w:val="24"/>
          <w:lang w:val="hr-HR"/>
        </w:rPr>
        <w:t>.</w:t>
      </w:r>
      <w:r w:rsidRPr="00034108">
        <w:rPr>
          <w:sz w:val="24"/>
          <w:lang w:val="hr-HR"/>
        </w:rPr>
        <w:t> 1.</w:t>
      </w:r>
    </w:p>
  </w:footnote>
  <w:footnote w:id="6">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122, 10.5.2019., str. 1.</w:t>
      </w:r>
    </w:p>
  </w:footnote>
  <w:footnote w:id="7">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C , C/2023/594, 27.10.2023.</w:t>
      </w:r>
    </w:p>
  </w:footnote>
  <w:footnote w:id="8">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C, C/2023/112, 12.10.2023.</w:t>
      </w:r>
    </w:p>
  </w:footnote>
  <w:footnote w:id="9">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193, 30.7.2018., str. 1.</w:t>
      </w:r>
    </w:p>
  </w:footnote>
  <w:footnote w:id="10">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132, 29.5.2010., str. 11.</w:t>
      </w:r>
    </w:p>
  </w:footnote>
  <w:footnote w:id="11">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468, 30.12.2021.</w:t>
      </w:r>
      <w:r w:rsidRPr="00034108">
        <w:rPr>
          <w:sz w:val="24"/>
          <w:lang w:val="hr-HR"/>
        </w:rPr>
        <w:t xml:space="preserve">, </w:t>
      </w:r>
      <w:r w:rsidRPr="00034108">
        <w:rPr>
          <w:sz w:val="24"/>
          <w:lang w:val="hr-HR"/>
        </w:rPr>
        <w:t>str</w:t>
      </w:r>
      <w:r w:rsidR="006139AA">
        <w:rPr>
          <w:sz w:val="24"/>
          <w:lang w:val="hr-HR"/>
        </w:rPr>
        <w:t>.</w:t>
      </w:r>
      <w:bookmarkStart w:id="9" w:name="_GoBack"/>
      <w:bookmarkEnd w:id="9"/>
      <w:r w:rsidRPr="00034108">
        <w:rPr>
          <w:sz w:val="24"/>
          <w:lang w:val="hr-HR"/>
        </w:rPr>
        <w:t> 1.</w:t>
      </w:r>
    </w:p>
  </w:footnote>
  <w:footnote w:id="12">
    <w:p w:rsidR="0065666E" w:rsidRPr="00034108" w:rsidRDefault="0065666E" w:rsidP="00034108">
      <w:pPr>
        <w:pStyle w:val="FootnoteText"/>
        <w:ind w:left="567" w:hanging="567"/>
        <w:rPr>
          <w:sz w:val="24"/>
          <w:szCs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SL L 122, 10.5.2019., str. 1.</w:t>
      </w:r>
    </w:p>
  </w:footnote>
  <w:footnote w:id="13">
    <w:p w:rsidR="0065666E" w:rsidRPr="00034108" w:rsidRDefault="0065666E" w:rsidP="00034108">
      <w:pPr>
        <w:pStyle w:val="FootnoteText"/>
        <w:ind w:left="567" w:hanging="567"/>
        <w:rPr>
          <w:sz w:val="24"/>
          <w:lang w:val="hr-HR"/>
        </w:rPr>
      </w:pPr>
      <w:r w:rsidRPr="00034108">
        <w:rPr>
          <w:sz w:val="24"/>
          <w:vertAlign w:val="superscript"/>
          <w:lang w:val="hr-HR"/>
        </w:rPr>
        <w:footnoteRef/>
      </w:r>
      <w:r w:rsidR="00034108" w:rsidRPr="00034108">
        <w:rPr>
          <w:sz w:val="24"/>
          <w:lang w:val="hr-HR"/>
        </w:rPr>
        <w:t xml:space="preserve"> </w:t>
      </w:r>
      <w:r w:rsidR="00034108" w:rsidRPr="00034108">
        <w:rPr>
          <w:sz w:val="24"/>
          <w:lang w:val="hr-HR"/>
        </w:rPr>
        <w:tab/>
      </w:r>
      <w:r w:rsidRPr="00034108">
        <w:rPr>
          <w:sz w:val="24"/>
          <w:lang w:val="hr-HR"/>
        </w:rPr>
        <w:t>SL C 38, 31.1.2023., str. 180.</w:t>
      </w:r>
    </w:p>
  </w:footnote>
  <w:footnote w:id="14">
    <w:p w:rsidR="0065666E" w:rsidRPr="00034108" w:rsidRDefault="0065666E" w:rsidP="00034108">
      <w:pPr>
        <w:pStyle w:val="FootnoteText"/>
        <w:ind w:left="567" w:hanging="567"/>
        <w:rPr>
          <w:sz w:val="24"/>
          <w:lang w:val="hr-HR"/>
        </w:rPr>
      </w:pPr>
      <w:r w:rsidRPr="00034108">
        <w:rPr>
          <w:rStyle w:val="FootnoteReference"/>
          <w:sz w:val="24"/>
          <w:lang w:val="hr-HR"/>
        </w:rPr>
        <w:footnoteRef/>
      </w:r>
      <w:r w:rsidR="00034108" w:rsidRPr="00034108">
        <w:rPr>
          <w:sz w:val="24"/>
          <w:lang w:val="hr-HR"/>
        </w:rPr>
        <w:t xml:space="preserve"> </w:t>
      </w:r>
      <w:r w:rsidR="00034108" w:rsidRPr="00034108">
        <w:rPr>
          <w:sz w:val="24"/>
          <w:lang w:val="hr-HR"/>
        </w:rPr>
        <w:tab/>
      </w:r>
      <w:r w:rsidRPr="00034108">
        <w:rPr>
          <w:sz w:val="24"/>
          <w:lang w:val="hr-HR"/>
        </w:rPr>
        <w:t>Us</w:t>
      </w:r>
      <w:r w:rsidR="00C74BC6">
        <w:rPr>
          <w:sz w:val="24"/>
          <w:lang w:val="hr-HR"/>
        </w:rPr>
        <w:t>vojeni tekstovi, P9_TA(2024)0280</w:t>
      </w:r>
      <w:r w:rsidRPr="00034108">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1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1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1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HR"/>
    <w:docVar w:name="dvnumam" w:val="0"/>
    <w:docVar w:name="dvpe" w:val="753.532"/>
    <w:docVar w:name="dvrapporteur" w:val="Izvjestitelj: "/>
    <w:docVar w:name="dvtitre" w:val="Odluka Europskog parlamenta od .... 2024. o razrješnici za izvršenje proračuna Agencije Europske unije za azil (prije 19.1.2022: Europskog potpornog ureda za azil) za financijsku godinu 2022.(2023/2164(DEC))"/>
  </w:docVars>
  <w:rsids>
    <w:rsidRoot w:val="00A35AD7"/>
    <w:rsid w:val="00002272"/>
    <w:rsid w:val="0003410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6CB"/>
    <w:rsid w:val="005C2568"/>
    <w:rsid w:val="006037C0"/>
    <w:rsid w:val="006139AA"/>
    <w:rsid w:val="0065666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AD7"/>
    <w:rsid w:val="00A43E52"/>
    <w:rsid w:val="00A4678D"/>
    <w:rsid w:val="00A778C7"/>
    <w:rsid w:val="00A84B17"/>
    <w:rsid w:val="00AB441E"/>
    <w:rsid w:val="00AB6293"/>
    <w:rsid w:val="00AE0928"/>
    <w:rsid w:val="00AF3B82"/>
    <w:rsid w:val="00B12E95"/>
    <w:rsid w:val="00B22876"/>
    <w:rsid w:val="00B53A9A"/>
    <w:rsid w:val="00B558F0"/>
    <w:rsid w:val="00BD48FE"/>
    <w:rsid w:val="00BD7BD8"/>
    <w:rsid w:val="00BE6ADC"/>
    <w:rsid w:val="00C05BFE"/>
    <w:rsid w:val="00C23CD4"/>
    <w:rsid w:val="00C61C0C"/>
    <w:rsid w:val="00C74BC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71BCC"/>
  <w15:chartTrackingRefBased/>
  <w15:docId w15:val="{53E93721-150F-4827-916F-B1006F9E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666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5666E"/>
    <w:pPr>
      <w:spacing w:before="480" w:after="240"/>
    </w:pPr>
  </w:style>
  <w:style w:type="paragraph" w:customStyle="1" w:styleId="PageHeading">
    <w:name w:val="PageHeading"/>
    <w:basedOn w:val="Normal"/>
    <w:rsid w:val="0065666E"/>
    <w:pPr>
      <w:keepNext/>
      <w:spacing w:after="480"/>
      <w:jc w:val="center"/>
    </w:pPr>
    <w:rPr>
      <w:rFonts w:ascii="Arial" w:hAnsi="Arial" w:cs="Arial"/>
      <w:b/>
    </w:rPr>
  </w:style>
  <w:style w:type="paragraph" w:customStyle="1" w:styleId="NormalBold">
    <w:name w:val="NormalBold"/>
    <w:basedOn w:val="Normal"/>
    <w:rsid w:val="0065666E"/>
    <w:rPr>
      <w:b/>
    </w:rPr>
  </w:style>
  <w:style w:type="paragraph" w:customStyle="1" w:styleId="NormalHanging12a">
    <w:name w:val="NormalHanging12a"/>
    <w:basedOn w:val="Normal"/>
    <w:link w:val="NormalHanging12aChar"/>
    <w:rsid w:val="0065666E"/>
    <w:pPr>
      <w:spacing w:after="240"/>
      <w:ind w:left="567" w:hanging="567"/>
    </w:pPr>
  </w:style>
  <w:style w:type="paragraph" w:customStyle="1" w:styleId="NormalCenter12a">
    <w:name w:val="NormalCenter12a"/>
    <w:basedOn w:val="Normal"/>
    <w:rsid w:val="0065666E"/>
    <w:pPr>
      <w:spacing w:after="240"/>
      <w:jc w:val="center"/>
    </w:pPr>
  </w:style>
  <w:style w:type="paragraph" w:styleId="Header">
    <w:name w:val="header"/>
    <w:basedOn w:val="Normal"/>
    <w:link w:val="HeaderChar"/>
    <w:rsid w:val="0065666E"/>
    <w:pPr>
      <w:tabs>
        <w:tab w:val="center" w:pos="4513"/>
        <w:tab w:val="right" w:pos="9026"/>
      </w:tabs>
    </w:pPr>
  </w:style>
  <w:style w:type="character" w:customStyle="1" w:styleId="HeaderChar">
    <w:name w:val="Header Char"/>
    <w:basedOn w:val="DefaultParagraphFont"/>
    <w:link w:val="Header"/>
    <w:rsid w:val="0065666E"/>
    <w:rPr>
      <w:sz w:val="24"/>
      <w:lang w:val="hr-HR"/>
    </w:rPr>
  </w:style>
  <w:style w:type="paragraph" w:customStyle="1" w:styleId="EPFooter">
    <w:name w:val="EPFooter"/>
    <w:basedOn w:val="Normal"/>
    <w:rsid w:val="0065666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65666E"/>
    <w:rPr>
      <w:sz w:val="24"/>
      <w:lang w:val="hr-HR"/>
    </w:rPr>
  </w:style>
  <w:style w:type="character" w:customStyle="1" w:styleId="Normal12HangingChar">
    <w:name w:val="Normal12Hanging Char"/>
    <w:link w:val="Normal12Hanging"/>
    <w:locked/>
    <w:rsid w:val="0065666E"/>
    <w:rPr>
      <w:sz w:val="24"/>
    </w:rPr>
  </w:style>
  <w:style w:type="paragraph" w:customStyle="1" w:styleId="Normal12Hanging">
    <w:name w:val="Normal12Hanging"/>
    <w:basedOn w:val="Normal"/>
    <w:link w:val="Normal12HangingChar"/>
    <w:rsid w:val="0065666E"/>
    <w:pPr>
      <w:spacing w:after="240"/>
      <w:ind w:left="567" w:hanging="567"/>
    </w:pPr>
    <w:rPr>
      <w:lang w:val="en-GB"/>
    </w:rPr>
  </w:style>
  <w:style w:type="paragraph" w:styleId="Footer">
    <w:name w:val="footer"/>
    <w:basedOn w:val="Normal"/>
    <w:link w:val="FooterChar"/>
    <w:rsid w:val="005856CB"/>
    <w:pPr>
      <w:tabs>
        <w:tab w:val="center" w:pos="4513"/>
        <w:tab w:val="right" w:pos="9026"/>
      </w:tabs>
    </w:pPr>
  </w:style>
  <w:style w:type="character" w:customStyle="1" w:styleId="FooterChar">
    <w:name w:val="Footer Char"/>
    <w:basedOn w:val="DefaultParagraphFont"/>
    <w:link w:val="Footer"/>
    <w:rsid w:val="005856C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FBF91-87E0-46BA-80F7-D3A083EC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5377</Words>
  <Characters>31757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2024-05-23T10:33:00Z</dcterms:created>
  <dcterms:modified xsi:type="dcterms:W3CDTF">2024-05-23T10:33:00Z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P9_TA(2024)0268_</vt:lpwstr>
  </property>
  <property fmtid="{D5CDD505-2E9C-101B-9397-08002B2CF9AE}" pid="4" name="&lt;Type&gt;">
    <vt:lpwstr>RR</vt:lpwstr>
  </property>
</Properties>
</file>