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6B5F" w:rsidTr="0010095E">
        <w:trPr>
          <w:trHeight w:hRule="exact" w:val="1418"/>
        </w:trPr>
        <w:tc>
          <w:tcPr>
            <w:tcW w:w="6804" w:type="dxa"/>
            <w:shd w:val="clear" w:color="auto" w:fill="auto"/>
            <w:vAlign w:val="center"/>
          </w:tcPr>
          <w:p w:rsidR="00751A4A" w:rsidRPr="00346B5F" w:rsidRDefault="00324BFB" w:rsidP="0010095E">
            <w:pPr>
              <w:pStyle w:val="EPName"/>
            </w:pPr>
            <w:r w:rsidRPr="00346B5F">
              <w:t>Europos Parlamentas</w:t>
            </w:r>
          </w:p>
          <w:p w:rsidR="00751A4A" w:rsidRPr="00346B5F" w:rsidRDefault="00817416" w:rsidP="00756632">
            <w:pPr>
              <w:pStyle w:val="EPTerm"/>
              <w:rPr>
                <w:rStyle w:val="HideTWBExt"/>
                <w:noProof w:val="0"/>
                <w:vanish w:val="0"/>
                <w:color w:val="auto"/>
              </w:rPr>
            </w:pPr>
            <w:r w:rsidRPr="00346B5F">
              <w:t>2019-2024</w:t>
            </w:r>
          </w:p>
        </w:tc>
        <w:tc>
          <w:tcPr>
            <w:tcW w:w="2268" w:type="dxa"/>
            <w:shd w:val="clear" w:color="auto" w:fill="auto"/>
          </w:tcPr>
          <w:p w:rsidR="00751A4A" w:rsidRPr="00346B5F" w:rsidRDefault="00187494" w:rsidP="0010095E">
            <w:pPr>
              <w:pStyle w:val="EPLogo"/>
            </w:pPr>
            <w:r w:rsidRPr="00346B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6B5F" w:rsidRDefault="00D058B8" w:rsidP="004C5D52">
      <w:pPr>
        <w:pStyle w:val="LineTop"/>
      </w:pPr>
    </w:p>
    <w:p w:rsidR="00680577" w:rsidRPr="00346B5F" w:rsidRDefault="00324BFB" w:rsidP="00680577">
      <w:pPr>
        <w:pStyle w:val="EPBodyTA1"/>
      </w:pPr>
      <w:r w:rsidRPr="00346B5F">
        <w:t>PRIIMTI TEKSTAI</w:t>
      </w:r>
    </w:p>
    <w:p w:rsidR="00D058B8" w:rsidRPr="00346B5F" w:rsidRDefault="00D058B8" w:rsidP="00D058B8">
      <w:pPr>
        <w:pStyle w:val="LineBottom"/>
      </w:pPr>
    </w:p>
    <w:p w:rsidR="00324BFB" w:rsidRPr="00346B5F" w:rsidRDefault="00324BFB" w:rsidP="00324BFB">
      <w:pPr>
        <w:pStyle w:val="ATHeading1"/>
      </w:pPr>
      <w:bookmarkStart w:id="0" w:name="TANumber"/>
      <w:r w:rsidRPr="00346B5F">
        <w:t>P9_TA(2024)0</w:t>
      </w:r>
      <w:r w:rsidR="003A1CF4" w:rsidRPr="00346B5F">
        <w:t>268</w:t>
      </w:r>
      <w:bookmarkEnd w:id="0"/>
    </w:p>
    <w:p w:rsidR="00324BFB" w:rsidRPr="00346B5F" w:rsidRDefault="00324BFB" w:rsidP="00324BFB">
      <w:pPr>
        <w:pStyle w:val="ATHeading2"/>
      </w:pPr>
      <w:bookmarkStart w:id="1" w:name="title"/>
      <w:r w:rsidRPr="00346B5F">
        <w:t>2022 m. biudžeto įvykdymo patvirtinimas: Europos Sąjungos prieglobsčio agentūra (iki 2022 m. sausio 19 d. – Europos prieglobsčio paramos biuras)</w:t>
      </w:r>
      <w:bookmarkEnd w:id="1"/>
    </w:p>
    <w:p w:rsidR="00324BFB" w:rsidRPr="00346B5F" w:rsidRDefault="00324BFB" w:rsidP="00324BFB">
      <w:pPr>
        <w:rPr>
          <w:i/>
          <w:vanish/>
        </w:rPr>
      </w:pPr>
      <w:r w:rsidRPr="00346B5F">
        <w:rPr>
          <w:i/>
        </w:rPr>
        <w:fldChar w:fldCharType="begin"/>
      </w:r>
      <w:r w:rsidRPr="00346B5F">
        <w:rPr>
          <w:i/>
        </w:rPr>
        <w:instrText xml:space="preserve"> TC"(</w:instrText>
      </w:r>
      <w:bookmarkStart w:id="2" w:name="DocNumber"/>
      <w:r w:rsidRPr="00346B5F">
        <w:rPr>
          <w:i/>
        </w:rPr>
        <w:instrText>A9-0106/2024</w:instrText>
      </w:r>
      <w:bookmarkEnd w:id="2"/>
      <w:r w:rsidRPr="00346B5F">
        <w:rPr>
          <w:i/>
        </w:rPr>
        <w:instrText xml:space="preserve"> - Pranešėjas: Petri Sarvamaa)"\l3 \n&gt; \* MERGEFORMAT </w:instrText>
      </w:r>
      <w:r w:rsidRPr="00346B5F">
        <w:rPr>
          <w:i/>
        </w:rPr>
        <w:fldChar w:fldCharType="end"/>
      </w:r>
    </w:p>
    <w:p w:rsidR="00324BFB" w:rsidRPr="00346B5F" w:rsidRDefault="00324BFB" w:rsidP="00324BFB">
      <w:pPr>
        <w:rPr>
          <w:vanish/>
        </w:rPr>
      </w:pPr>
      <w:bookmarkStart w:id="3" w:name="Commission"/>
      <w:r w:rsidRPr="00346B5F">
        <w:rPr>
          <w:vanish/>
        </w:rPr>
        <w:t>Biudžeto kontrolės komitetas</w:t>
      </w:r>
      <w:bookmarkEnd w:id="3"/>
    </w:p>
    <w:p w:rsidR="00324BFB" w:rsidRPr="00346B5F" w:rsidRDefault="00324BFB" w:rsidP="00324BFB">
      <w:pPr>
        <w:rPr>
          <w:vanish/>
        </w:rPr>
      </w:pPr>
      <w:bookmarkStart w:id="4" w:name="PE"/>
      <w:r w:rsidRPr="00346B5F">
        <w:rPr>
          <w:vanish/>
        </w:rPr>
        <w:t>PE753.532</w:t>
      </w:r>
      <w:bookmarkEnd w:id="4"/>
    </w:p>
    <w:p w:rsidR="00324BFB" w:rsidRPr="00346B5F" w:rsidRDefault="00324BFB" w:rsidP="00D902C0">
      <w:pPr>
        <w:pStyle w:val="ATHeading3"/>
      </w:pPr>
      <w:bookmarkStart w:id="5" w:name="Sujet"/>
      <w:r w:rsidRPr="00346B5F">
        <w:t xml:space="preserve">1. 2024 m. </w:t>
      </w:r>
      <w:r w:rsidR="00BA0990" w:rsidRPr="00346B5F">
        <w:t>balandžio</w:t>
      </w:r>
      <w:r w:rsidRPr="00346B5F">
        <w:t xml:space="preserve"> 11 d. Europos Parlamento sprendimas dėl Europos Sąjungos prieglobsčio agentūros (iki 2022 m. sausio 19 d. – Europos prieglobsčio paramos biuras) 2022 finansinių metų biudžeto įvykdymo patvirtinimo</w:t>
      </w:r>
      <w:bookmarkEnd w:id="5"/>
      <w:r w:rsidRPr="00346B5F">
        <w:t xml:space="preserve"> </w:t>
      </w:r>
      <w:bookmarkStart w:id="6" w:name="References"/>
      <w:r w:rsidRPr="00346B5F">
        <w:t>(2023/2164(DEC))</w:t>
      </w:r>
      <w:bookmarkEnd w:id="6"/>
    </w:p>
    <w:p w:rsidR="006D39C5" w:rsidRPr="00346B5F" w:rsidRDefault="006D39C5" w:rsidP="006D39C5">
      <w:pPr>
        <w:pStyle w:val="EPComma"/>
      </w:pPr>
      <w:bookmarkStart w:id="7" w:name="TextBodyBegin"/>
      <w:bookmarkEnd w:id="7"/>
      <w:r w:rsidRPr="00346B5F">
        <w:rPr>
          <w:i/>
        </w:rPr>
        <w:t>Europos Parlamentas</w:t>
      </w:r>
      <w:r w:rsidRPr="00346B5F">
        <w:t>,</w:t>
      </w:r>
    </w:p>
    <w:p w:rsidR="006D39C5" w:rsidRPr="00346B5F" w:rsidRDefault="006D39C5" w:rsidP="006D39C5">
      <w:pPr>
        <w:pStyle w:val="NormalHanging12a"/>
      </w:pPr>
      <w:r w:rsidRPr="00346B5F">
        <w:t>–</w:t>
      </w:r>
      <w:r w:rsidRPr="00346B5F">
        <w:tab/>
        <w:t>atsižvelgdamas į Europos Sąjungos prieglobsčio agentūros 2022 finansinių metų galutines metines ataskaitas,</w:t>
      </w:r>
    </w:p>
    <w:p w:rsidR="006D39C5" w:rsidRPr="00346B5F" w:rsidRDefault="006D39C5" w:rsidP="006D39C5">
      <w:pPr>
        <w:pStyle w:val="NormalHanging12a"/>
      </w:pPr>
      <w:r w:rsidRPr="00346B5F">
        <w:t>–</w:t>
      </w:r>
      <w:r w:rsidRPr="00346B5F">
        <w:tab/>
        <w:t>atsižvelgdamas į Audito Rūmų 2022 finansinių metų metinę ataskaitą dėl ES agentūrų kartu su agentūrų atsakymais</w:t>
      </w:r>
      <w:r w:rsidRPr="00346B5F">
        <w:rPr>
          <w:rStyle w:val="FootnoteReference"/>
        </w:rPr>
        <w:footnoteReference w:id="1"/>
      </w:r>
      <w:r w:rsidRPr="00346B5F">
        <w:t>,</w:t>
      </w:r>
    </w:p>
    <w:p w:rsidR="006D39C5" w:rsidRPr="00346B5F" w:rsidRDefault="006D39C5" w:rsidP="006D39C5">
      <w:pPr>
        <w:pStyle w:val="NormalHanging12a"/>
      </w:pPr>
      <w:r w:rsidRPr="00346B5F">
        <w:t>–</w:t>
      </w:r>
      <w:r w:rsidRPr="00346B5F">
        <w:tab/>
        <w:t>atsižvelgdamas į Audito Rūmų pagal Sutarties dėl Europos Sąjungos veikimo 287 straipsnį pateiktą 2022 finansinių metų sąskaitų patikimumo ir pagal jas atliktų operacijų teisėtumo ir tvarkingumo patikinimo pareiškimą</w:t>
      </w:r>
      <w:r w:rsidRPr="00346B5F">
        <w:rPr>
          <w:rStyle w:val="FootnoteReference"/>
        </w:rPr>
        <w:footnoteReference w:id="2"/>
      </w:r>
      <w:r w:rsidRPr="00346B5F">
        <w:t>,</w:t>
      </w:r>
    </w:p>
    <w:p w:rsidR="006D39C5" w:rsidRPr="00346B5F" w:rsidRDefault="006D39C5" w:rsidP="006D39C5">
      <w:pPr>
        <w:pStyle w:val="NormalHanging12a"/>
      </w:pPr>
      <w:r w:rsidRPr="00346B5F">
        <w:t>–</w:t>
      </w:r>
      <w:r w:rsidRPr="00346B5F">
        <w:tab/>
        <w:t xml:space="preserve">atsižvelgdamas į </w:t>
      </w:r>
      <w:r w:rsidR="00E92A4F" w:rsidRPr="00346B5F">
        <w:t xml:space="preserve">2024 m. vasario 22 d. </w:t>
      </w:r>
      <w:r w:rsidRPr="00346B5F">
        <w:t>Tarybos rekomendaciją dėl patvirtinimo, kad Agentūra įvykdė 2022 finansinių metų biudžetą (</w:t>
      </w:r>
      <w:r w:rsidR="00485DE5" w:rsidRPr="00346B5F">
        <w:t>06180</w:t>
      </w:r>
      <w:r w:rsidRPr="00346B5F">
        <w:t>/2024 – C9</w:t>
      </w:r>
      <w:r w:rsidRPr="00346B5F">
        <w:noBreakHyphen/>
      </w:r>
      <w:r w:rsidR="00485DE5" w:rsidRPr="00346B5F">
        <w:t>0102</w:t>
      </w:r>
      <w:r w:rsidRPr="00346B5F">
        <w:t>/2024),</w:t>
      </w:r>
    </w:p>
    <w:p w:rsidR="006D39C5" w:rsidRPr="00346B5F" w:rsidRDefault="006D39C5" w:rsidP="006D39C5">
      <w:pPr>
        <w:pStyle w:val="NormalHanging12a"/>
      </w:pPr>
      <w:r w:rsidRPr="00346B5F">
        <w:t>–</w:t>
      </w:r>
      <w:r w:rsidRPr="00346B5F">
        <w:tab/>
        <w:t>atsižvelgdamas į Sutarties dėl Europos Sąjungos veikimo 319 straipsnį,</w:t>
      </w:r>
    </w:p>
    <w:p w:rsidR="006D39C5" w:rsidRPr="00346B5F" w:rsidRDefault="006D39C5" w:rsidP="006D39C5">
      <w:pPr>
        <w:pStyle w:val="NormalHanging12a"/>
      </w:pPr>
      <w:r w:rsidRPr="00346B5F">
        <w:t>–</w:t>
      </w:r>
      <w:r w:rsidRPr="00346B5F">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46B5F">
        <w:rPr>
          <w:rStyle w:val="FootnoteReference"/>
        </w:rPr>
        <w:footnoteReference w:id="3"/>
      </w:r>
      <w:r w:rsidRPr="00346B5F">
        <w:t>, ypač į jo 70 straipsnį,</w:t>
      </w:r>
    </w:p>
    <w:p w:rsidR="006D39C5" w:rsidRPr="00346B5F" w:rsidRDefault="006D39C5" w:rsidP="006D39C5">
      <w:pPr>
        <w:pStyle w:val="NormalHanging12a"/>
      </w:pPr>
      <w:r w:rsidRPr="00346B5F">
        <w:t>–</w:t>
      </w:r>
      <w:r w:rsidRPr="00346B5F">
        <w:tab/>
        <w:t>atsižvelgdamas į 2010 m. gegužės 19 d. Europos Parlamento ir Tarybos reglamentą (ES) Nr. 439/2010 dėl Europos prieglobsčio paramos biuro įsteigimo</w:t>
      </w:r>
      <w:r w:rsidRPr="00346B5F">
        <w:rPr>
          <w:rStyle w:val="FootnoteReference"/>
        </w:rPr>
        <w:footnoteReference w:id="4"/>
      </w:r>
      <w:r w:rsidRPr="00346B5F">
        <w:t xml:space="preserve">, ypač į jo 36 </w:t>
      </w:r>
      <w:r w:rsidRPr="00346B5F">
        <w:lastRenderedPageBreak/>
        <w:t>straipsnį,</w:t>
      </w:r>
    </w:p>
    <w:p w:rsidR="006D39C5" w:rsidRPr="00346B5F" w:rsidRDefault="006D39C5" w:rsidP="006D39C5">
      <w:pPr>
        <w:pStyle w:val="NormalHanging12a"/>
      </w:pPr>
      <w:r w:rsidRPr="00346B5F">
        <w:t>–</w:t>
      </w:r>
      <w:r w:rsidRPr="00346B5F">
        <w:tab/>
        <w:t>atsižvelgdamas į 2021 m. gruodžio 15 d. Europos Parlamento ir Tarybos reglamentą (ES) 2021/2303 dėl Europos Sąjungos prieglobsčio agentūros, kuriuo panaikinamas Reglamentas (ES) Nr. 439/2010</w:t>
      </w:r>
      <w:r w:rsidRPr="00346B5F">
        <w:rPr>
          <w:rStyle w:val="FootnoteReference"/>
        </w:rPr>
        <w:footnoteReference w:id="5"/>
      </w:r>
      <w:r w:rsidRPr="00346B5F">
        <w:t>, ypač į jo 55 straipsnį,</w:t>
      </w:r>
    </w:p>
    <w:p w:rsidR="006D39C5" w:rsidRPr="00346B5F" w:rsidRDefault="006D39C5" w:rsidP="006D39C5">
      <w:pPr>
        <w:pStyle w:val="NormalHanging12a"/>
      </w:pPr>
      <w:r w:rsidRPr="00346B5F">
        <w:t>–</w:t>
      </w:r>
      <w:r w:rsidRPr="00346B5F">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46B5F">
        <w:rPr>
          <w:rStyle w:val="FootnoteReference"/>
        </w:rPr>
        <w:footnoteReference w:id="6"/>
      </w:r>
      <w:r w:rsidRPr="00346B5F">
        <w:t>, ypač į jo 105 straipsnį,</w:t>
      </w:r>
    </w:p>
    <w:p w:rsidR="006D39C5" w:rsidRPr="00346B5F" w:rsidRDefault="006D39C5" w:rsidP="006D39C5">
      <w:pPr>
        <w:pStyle w:val="NormalHanging12a"/>
      </w:pPr>
      <w:r w:rsidRPr="00346B5F">
        <w:t>–</w:t>
      </w:r>
      <w:r w:rsidRPr="00346B5F">
        <w:tab/>
        <w:t>atsižvelgdamas į Darbo tvarkos taisyklių 100 straipsnį ir V priedą,</w:t>
      </w:r>
    </w:p>
    <w:p w:rsidR="006D39C5" w:rsidRPr="00346B5F" w:rsidRDefault="006D39C5" w:rsidP="006D39C5">
      <w:pPr>
        <w:pStyle w:val="NormalHanging12a"/>
      </w:pPr>
      <w:r w:rsidRPr="00346B5F">
        <w:t>–</w:t>
      </w:r>
      <w:r w:rsidRPr="00346B5F">
        <w:tab/>
        <w:t>atsižvelgdamas į Piliečių laisvių, teisingumo ir vidaus reikalų komiteto nuomonę,</w:t>
      </w:r>
    </w:p>
    <w:p w:rsidR="006D39C5" w:rsidRPr="00346B5F" w:rsidRDefault="006D39C5" w:rsidP="006D39C5">
      <w:pPr>
        <w:pStyle w:val="NormalHanging12a"/>
      </w:pPr>
      <w:r w:rsidRPr="00346B5F">
        <w:t>–</w:t>
      </w:r>
      <w:r w:rsidRPr="00346B5F">
        <w:tab/>
        <w:t>atsižvelgdamas į Biudžeto kontrolės komiteto pranešimą (A9</w:t>
      </w:r>
      <w:r w:rsidRPr="00346B5F">
        <w:noBreakHyphen/>
        <w:t>0106/2024),</w:t>
      </w:r>
    </w:p>
    <w:p w:rsidR="006D39C5" w:rsidRPr="00346B5F" w:rsidRDefault="006D39C5" w:rsidP="006D39C5">
      <w:pPr>
        <w:pStyle w:val="NormalHanging12a"/>
      </w:pPr>
      <w:r w:rsidRPr="00346B5F">
        <w:t>1.</w:t>
      </w:r>
      <w:r w:rsidRPr="00346B5F">
        <w:tab/>
        <w:t>patvirtina Europos Sąjungos prieglobsčio agentūros vykdomajai direktorei, kad Agentūros 2022 finansinių metų biudžetas įvykdytas;</w:t>
      </w:r>
    </w:p>
    <w:p w:rsidR="006D39C5" w:rsidRPr="00346B5F" w:rsidRDefault="006D39C5" w:rsidP="006D39C5">
      <w:pPr>
        <w:pStyle w:val="NormalHanging12a"/>
      </w:pPr>
      <w:r w:rsidRPr="00346B5F">
        <w:t>2.</w:t>
      </w:r>
      <w:r w:rsidRPr="00346B5F">
        <w:tab/>
        <w:t>išdėsto savo pastabas toliau pateikiamoje rezoliucijoje;</w:t>
      </w:r>
    </w:p>
    <w:p w:rsidR="006D39C5" w:rsidRPr="00346B5F" w:rsidRDefault="006D39C5" w:rsidP="006D39C5">
      <w:pPr>
        <w:pStyle w:val="NormalHanging12a"/>
      </w:pPr>
      <w:r w:rsidRPr="00346B5F">
        <w:t>3.</w:t>
      </w:r>
      <w:r w:rsidRPr="00346B5F">
        <w:tab/>
        <w:t xml:space="preserve">paveda Pirmininkei perduoti šį sprendimą ir rezoliuciją, kuri yra neatskiriama jo dalis, Europos Sąjungos prieglobsčio agentūros vykdomajai direktorei, Tarybai, Komisijai ir Audito Rūmams ir pasirūpinti, kad jie būtų paskelbti </w:t>
      </w:r>
      <w:r w:rsidRPr="00346B5F">
        <w:rPr>
          <w:i/>
        </w:rPr>
        <w:t>Europos Sąjungos oficialiajame leidinyje</w:t>
      </w:r>
      <w:r w:rsidRPr="00346B5F">
        <w:t xml:space="preserve"> (L serijoje).</w:t>
      </w:r>
    </w:p>
    <w:p w:rsidR="006D39C5" w:rsidRPr="00346B5F" w:rsidRDefault="006D39C5" w:rsidP="006D39C5"/>
    <w:p w:rsidR="006D39C5" w:rsidRPr="00346B5F" w:rsidRDefault="006D39C5" w:rsidP="006D39C5">
      <w:pPr>
        <w:widowControl/>
        <w:rPr>
          <w:rFonts w:ascii="Arial" w:hAnsi="Arial" w:cs="Arial"/>
          <w:b/>
        </w:rPr>
        <w:sectPr w:rsidR="006D39C5" w:rsidRPr="00346B5F" w:rsidSect="007545F0">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6D39C5" w:rsidRPr="00346B5F" w:rsidRDefault="006D39C5" w:rsidP="00D902C0">
      <w:pPr>
        <w:pStyle w:val="ATHeading3"/>
      </w:pPr>
      <w:bookmarkStart w:id="8" w:name="_Toc146792446"/>
      <w:bookmarkStart w:id="9" w:name="_Toc161997049"/>
      <w:r w:rsidRPr="00346B5F">
        <w:lastRenderedPageBreak/>
        <w:t xml:space="preserve">2. </w:t>
      </w:r>
      <w:r w:rsidR="00324BFB" w:rsidRPr="00346B5F">
        <w:t xml:space="preserve">2024 m. </w:t>
      </w:r>
      <w:r w:rsidR="00485DE5" w:rsidRPr="00346B5F">
        <w:t>balandžio</w:t>
      </w:r>
      <w:r w:rsidR="00324BFB" w:rsidRPr="00346B5F">
        <w:t xml:space="preserve"> 11 d. Europos Parlamento sprendimas </w:t>
      </w:r>
      <w:bookmarkEnd w:id="8"/>
      <w:bookmarkEnd w:id="9"/>
      <w:r w:rsidRPr="00346B5F">
        <w:t>dėl Europos Sąjungos prieglobsčio agentūros (iki 2022 m. sausio 19 d. – Europos prieglobsčio paramos biuras) 2022 finansinių metų sąskaitų uždarymo</w:t>
      </w:r>
      <w:r w:rsidR="00485DE5" w:rsidRPr="00346B5F">
        <w:t xml:space="preserve"> </w:t>
      </w:r>
      <w:r w:rsidRPr="00346B5F">
        <w:t>(2023/2164(DEC))</w:t>
      </w:r>
    </w:p>
    <w:p w:rsidR="006D39C5" w:rsidRPr="00346B5F" w:rsidRDefault="006D39C5" w:rsidP="006D39C5">
      <w:pPr>
        <w:pStyle w:val="EPComma"/>
      </w:pPr>
      <w:r w:rsidRPr="00346B5F">
        <w:rPr>
          <w:i/>
        </w:rPr>
        <w:t>Europos Parlamentas</w:t>
      </w:r>
      <w:r w:rsidRPr="00346B5F">
        <w:t>,</w:t>
      </w:r>
    </w:p>
    <w:p w:rsidR="006D39C5" w:rsidRPr="00346B5F" w:rsidRDefault="006D39C5" w:rsidP="006D39C5">
      <w:pPr>
        <w:pStyle w:val="NormalHanging12a"/>
      </w:pPr>
      <w:r w:rsidRPr="00346B5F">
        <w:t>–</w:t>
      </w:r>
      <w:r w:rsidRPr="00346B5F">
        <w:tab/>
        <w:t>atsižvelgdamas į Europos Sąjungos prieglobsčio agentūros 2022 finansinių metų galutines metines ataskaitas,</w:t>
      </w:r>
    </w:p>
    <w:p w:rsidR="006D39C5" w:rsidRPr="00346B5F" w:rsidRDefault="006D39C5" w:rsidP="006D39C5">
      <w:pPr>
        <w:pStyle w:val="NormalHanging12a"/>
      </w:pPr>
      <w:r w:rsidRPr="00346B5F">
        <w:t>–</w:t>
      </w:r>
      <w:r w:rsidRPr="00346B5F">
        <w:tab/>
        <w:t>atsižvelgdamas į Audito Rūmų 2022 finansinių metų metinę ataskaitą dėl ES agentūrų kartu su agentūrų atsakymais</w:t>
      </w:r>
      <w:r w:rsidRPr="00346B5F">
        <w:rPr>
          <w:rStyle w:val="FootnoteReference"/>
        </w:rPr>
        <w:footnoteReference w:id="7"/>
      </w:r>
      <w:r w:rsidRPr="00346B5F">
        <w:t>,</w:t>
      </w:r>
    </w:p>
    <w:p w:rsidR="006D39C5" w:rsidRPr="00346B5F" w:rsidRDefault="006D39C5" w:rsidP="006D39C5">
      <w:pPr>
        <w:pStyle w:val="NormalHanging12a"/>
      </w:pPr>
      <w:r w:rsidRPr="00346B5F">
        <w:t>–</w:t>
      </w:r>
      <w:r w:rsidRPr="00346B5F">
        <w:tab/>
        <w:t>atsižvelgdamas į Audito Rūmų pagal Sutarties dėl Europos Sąjungos veikimo 287 straipsnį pateiktą 2022 finansinių metų sąskaitų patikimumo ir pagal jas atliktų operacijų teisėtumo ir tvarkingumo patikinimo pareiškimą</w:t>
      </w:r>
      <w:r w:rsidRPr="00346B5F">
        <w:rPr>
          <w:rStyle w:val="FootnoteReference"/>
        </w:rPr>
        <w:footnoteReference w:id="8"/>
      </w:r>
      <w:r w:rsidRPr="00346B5F">
        <w:t>,</w:t>
      </w:r>
    </w:p>
    <w:p w:rsidR="006D39C5" w:rsidRPr="00346B5F" w:rsidRDefault="006D39C5" w:rsidP="006D39C5">
      <w:pPr>
        <w:pStyle w:val="NormalHanging12a"/>
      </w:pPr>
      <w:r w:rsidRPr="00346B5F">
        <w:t>–</w:t>
      </w:r>
      <w:r w:rsidRPr="00346B5F">
        <w:tab/>
        <w:t xml:space="preserve">atsižvelgdamas į </w:t>
      </w:r>
      <w:r w:rsidR="00E92A4F" w:rsidRPr="00346B5F">
        <w:t xml:space="preserve">2024 m. vasario 22 d. </w:t>
      </w:r>
      <w:r w:rsidRPr="00346B5F">
        <w:t>Tarybos rekomendaciją dėl patvirtinimo, kad Agentūra įvykdė 2022 finansinių metų biudžetą (</w:t>
      </w:r>
      <w:r w:rsidR="001409C4" w:rsidRPr="00346B5F">
        <w:t>06180</w:t>
      </w:r>
      <w:r w:rsidRPr="00346B5F">
        <w:t>/2024 – C9</w:t>
      </w:r>
      <w:r w:rsidRPr="00346B5F">
        <w:noBreakHyphen/>
      </w:r>
      <w:r w:rsidR="001409C4" w:rsidRPr="00346B5F">
        <w:t>0102</w:t>
      </w:r>
      <w:r w:rsidRPr="00346B5F">
        <w:t>/2024),</w:t>
      </w:r>
    </w:p>
    <w:p w:rsidR="006D39C5" w:rsidRPr="00346B5F" w:rsidRDefault="006D39C5" w:rsidP="006D39C5">
      <w:pPr>
        <w:pStyle w:val="NormalHanging12a"/>
      </w:pPr>
      <w:r w:rsidRPr="00346B5F">
        <w:t>–</w:t>
      </w:r>
      <w:r w:rsidRPr="00346B5F">
        <w:tab/>
        <w:t>atsižvelgdamas į Sutarties dėl Europos Sąjungos veikimo 319 straipsnį,</w:t>
      </w:r>
    </w:p>
    <w:p w:rsidR="006D39C5" w:rsidRPr="00346B5F" w:rsidRDefault="006D39C5" w:rsidP="006D39C5">
      <w:pPr>
        <w:pStyle w:val="NormalHanging12a"/>
      </w:pPr>
      <w:r w:rsidRPr="00346B5F">
        <w:t>–</w:t>
      </w:r>
      <w:r w:rsidRPr="00346B5F">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46B5F">
        <w:rPr>
          <w:rStyle w:val="FootnoteReference"/>
        </w:rPr>
        <w:footnoteReference w:id="9"/>
      </w:r>
      <w:r w:rsidRPr="00346B5F">
        <w:t>, ypač į jo 70 straipsnį,</w:t>
      </w:r>
    </w:p>
    <w:p w:rsidR="006D39C5" w:rsidRPr="00346B5F" w:rsidRDefault="006D39C5" w:rsidP="006D39C5">
      <w:pPr>
        <w:pStyle w:val="NormalHanging12a"/>
      </w:pPr>
      <w:r w:rsidRPr="00346B5F">
        <w:t>–</w:t>
      </w:r>
      <w:r w:rsidRPr="00346B5F">
        <w:tab/>
        <w:t>atsižvelgdamas į 2010 m. gegužės 19 d. Europos Parlamento ir Tarybos reglamentą (ES) Nr. 439/2010 dėl Europos prieglobsčio paramos biuro įsteigimo</w:t>
      </w:r>
      <w:r w:rsidRPr="00346B5F">
        <w:rPr>
          <w:rStyle w:val="FootnoteReference"/>
        </w:rPr>
        <w:footnoteReference w:id="10"/>
      </w:r>
      <w:r w:rsidRPr="00346B5F">
        <w:t>, ypač į jo 36 straipsnį,</w:t>
      </w:r>
    </w:p>
    <w:p w:rsidR="006D39C5" w:rsidRPr="00346B5F" w:rsidRDefault="006D39C5" w:rsidP="006D39C5">
      <w:pPr>
        <w:pStyle w:val="NormalHanging12a"/>
      </w:pPr>
      <w:r w:rsidRPr="00346B5F">
        <w:t>–</w:t>
      </w:r>
      <w:r w:rsidRPr="00346B5F">
        <w:tab/>
        <w:t>atsižvelgdamas į 2021 m. gruodžio 15 d. Europos Parlamento ir Tarybos reglamentą (ES) 2021/2303 dėl Europos Sąjungos prieglobsčio agentūros, kuriuo panaikinamas Reglamentas (ES) Nr. 439/2010</w:t>
      </w:r>
      <w:r w:rsidRPr="00346B5F">
        <w:rPr>
          <w:rStyle w:val="FootnoteReference"/>
        </w:rPr>
        <w:footnoteReference w:id="11"/>
      </w:r>
      <w:r w:rsidRPr="00346B5F">
        <w:t>, ypač į jo 55 straipsnį,</w:t>
      </w:r>
    </w:p>
    <w:p w:rsidR="006D39C5" w:rsidRPr="00346B5F" w:rsidRDefault="006D39C5" w:rsidP="006D39C5">
      <w:pPr>
        <w:pStyle w:val="NormalHanging12a"/>
      </w:pPr>
      <w:r w:rsidRPr="00346B5F">
        <w:t>–</w:t>
      </w:r>
      <w:r w:rsidRPr="00346B5F">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346B5F">
        <w:rPr>
          <w:rStyle w:val="FootnoteReference"/>
        </w:rPr>
        <w:footnoteReference w:id="12"/>
      </w:r>
      <w:r w:rsidRPr="00346B5F">
        <w:t>, ypač į jo 105 straipsnį,</w:t>
      </w:r>
    </w:p>
    <w:p w:rsidR="006D39C5" w:rsidRPr="00346B5F" w:rsidRDefault="006D39C5" w:rsidP="006D39C5">
      <w:pPr>
        <w:pStyle w:val="NormalHanging12a"/>
      </w:pPr>
      <w:r w:rsidRPr="00346B5F">
        <w:t>–</w:t>
      </w:r>
      <w:r w:rsidRPr="00346B5F">
        <w:tab/>
        <w:t>atsižvelgdamas į Darbo tvarkos taisyklių 100 straipsnį ir V priedą,</w:t>
      </w:r>
    </w:p>
    <w:p w:rsidR="006D39C5" w:rsidRPr="00346B5F" w:rsidRDefault="006D39C5" w:rsidP="006D39C5">
      <w:pPr>
        <w:pStyle w:val="NormalHanging12a"/>
      </w:pPr>
      <w:r w:rsidRPr="00346B5F">
        <w:t>–</w:t>
      </w:r>
      <w:r w:rsidRPr="00346B5F">
        <w:tab/>
        <w:t>atsižvelgdamas į Piliečių laisvių, teisingumo ir vidaus reikalų komiteto nuomonę,</w:t>
      </w:r>
    </w:p>
    <w:p w:rsidR="006D39C5" w:rsidRPr="00346B5F" w:rsidRDefault="006D39C5" w:rsidP="006D39C5">
      <w:pPr>
        <w:pStyle w:val="NormalHanging12a"/>
      </w:pPr>
      <w:r w:rsidRPr="00346B5F">
        <w:lastRenderedPageBreak/>
        <w:t>–</w:t>
      </w:r>
      <w:r w:rsidRPr="00346B5F">
        <w:tab/>
        <w:t>atsižvelgdamas į Biudžeto kontrolės komiteto pranešimą (A9</w:t>
      </w:r>
      <w:r w:rsidRPr="00346B5F">
        <w:noBreakHyphen/>
        <w:t>0106/2024),</w:t>
      </w:r>
    </w:p>
    <w:p w:rsidR="006D39C5" w:rsidRPr="00346B5F" w:rsidRDefault="006D39C5" w:rsidP="006D39C5">
      <w:pPr>
        <w:pStyle w:val="NormalHanging12a"/>
      </w:pPr>
      <w:r w:rsidRPr="00346B5F">
        <w:t>1.</w:t>
      </w:r>
      <w:r w:rsidRPr="00346B5F">
        <w:tab/>
        <w:t>pritaria Europos Sąjungos prieglobsčio agentūros 2022 finansinių metų sąskaitų uždarymui;</w:t>
      </w:r>
    </w:p>
    <w:p w:rsidR="006D39C5" w:rsidRPr="00346B5F" w:rsidRDefault="006D39C5" w:rsidP="006D39C5">
      <w:pPr>
        <w:pStyle w:val="NormalHanging12a"/>
      </w:pPr>
      <w:r w:rsidRPr="00346B5F">
        <w:t>2.</w:t>
      </w:r>
      <w:r w:rsidRPr="00346B5F">
        <w:tab/>
        <w:t xml:space="preserve">paveda Pirmininkei perduoti šį sprendimą Europos Sąjungos prieglobsčio agentūros vykdomajai direktorei, Tarybai, Komisijai ir Audito Rūmams ir pasirūpinti, kad jis būtų paskelbtas </w:t>
      </w:r>
      <w:r w:rsidRPr="00346B5F">
        <w:rPr>
          <w:i/>
        </w:rPr>
        <w:t>Europos Sąjungos oficialiajame leidinyje</w:t>
      </w:r>
      <w:r w:rsidRPr="00346B5F">
        <w:t xml:space="preserve"> (L serijoje).</w:t>
      </w:r>
    </w:p>
    <w:p w:rsidR="006D39C5" w:rsidRPr="00346B5F" w:rsidRDefault="006D39C5" w:rsidP="006D39C5"/>
    <w:p w:rsidR="006D39C5" w:rsidRPr="00346B5F" w:rsidRDefault="006D39C5" w:rsidP="006D39C5">
      <w:pPr>
        <w:widowControl/>
        <w:rPr>
          <w:rFonts w:ascii="Arial" w:hAnsi="Arial" w:cs="Arial"/>
          <w:b/>
        </w:rPr>
        <w:sectPr w:rsidR="006D39C5" w:rsidRPr="00346B5F" w:rsidSect="007545F0">
          <w:footnotePr>
            <w:numRestart w:val="eachPage"/>
          </w:footnotePr>
          <w:endnotePr>
            <w:numFmt w:val="decimal"/>
          </w:endnotePr>
          <w:pgSz w:w="11906" w:h="16838"/>
          <w:pgMar w:top="1134" w:right="1418" w:bottom="1418" w:left="1418" w:header="567" w:footer="567" w:gutter="0"/>
          <w:cols w:space="720"/>
          <w:docGrid w:linePitch="326"/>
        </w:sectPr>
      </w:pPr>
    </w:p>
    <w:p w:rsidR="006D39C5" w:rsidRPr="00346B5F" w:rsidRDefault="006D39C5" w:rsidP="00D902C0">
      <w:pPr>
        <w:pStyle w:val="ATHeading3"/>
      </w:pPr>
      <w:bookmarkStart w:id="10" w:name="_Toc146792447"/>
      <w:bookmarkStart w:id="11" w:name="_Toc161997050"/>
      <w:r w:rsidRPr="00346B5F">
        <w:lastRenderedPageBreak/>
        <w:t xml:space="preserve">3. </w:t>
      </w:r>
      <w:r w:rsidR="00F10714" w:rsidRPr="00346B5F">
        <w:t xml:space="preserve">2024 m. balandžio 11 d. Europos Parlamento rezoliucija </w:t>
      </w:r>
      <w:bookmarkEnd w:id="10"/>
      <w:bookmarkEnd w:id="11"/>
      <w:r w:rsidRPr="00346B5F">
        <w:t>su pastabomis, sudarančiomis neatskiriamą sprendimo dėl Europos Sąjungos prieglobsčio agentūros (iki 2022 m. sausio 19 d. – Europos prieglobsčio paramos biuras) 2022 finansinių metų biudžeto įvykdymo patvirtinimo dalį</w:t>
      </w:r>
      <w:r w:rsidR="00F10714" w:rsidRPr="00346B5F">
        <w:t xml:space="preserve"> </w:t>
      </w:r>
      <w:r w:rsidRPr="00346B5F">
        <w:t>(2023/2164(DEC))</w:t>
      </w:r>
    </w:p>
    <w:p w:rsidR="006D39C5" w:rsidRPr="00346B5F" w:rsidRDefault="006D39C5" w:rsidP="006D39C5">
      <w:pPr>
        <w:pStyle w:val="EPComma"/>
      </w:pPr>
      <w:r w:rsidRPr="00346B5F">
        <w:rPr>
          <w:i/>
        </w:rPr>
        <w:t>Europos Parlamentas</w:t>
      </w:r>
      <w:r w:rsidRPr="00346B5F">
        <w:t>,</w:t>
      </w:r>
    </w:p>
    <w:p w:rsidR="006D39C5" w:rsidRPr="00346B5F" w:rsidRDefault="006D39C5" w:rsidP="006D39C5">
      <w:pPr>
        <w:pStyle w:val="NormalHanging12a"/>
      </w:pPr>
      <w:r w:rsidRPr="00346B5F">
        <w:t>–</w:t>
      </w:r>
      <w:r w:rsidRPr="00346B5F">
        <w:tab/>
        <w:t>atsižvelgdamas į savo sprendimą dėl Europos Sąjungos prieglobsčio agentūros 2022 finansinių metų biudžeto įvykdymo patvirtinimo,</w:t>
      </w:r>
    </w:p>
    <w:p w:rsidR="006D39C5" w:rsidRPr="00346B5F" w:rsidRDefault="006D39C5" w:rsidP="006D39C5">
      <w:pPr>
        <w:pStyle w:val="NormalHanging12a"/>
      </w:pPr>
      <w:r w:rsidRPr="00346B5F">
        <w:t>–</w:t>
      </w:r>
      <w:r w:rsidRPr="00346B5F">
        <w:tab/>
        <w:t>atsižvelgdamas į Darbo tvarkos taisyklių 100 straipsnį ir V priedą,</w:t>
      </w:r>
    </w:p>
    <w:p w:rsidR="006D39C5" w:rsidRPr="00346B5F" w:rsidRDefault="006D39C5" w:rsidP="006D39C5">
      <w:pPr>
        <w:pStyle w:val="NormalHanging12a"/>
      </w:pPr>
      <w:r w:rsidRPr="00346B5F">
        <w:t>–</w:t>
      </w:r>
      <w:r w:rsidRPr="00346B5F">
        <w:tab/>
        <w:t>atsižvelgdamas į Piliečių laisvių, teisingumo ir vidaus reikalų komiteto nuomonę,</w:t>
      </w:r>
    </w:p>
    <w:p w:rsidR="006D39C5" w:rsidRPr="00346B5F" w:rsidRDefault="006D39C5" w:rsidP="006D39C5">
      <w:pPr>
        <w:pStyle w:val="NormalHanging12a"/>
      </w:pPr>
      <w:r w:rsidRPr="00346B5F">
        <w:t>–</w:t>
      </w:r>
      <w:r w:rsidRPr="00346B5F">
        <w:tab/>
        <w:t>atsižvelgdamas į Biudžeto kontrolės komiteto pranešimą (A9</w:t>
      </w:r>
      <w:r w:rsidRPr="00346B5F">
        <w:noBreakHyphen/>
        <w:t>0106/2024),</w:t>
      </w:r>
    </w:p>
    <w:p w:rsidR="006D39C5" w:rsidRPr="00346B5F" w:rsidRDefault="006D39C5" w:rsidP="006D39C5">
      <w:pPr>
        <w:pStyle w:val="Normal12Hanging"/>
        <w:rPr>
          <w:color w:val="000000" w:themeColor="text1"/>
          <w:szCs w:val="24"/>
          <w:lang w:val="lt-LT"/>
        </w:rPr>
      </w:pPr>
      <w:r w:rsidRPr="00346B5F">
        <w:rPr>
          <w:lang w:val="lt-LT"/>
        </w:rPr>
        <w:t>A.</w:t>
      </w:r>
      <w:r w:rsidRPr="00346B5F">
        <w:rPr>
          <w:lang w:val="lt-LT"/>
        </w:rPr>
        <w:tab/>
      </w:r>
      <w:r w:rsidRPr="00346B5F">
        <w:rPr>
          <w:color w:val="000000" w:themeColor="text1"/>
          <w:lang w:val="lt-LT"/>
        </w:rPr>
        <w:t>kadangi, remiantis Europos Sąjungos prieglobsčio agentūros (toliau – Agentūra) pajamų ir išlaidų suvestine</w:t>
      </w:r>
      <w:r w:rsidRPr="00346B5F">
        <w:rPr>
          <w:rStyle w:val="FootnoteReference"/>
          <w:color w:val="000000" w:themeColor="text1"/>
          <w:szCs w:val="24"/>
          <w:lang w:val="lt-LT"/>
        </w:rPr>
        <w:footnoteReference w:id="13"/>
      </w:r>
      <w:r w:rsidRPr="00346B5F">
        <w:rPr>
          <w:color w:val="000000" w:themeColor="text1"/>
          <w:lang w:val="lt-LT"/>
        </w:rPr>
        <w:t>, jos galutinis 2022 finansinių metų biudžetas buvo 186 842 192 EUR, t. y. 12,46 proc. didesnis nei 2021 m.; kadangi Agentūros biudžetą daugiausia sudaro lėšos iš Sąjungos biudžeto;</w:t>
      </w:r>
    </w:p>
    <w:p w:rsidR="006D39C5" w:rsidRPr="00346B5F" w:rsidRDefault="006D39C5" w:rsidP="006D39C5">
      <w:pPr>
        <w:pStyle w:val="Normal12Hanging"/>
        <w:rPr>
          <w:color w:val="000000" w:themeColor="text1"/>
          <w:szCs w:val="24"/>
          <w:lang w:val="lt-LT"/>
        </w:rPr>
      </w:pPr>
      <w:r w:rsidRPr="00346B5F">
        <w:rPr>
          <w:color w:val="000000" w:themeColor="text1"/>
          <w:lang w:val="lt-LT"/>
        </w:rPr>
        <w:t>B.</w:t>
      </w:r>
      <w:r w:rsidRPr="00346B5F">
        <w:rPr>
          <w:color w:val="000000" w:themeColor="text1"/>
          <w:lang w:val="lt-LT"/>
        </w:rPr>
        <w:tab/>
        <w:t>kadangi 2022 m. birželio mėn. Agentūra su Komisija pasirašė susitarimą dėl įnašo dėl Pasirengimo narystei paramos priemonės (PNPP) III etapo įgyvendinimo „ES regioninė parama apsaugos požiūriu jautrioms migracijos valdymo sistemoms Vakarų Balkanuose, III etapas, 2 sutartis“ (toliau – PNPP III Vakarų Balkanams), kurio bendra vertė – 6 mln. EUR, o įgyvendinimo laikotarpis – 47 mėnesiai;</w:t>
      </w:r>
    </w:p>
    <w:p w:rsidR="006D39C5" w:rsidRPr="00346B5F" w:rsidRDefault="006D39C5" w:rsidP="006D39C5">
      <w:pPr>
        <w:pStyle w:val="Normal12Hanging"/>
        <w:rPr>
          <w:color w:val="000000" w:themeColor="text1"/>
          <w:szCs w:val="24"/>
          <w:lang w:val="lt-LT"/>
        </w:rPr>
      </w:pPr>
      <w:r w:rsidRPr="00346B5F">
        <w:rPr>
          <w:color w:val="000000" w:themeColor="text1"/>
          <w:lang w:val="lt-LT"/>
        </w:rPr>
        <w:t>C.</w:t>
      </w:r>
      <w:r w:rsidRPr="00346B5F">
        <w:rPr>
          <w:color w:val="000000" w:themeColor="text1"/>
          <w:lang w:val="lt-LT"/>
        </w:rPr>
        <w:tab/>
        <w:t>kadangi 2022 m. Agentūros biudžetas gerokai padidėjo dėl išplėstų užduočių pagal Reglamentą (ES) 2021/2303, kuriuo siekiama, kad Agentūra taptų kompetencijos centru prieglobsčio klausimais;</w:t>
      </w:r>
    </w:p>
    <w:p w:rsidR="006D39C5" w:rsidRPr="00346B5F" w:rsidRDefault="006D39C5" w:rsidP="006D39C5">
      <w:pPr>
        <w:pStyle w:val="Normal12Hanging"/>
        <w:rPr>
          <w:color w:val="000000" w:themeColor="text1"/>
          <w:szCs w:val="24"/>
          <w:lang w:val="lt-LT"/>
        </w:rPr>
      </w:pPr>
      <w:r w:rsidRPr="00346B5F">
        <w:rPr>
          <w:color w:val="000000" w:themeColor="text1"/>
          <w:lang w:val="lt-LT"/>
        </w:rPr>
        <w:t>D.</w:t>
      </w:r>
      <w:r w:rsidRPr="00346B5F">
        <w:rPr>
          <w:color w:val="000000" w:themeColor="text1"/>
          <w:lang w:val="lt-LT"/>
        </w:rPr>
        <w:tab/>
        <w:t>kadangi 2022 m. Sąjungoje buvo beveik 1 mln. prieglobsčio prašytojų ir apie 4 mln. asmenų, kuriems suteikta laikinoji apsauga;</w:t>
      </w:r>
    </w:p>
    <w:p w:rsidR="006D39C5" w:rsidRPr="00346B5F" w:rsidRDefault="006D39C5" w:rsidP="006D39C5">
      <w:pPr>
        <w:spacing w:after="240"/>
        <w:ind w:left="567" w:hanging="567"/>
        <w:rPr>
          <w:color w:val="000000" w:themeColor="text1"/>
          <w:szCs w:val="24"/>
        </w:rPr>
      </w:pPr>
      <w:r w:rsidRPr="00346B5F">
        <w:rPr>
          <w:color w:val="000000" w:themeColor="text1"/>
        </w:rPr>
        <w:t>E.</w:t>
      </w:r>
      <w:r w:rsidRPr="00346B5F">
        <w:rPr>
          <w:color w:val="000000" w:themeColor="text1"/>
        </w:rPr>
        <w:tab/>
      </w:r>
      <w:r w:rsidRPr="00346B5F">
        <w:t>kadangi Audito Rūmai savo ataskaitoje dėl Agentūros 2022 finansinių metų metinių finansinių ataskaitų (toliau – Audito Rūmų ataskaita) pažymėjo, kad gavo pagrįstą patikinimą, jog Agentūros metinės finansinės ataskaitos yra patikimos ir jose nurodytos operacijos yra teisėtos ir tvarkingos;</w:t>
      </w:r>
    </w:p>
    <w:p w:rsidR="006D39C5" w:rsidRPr="00346B5F" w:rsidRDefault="006D39C5" w:rsidP="006D39C5">
      <w:pPr>
        <w:spacing w:after="240"/>
        <w:ind w:left="567" w:hanging="567"/>
        <w:rPr>
          <w:b/>
          <w:i/>
          <w:szCs w:val="24"/>
        </w:rPr>
      </w:pPr>
      <w:r w:rsidRPr="00346B5F">
        <w:rPr>
          <w:b/>
          <w:i/>
        </w:rPr>
        <w:t>Biudžeto ir finansų valdymas</w:t>
      </w:r>
    </w:p>
    <w:p w:rsidR="006D39C5" w:rsidRPr="00346B5F" w:rsidRDefault="006D39C5" w:rsidP="006D39C5">
      <w:pPr>
        <w:pStyle w:val="NormalHanging12a"/>
        <w:rPr>
          <w:szCs w:val="24"/>
        </w:rPr>
      </w:pPr>
      <w:r w:rsidRPr="00346B5F">
        <w:t>1.</w:t>
      </w:r>
      <w:r w:rsidRPr="00346B5F">
        <w:tab/>
        <w:t>pažymi, kad dėl 2022 finansiniais metais vykdytos biudžeto stebėsenos einamųjų metų įsipareigojimų asignavimų biudžeto įvykdymo lygis buvo 96,23 proc., t. y. šiek tiek (0,44 proc.) mažesnis nei 2021 m. (96,67 proc.); pažymi, kad einamųjų metų mokėjimų asignavimų panaudojimo lygis buvo 89,55 proc., t. y. 1,36 proc. mažesnis, palyginti su praėjusiais 2021 m. metais (90,91 proc.); su susirūpinimu atkreipia dėmesį į gana aukštą iš 2021 m. į 2022 m. perkeltų lėšų panaikinimo lygį (15 proc.), dėl kurio Agentūra nepasiekė metinio tikslinio rodiklio (mažiau nei 10 proc.);</w:t>
      </w:r>
    </w:p>
    <w:p w:rsidR="006D39C5" w:rsidRPr="00346B5F" w:rsidRDefault="006D39C5" w:rsidP="006D39C5">
      <w:pPr>
        <w:pStyle w:val="NormalHanging12a"/>
        <w:rPr>
          <w:szCs w:val="24"/>
        </w:rPr>
      </w:pPr>
      <w:r w:rsidRPr="00346B5F">
        <w:lastRenderedPageBreak/>
        <w:t>2.</w:t>
      </w:r>
      <w:r w:rsidRPr="00346B5F">
        <w:tab/>
        <w:t xml:space="preserve">pabrėžia, kad 2022 m. Agentūros valdančioji taryba priėmė du biudžeto pakeitimus; šiomis aplinkybėmis pažymi, jog Agentūra atliko savo 2022 m. biudžeto laikotarpio vidurio peržiūrą, kuri lėmė, kad Agentūra paprašė Komisijos skirti papildomą 12 mln. EUR subsidiją įsipareigojimų asignavimais ir 6 mln. EUR subsidiją mokėjimų asignavimais, kad ji galėtų vykdyti papildomas užduotis, susijusias su humanitarine krize, kurią sukėlė neteisėta ir neišprovokuota Rusijos invazija į Ukrainą; pažymi, kad šios sumos buvo įtrauktos į pirmąjį 2022 m. rugsėjo mėn. priimtą Agentūros biudžeto pakeitimą; vis dėlto apgailestauja, kad Agentūros rudens biudžeto ir planavimo peržiūroje išryškėjo nenumatytas vėlavimas įgyvendinant su Ukrainos krize susijusius veiklos planus, dėl kurio valdančioji taryba 2022 m. lapkričio mėn. priėmė neigiamą (antrąjį) biudžeto pakeitimą, kuriuo mokėjimų asignavimai buvo sumažinti 12 mln. EUR; galiausiai pastebi, kad Agentūros biudžeto pakeitimai taip pat atspindi Danijos savanorišką įnašą (antroji 94 063 EUR įmoka), skirtą EASO ir Egipto bendradarbiavimo veiksmų planui įgyvendinti, ir pirmąjį išankstinį finansavimą (2 968 129 EUR) pagal </w:t>
      </w:r>
      <w:r w:rsidRPr="00346B5F">
        <w:rPr>
          <w:color w:val="000000" w:themeColor="text1"/>
        </w:rPr>
        <w:t>PNPP III Vakarų Balkanams</w:t>
      </w:r>
      <w:r w:rsidRPr="00346B5F">
        <w:t>;</w:t>
      </w:r>
    </w:p>
    <w:p w:rsidR="006D39C5" w:rsidRPr="00346B5F" w:rsidRDefault="006D39C5" w:rsidP="006D39C5">
      <w:pPr>
        <w:pStyle w:val="NormalHanging12a"/>
        <w:rPr>
          <w:szCs w:val="24"/>
        </w:rPr>
      </w:pPr>
      <w:r w:rsidRPr="00346B5F">
        <w:t>3.</w:t>
      </w:r>
      <w:r w:rsidRPr="00346B5F">
        <w:tab/>
        <w:t>atkreipia dėmesį į Audito Rūmų ataskaitoje pateiktą pastabą dėl Šengeno asocijuotųjų šalių įnašų į Agentūros biudžetą, kad Sąjungos ir šių šalių sudaryti susitarimai, kurie yra teisinis pagrindas apskaičiuojant šiuos įnašus, yra neaiškūs ir gali būti skirtingai aiškinami; todėl, taikant, Audito Rūmų nuomone, ydingą skaičiavimo formulę, pagal kurią įnašų santykis dauginamas iš sumos, atspindinčios tik Sąjungos biudžeto subsidiją Agentūros veiklai, nors, Audito Rūmų nuomone, į šią sumą turėtų būti įtraukta ir Šengeno asocijuotųjų šalių dalis, kiekvienos Šengeno asocijuotosios šalies įnašai (į Agentūros biudžetą) sudaro apie 0,7 mln. EUR (7 proc.) per mažą sumą; ragina Komisiją spręsti šį klausimą artėjančiose derybose su Šengeno asocijuotosiomis šalimis dėl naujų susitarimų, kurie apims Šengeno asocijuotųjų šalių dalyvavimą Agentūros veikloje, siekiant užtikrinti didesnį jų aiškumą;</w:t>
      </w:r>
    </w:p>
    <w:p w:rsidR="006D39C5" w:rsidRPr="00346B5F" w:rsidRDefault="006D39C5" w:rsidP="006D39C5">
      <w:pPr>
        <w:spacing w:after="240"/>
        <w:ind w:left="567" w:hanging="567"/>
        <w:rPr>
          <w:szCs w:val="24"/>
        </w:rPr>
      </w:pPr>
      <w:r w:rsidRPr="00346B5F">
        <w:rPr>
          <w:b/>
          <w:i/>
        </w:rPr>
        <w:t>Veikla</w:t>
      </w:r>
    </w:p>
    <w:p w:rsidR="006D39C5" w:rsidRPr="00346B5F" w:rsidRDefault="006D39C5" w:rsidP="006D39C5">
      <w:pPr>
        <w:pStyle w:val="NormalHanging12a"/>
        <w:rPr>
          <w:szCs w:val="24"/>
        </w:rPr>
      </w:pPr>
      <w:r w:rsidRPr="00346B5F">
        <w:t>4.</w:t>
      </w:r>
      <w:r w:rsidRPr="00346B5F">
        <w:tab/>
        <w:t>pastebi, kad 2022 m. Agentūros veiklos rezultatai buvo vertinami pagal 204 metinius tikslinius rodiklius, iš kurių 48 proc. buvo viršyti, 26 proc. pasiekti, 10 proc. beveik pasiekti, 12 proc. buvo vėluojama pasiekti ir 4 proc. buvo netaikomi;</w:t>
      </w:r>
    </w:p>
    <w:p w:rsidR="006D39C5" w:rsidRPr="00346B5F" w:rsidRDefault="006D39C5" w:rsidP="006D39C5">
      <w:pPr>
        <w:pStyle w:val="NormalHanging12a"/>
        <w:rPr>
          <w:szCs w:val="24"/>
        </w:rPr>
      </w:pPr>
      <w:r w:rsidRPr="00346B5F">
        <w:t>5.</w:t>
      </w:r>
      <w:r w:rsidRPr="00346B5F">
        <w:tab/>
        <w:t>giria Agentūrą už didelę pažangą, padarytą 2022 m., siekiant visiškai įgyvendinti naujas Reglamento (ES) 2021/2033 nuostatas; visų pirma, atkreipia dėmesį į tai, jog iš Agentūros ataskaitos dėl tolesnių veiksmų, susijusių su 2021 m. biudžeto įvykdymo patvirtinimu (toliau – ataskaita dėl tolesnių veiksmų) matyti, kad Agentūra įsteigė konsultacinį forumą, taip pat prieglobsčio pagalbos rezervą, kurį 2023 m. birželio mėn. viduryje jau sudarė 360 valstybių narių patvirtintų ekspertų (iš 500, kaip reikalaujama tame reglamente), ir vykdė pagrindinių teisių pareigūno, kuris pradėjo eiti pareigas 2023 m. gegužės mėn., įdarbinimo procesą, taip pat vykdė konsultacijas su suinteresuotaisiais subjektais, siekdama parengti ir patvirtinti skundų nagrinėjimo mechanizmą; dėl stebėsenos mechanizmo pažymi, kad šiuo metu rengiama metodika ir programa, kurią planuojama patvirtinti 2024 m. I ketvirtį, o po to atlikti bandomąją stebėseną;</w:t>
      </w:r>
    </w:p>
    <w:p w:rsidR="006D39C5" w:rsidRPr="00346B5F" w:rsidRDefault="006D39C5" w:rsidP="006D39C5">
      <w:pPr>
        <w:pStyle w:val="NormalHanging12a"/>
        <w:rPr>
          <w:szCs w:val="24"/>
        </w:rPr>
      </w:pPr>
      <w:r w:rsidRPr="00346B5F">
        <w:t>6.</w:t>
      </w:r>
      <w:r w:rsidRPr="00346B5F">
        <w:tab/>
        <w:t xml:space="preserve">dėl veiklos srities, apimančios ryšių palaikymo pareigūnų siuntimą į valstybes nares ir trečiąsias šalis, pažymi, kad dėl žmogiškųjų išteklių trūkumo Agentūra suskirstė valstybes nares į grupes ir vienas ryšių palaikymo pareigūnas aptarnauja ne daugiau kaip keturias valstybes nares, taip pat pažymi, kad trūksta terminų, kuriais </w:t>
      </w:r>
      <w:r w:rsidRPr="00346B5F">
        <w:lastRenderedPageBreak/>
        <w:t>vadovaujantis ryšių palaikymo pareigūnai būtų siunčiami į trečiąsias šalis; pripažįsta, jog Agentūrai reikia papildomų išteklių, kad ji galėtų visapusiškai įgyvendinti Reglamento (ES) 2021/2303 reikalavimus šioje srityje, ir dar kartą ragina Komisiją priimant sprendimus dėl būsimų etatų planų geriau atsižvelgti į Agentūros veiklos poreikius;</w:t>
      </w:r>
    </w:p>
    <w:p w:rsidR="006D39C5" w:rsidRPr="00346B5F" w:rsidRDefault="006D39C5" w:rsidP="006D39C5">
      <w:pPr>
        <w:pStyle w:val="NormalHanging12a"/>
        <w:rPr>
          <w:szCs w:val="24"/>
        </w:rPr>
      </w:pPr>
      <w:r w:rsidRPr="00346B5F">
        <w:t>7.</w:t>
      </w:r>
      <w:r w:rsidRPr="00346B5F">
        <w:tab/>
        <w:t>pripažįsta, kad 2022 m. dėl Rusijos neteisėtos invazijos į Ukrainą Agentūrai priskirtos naujos užduotys ir jai kilo daugybė iššūkių; šiomis aplinkybėmis pažymi, kad atitinkamų nacionalinių valdžios institucijų prašymu Agentūra išplėtė savo veiklą į dar šešias valstybes nares ir iš viso parengė veiklos planus 14 valstybių narių; giria Agentūrą už tai, kad ji taip pat padeda toms valstybėms narėms įgyvendinti Laikinosios apsaugos direktyvą; be to, pažymi, kad Agentūra rėmė savanoriško perkėlimo programą, pagal kurią iš Ukrainos bėgantiems asmenims padedama persikelti į Sąjungą ir prašyti laikinosios apsaugos, rengė mokymus apie Laikinosios apsaugos direktyvą nacionalinėms administravimo institucijoms, parengė konkrečioms šalims skirtus komunikacijos produktus (lankstinukus, brošiūras ir plakatus) su specialiai pritaikyta informacija apie laikinąją apsaugą, dažniau rengė situacijos analizes ir pirmą kartą komandiravo darbuotojus į Sąjungai nepriklausančią šalį (Moldovą); be to, palankiai vertina tai, kad Agentūra aktyviai dalyvauja veikloje, susijusioje su bendros Europos prieglobsčio sistemos (BEPS) išorės aspektu, ir padėjo ES+ šalims perkelti 2 585 asmenis, parėmė 13 atrankos misijų ir 3 orientavimo prieš išvykimą misijas;</w:t>
      </w:r>
    </w:p>
    <w:p w:rsidR="006D39C5" w:rsidRPr="00346B5F" w:rsidRDefault="006D39C5" w:rsidP="006D39C5">
      <w:pPr>
        <w:pStyle w:val="NormalHanging12a"/>
      </w:pPr>
      <w:r w:rsidRPr="00346B5F">
        <w:t>8.</w:t>
      </w:r>
      <w:r w:rsidRPr="00346B5F">
        <w:tab/>
        <w:t>pabrėžia, kad, be kitų 2022 m. pasiekimų, Agentūra sukūrė apie 3 000 puslapių kilmės šalies produktų, išnagrinėjo daugiau kaip 1 000 atskirų medicininių prašymų, susijusių su Agentūros medicinine kilmės šalies veikla, surengė mokymus, kuriuose iš viso dalyvavo rekordinis skaičius dalyvių (13 000), taip pat paskelbė ir (arba) atnaujino šalies gaires (dėl Somalio, Afganistano ir Irako); taip pat giria Agentūrą už tai, kad ji padeda Vakarų Balkanų šalims stiprindama institucinius gebėjimus, rengdama mokymus ir instruktažus darbo vietoje, susijusius su pagrindinėmis prieglobsčio procedūromis Albanijoje, Bosnijoje ir Hercegovinoje, Kosove, Juodkalnijoje, Šiaurės Makedonijoje ir Serbijoje;</w:t>
      </w:r>
    </w:p>
    <w:p w:rsidR="006D39C5" w:rsidRPr="00346B5F" w:rsidRDefault="006D39C5" w:rsidP="006D39C5">
      <w:pPr>
        <w:pStyle w:val="NormalHanging12a"/>
        <w:rPr>
          <w:b/>
          <w:i/>
        </w:rPr>
      </w:pPr>
      <w:r w:rsidRPr="00346B5F">
        <w:rPr>
          <w:b/>
          <w:i/>
        </w:rPr>
        <w:t>Veiksmingumas ir nauda</w:t>
      </w:r>
    </w:p>
    <w:p w:rsidR="006D39C5" w:rsidRPr="00346B5F" w:rsidRDefault="006D39C5" w:rsidP="006D39C5">
      <w:pPr>
        <w:pStyle w:val="NormalHanging12a"/>
      </w:pPr>
      <w:r w:rsidRPr="00346B5F">
        <w:t>9.</w:t>
      </w:r>
      <w:r w:rsidRPr="00346B5F">
        <w:tab/>
        <w:t>pažymi, kad Agentūra bendradarbiauja su keliomis teisingumo ir vidaus reikalų agentūromis (pavyzdžiui, FRONTEX, eu-LISA, FRA, CEPOL) dėl informuotumo apie padėtį produktų, paramos sprendžiant veiklos uždavinius (įskaitant dislokuotą personalą), mokymosi ir keitimosi informacija, taip pat mokymo ir gebėjimų stiprinimo ir kt.; pabrėžia, kad, siekiant teisingai paskirstyti išteklius, svarbu bendradarbiauti; be to, pažymi, kad, remiantis susitarimu dėl paslaugų lygio, eu-LISA yra Agentūros IRT loginės infrastruktūros ir ryšių atkūrimo vieta; ragina Agentūrą, atsižvelgiant į naujus Agentūros įgaliojimus, toliau ieškoti būdų, kaip keistis geriausia patirtimi ir galimybėmis, kad būtų galima dalytis ištekliais ir toliau plėtoti sinergiją su kitomis agentūromis bendro intereso srityse, siekiant didinti efektyvumą;</w:t>
      </w:r>
    </w:p>
    <w:p w:rsidR="006D39C5" w:rsidRPr="00346B5F" w:rsidRDefault="006D39C5" w:rsidP="006D39C5">
      <w:pPr>
        <w:pStyle w:val="NormalHanging12a"/>
      </w:pPr>
      <w:r w:rsidRPr="00346B5F">
        <w:t>10.</w:t>
      </w:r>
      <w:r w:rsidRPr="00346B5F">
        <w:tab/>
        <w:t xml:space="preserve">palankiai vertina priemones, kurių Agentūra ėmėsi 2022 m., siekdama padidinti efektyvumą ir supaprastinimo, pavyzdžiui, sumažinti procedūrinių veiksmų skaičių, automatizuoti pasikartojančias užduotis ir įdiegti horizontaliųjų paslaugų teikimo organizacinį modelį, pagal kurį administracinė patirtis priartinama prie naudojimo vietos nuotoliniu būdu, dalyvaujant vietoje arba mišriu būdu, taip suteikiant naudos šalių operacijoms tokiose srityse kaip finansinis sandorių inicijavimas, IRT rėmimas, </w:t>
      </w:r>
      <w:r w:rsidRPr="00346B5F">
        <w:lastRenderedPageBreak/>
        <w:t>teisinė parama ir priemonių valdymas; teigiamai vertina tai, kad Agentūra, naudodama tuos pačius išteklius kaip ir 2021 m., padidino efektyvumą, užtikrindama darbuotojų saugumą atliekant daugiau šalių operacijų; taip pat pažymi, kad Agentūra įgyvendino keletą veiksmų, kuriais siekiama didinti efektyvumą tokiose srityse kaip kibernetinis saugumas (pavyzdžiui, pasitelkiant automatizuotą reagavimo į incidentus darbo eigą), viešieji pirkimai (paskiriant ryšių punktus, atsakingus už dažniausiai įsigyjamas prekes ir paslaugas, siekiant pagerinti procedūrų kokybę ir savalaikiškumą bei teikti paramą nuo ankstyvųjų viešųjų pirkimų etapų), IRT (pateikiant naudotojams vienintelę nuorodą į jų prašymų statusą) ir žmogiškieji ištekliai (įdiegiant pirmuosius SYSPER modulius, be kita ko, tapatybės, organizavimo, karjeros, asmens duomenų ir laiko valdymo klausimais, taip pat žmogiškųjų išteklių bilietų sistemą, skirtą visiems Agentūros darbuotojams teikiamoms paramos paslaugoms); ragina Agentūrą visapusiškai įgyvendinti Komisijos viešųjų pirkimų valdymo priemonę; remdamasis Agentūros 2022 m. konsoliduotąja veiklos ataskaita, atkreipia dėmesį į tai, kad 2022 m. vėl padidėjo Agentūros operatyvinei veiklai skiriamų išteklių dalis, atitinkanti 79,13 proc. 2022 m. (palyginti su 72,14 proc. 2021 m. ir 68,68 proc. 2020 m.);</w:t>
      </w:r>
    </w:p>
    <w:p w:rsidR="006D39C5" w:rsidRPr="00346B5F" w:rsidRDefault="006D39C5" w:rsidP="006D39C5">
      <w:pPr>
        <w:pStyle w:val="NormalHanging12a"/>
      </w:pPr>
      <w:r w:rsidRPr="00346B5F">
        <w:t>11.</w:t>
      </w:r>
      <w:r w:rsidRPr="00346B5F">
        <w:tab/>
        <w:t>remdamasis Audito Rūmų ataskaita, apgailestaudamas pripažįsta, jog Agentūra nepriskiriama prie agentūrų, kurios yra parengusios veiklos planus, kad padidintų savo veiklos energijos vartojimo efektyvumą ir poveikio klimatui neutralumą, į savo metines veiklos ataskaitas įtrauktų tam tikros formos aplinkosaugos ataskaitas ir užsiregistruotų EMAS; vis dėlto, remdamasis Agentūros atsakymais į Parlamento raštu pateiktus klausimus, pabrėžia, kad 2022 m. Agentūra pradėjo pirmąjį pasirengimo kurti ir įgyvendinti aplinkosaugos vadybos sistemą etapą ir ėmėsi parengiamųjų veiksmų vėlesniems etapams; ragina Agentūrą toliau dalyvauti gebėjimų stiprinimo veikloje ir bendradarbiauti su kitomis agentūromis ir Sąjungos institucijomis, siekiant paspartinti Agentūros EMAS sertifikavimo procesą; pabrėžia, kad Agentūra įtraukia aplinkosaugos aspektus į technines specifikacijas arba sutarties skyrimo kriterijus, pavyzdžiui, pastatų, valgyklų paslaugų, valymo paslaugų ir kt. srityse; ragina Agentūrą taip pat apsvarstyti galimybę plėtoti žaliųjų viešųjų pirkimų politiką;</w:t>
      </w:r>
      <w:r w:rsidRPr="00346B5F">
        <w:rPr>
          <w:b/>
          <w:i/>
        </w:rPr>
        <w:t> </w:t>
      </w:r>
      <w:r w:rsidRPr="00346B5F">
        <w:t>primygtinai ragina Agentūrą apsvarstyti galimybę įgyvendinti tarpinius tvarius ir efektyviai energiją vartojančius sprendimus, susijusius tiek su jos infrastruktūra, tiek su vidaus procesais, pavyzdžiui, didesniu skaitmeninių priemonių naudojimu ir dokumentų valdymu;</w:t>
      </w:r>
    </w:p>
    <w:p w:rsidR="006D39C5" w:rsidRPr="00346B5F" w:rsidRDefault="006D39C5" w:rsidP="006D39C5">
      <w:pPr>
        <w:spacing w:after="240"/>
        <w:ind w:left="567" w:hanging="567"/>
        <w:rPr>
          <w:b/>
          <w:i/>
          <w:szCs w:val="24"/>
        </w:rPr>
      </w:pPr>
      <w:r w:rsidRPr="00346B5F">
        <w:rPr>
          <w:b/>
          <w:i/>
        </w:rPr>
        <w:t>Personalo politika</w:t>
      </w:r>
    </w:p>
    <w:p w:rsidR="006D39C5" w:rsidRPr="00346B5F" w:rsidRDefault="006D39C5" w:rsidP="006D39C5">
      <w:pPr>
        <w:pStyle w:val="NormalHanging12a"/>
      </w:pPr>
      <w:r w:rsidRPr="00346B5F">
        <w:t>12.</w:t>
      </w:r>
      <w:r w:rsidRPr="00346B5F">
        <w:tab/>
        <w:t>atkreipia dėmesį į lyčių pasiskirstymą Agentūroje: 9 vyrai (69 proc.) ir 4 moterys (31 proc.) yra aukštesniosios ir viduriniosios grandies vadovai (toks pat pasiskirstymas kaip ir 2021 m.), 27 vyrai (48 proc.) ir 29 moterys (52 proc.) priklauso valdančiajai tarybai (geresnis pasiskirstymas, palyginti su 2021 m.) ir iš viso Agentūroje dirba 203 vyrai (39 proc.) ir 316 moterų (61 proc.) (toks pat pasiskirstymas kaip ir 2021 m.); primena, kad svarbu užtikrinti lyčių pusiausvyrą, ir ragina Agentūrą atsižvelgti į šį aspektą ateityje įdarbinant darbuotojus ir skiriant vyresniosios vadovybės ir viduriniosios grandies vadovus; palankiai vertina Agentūros įsipareigojimą į būsimą žmogiškųjų išteklių strategiją įtraukti veiksmus, kuriais pirmenybė bus teikiama lyčių atstovavimo ir įvairovės Agentūroje skatinimui, taip pat bus skatinamos lyderystės ugdymo programos, pritaikytos pradedantiesiems vadovams; prašo Agentūrą informuoti biudžeto įvykdymą tvirtinančią instituciją apie šio įsipareigojimo įgyvendinimą;</w:t>
      </w:r>
    </w:p>
    <w:p w:rsidR="006D39C5" w:rsidRPr="00346B5F" w:rsidRDefault="006D39C5" w:rsidP="006D39C5">
      <w:pPr>
        <w:pStyle w:val="NormalHanging12a"/>
        <w:rPr>
          <w:szCs w:val="24"/>
        </w:rPr>
      </w:pPr>
      <w:r w:rsidRPr="00346B5F">
        <w:t>13.</w:t>
      </w:r>
      <w:r w:rsidRPr="00346B5F">
        <w:tab/>
        <w:t xml:space="preserve">pažymi, kad 2022 m. gruodžio 31 d. etatų planas buvo įvykdytas 90 proc. (87 proc. 2021 m.) ir iš 371 laikinojo darbuotojo, kurio etatai patvirtinti pagal Sąjungos biudžetą </w:t>
      </w:r>
      <w:r w:rsidRPr="00346B5F">
        <w:lastRenderedPageBreak/>
        <w:t>(palyginti su 2021 m. patvirtintais 366 etatais), buvo paskirti 333 laikinieji darbuotojai; palankiai vertina tai, kad Agentūros užimtumo rodiklis vėl padidėjo; apgailestauja, kad Agentūros darbuotojų kaitos rodiklis padidėjo nuo 4,1 proc. 2021 m. iki 8,2 proc. 2022 m; pažymi, kad, be to, 2022 m. Agentūroje dirbo 184 sutartininkai ir 10 deleguotųjų nacionalinių ekspertų; pabrėžia, kad dėl karo Ukrainoje ir Laikinosios apsaugos direktyvos įgyvendinimo Komisija dvejų metų laikotarpiui suteikė Agentūrai 90 trumpalaikių sutartininkų pareigybių; pastebi, kad 2022 m. Agentūra paskelbė apie 29 laisvas darbo vietas ir pateikė 138 darbo pasiūlymus laikiniesiems darbuotojams ir sutartininkams;</w:t>
      </w:r>
    </w:p>
    <w:p w:rsidR="006D39C5" w:rsidRPr="00346B5F" w:rsidRDefault="006D39C5" w:rsidP="006D39C5">
      <w:pPr>
        <w:pStyle w:val="NormalHanging12a"/>
      </w:pPr>
      <w:r w:rsidRPr="00346B5F">
        <w:t>14.</w:t>
      </w:r>
      <w:r w:rsidRPr="00346B5F">
        <w:tab/>
        <w:t xml:space="preserve">palankiai vertina Agentūros politiką dėl asmens orumo apsaugos ir psichologinio bei seksualinio priekabiavimo prevencijos, Komisijos taisyklių dėl administracinių tyrimų ir drausminių procedūrų vykdymo įgyvendinimą ir vidaus gaires dėl pagalbos prašymų pagal Sąjungos pareigūnų tarnybos nuostatų 24 straipsnį; remdamasis Agentūros atsakymais į Parlamento raštu pateiktus klausimus, pažymi, kad 2022 m. Agentūra gavo tris priekabiavimo bylas, iš kurių dvi buvo atmestos, nes nebuvo jokių </w:t>
      </w:r>
      <w:r w:rsidRPr="00346B5F">
        <w:rPr>
          <w:i/>
        </w:rPr>
        <w:t>prima facie</w:t>
      </w:r>
      <w:r w:rsidRPr="00346B5F">
        <w:t xml:space="preserve"> priekabiavimo įrodymų, ir užbaigtos nesiimant tolesnių veiksmų, o trečioje byloje buvo pradėtas administracinis tyrimas; ragina Agentūrą nuolat informuoti biudžeto įvykdymą tvirtinančią instituciją apie šio tyrimo rezultatus; su pasitenkinimu pažymi, kad, atsižvelgdama į Komisijos Vidaus audito tarnybos rekomendaciją, Agentūra 2023 m. balandžio mėn. priėmė administracinių tyrimų ir drausminių procedūrų gaires; pabrėžia, kad svarbu turėti tvirtas kovos su priekabiavimu sistemas, ypač labai įtemptoje ir daug pastangų reikalaujančioje darbo aplinkoje; ragina Agentūrą pradėti taikyti mokymo sistemą šiuo klausimu naujiems darbuotojams ir esamiems darbuotojams;</w:t>
      </w:r>
    </w:p>
    <w:p w:rsidR="006D39C5" w:rsidRPr="00346B5F" w:rsidRDefault="006D39C5" w:rsidP="006D39C5">
      <w:pPr>
        <w:pStyle w:val="NormalHanging12a"/>
      </w:pPr>
      <w:r w:rsidRPr="00346B5F">
        <w:t>15.</w:t>
      </w:r>
      <w:r w:rsidRPr="00346B5F">
        <w:tab/>
        <w:t>remdamasis Agentūros tolesniais veiksmais, susijusiais su Parlamento horizontaliosiomis pastabomis dėl 2021 m. biudžeto įvykdymo patvirtinimo procedūros, taip pat Agentūros ataskaita dėl tolesnių veiksmų, pažymi, kad pastaraisiais metais (nuo 2019 m.) Agentūra, nagrinėdama įtariamo priekabiavimo atvejus (t. y. pagalbos prašymus pagal Tarnybos nuostatų 24 straipsnį), naudojasi išorės advokatų kontoros (kuri specializuojasi Sąjungos valstybės tarnybos teisės srityje) paslaugomis; šiomis aplinkybėmis pastebi, kad Agentūros Teisinių paslaugų skyrius atlieka vertinimą, siekdamas nustatyti, ar reikia prašyti išorės advokatų kontoros pagalbos arba konsultacijos, ir visais šiais atvejais šis skyrius valdo atitinkamą procedūrą bei bendradarbiauja su Agentūros Žmogiškųjų išteklių skyriumi;</w:t>
      </w:r>
    </w:p>
    <w:p w:rsidR="006D39C5" w:rsidRPr="00346B5F" w:rsidRDefault="006D39C5" w:rsidP="006D39C5">
      <w:pPr>
        <w:pStyle w:val="NormalHanging12a"/>
      </w:pPr>
      <w:r w:rsidRPr="00346B5F">
        <w:t>16.</w:t>
      </w:r>
      <w:r w:rsidRPr="00346B5F">
        <w:tab/>
        <w:t xml:space="preserve">primena, kad Audito Rūmai nustatė, jog 2020 m. Agentūros etatų plane buvo 16 laisvų vadovų pareigybių, iš kurių 10 buvo užimtos laikinai einančių pareigas ilgiau nei vienus metus, taip pat atkreipė dėmesį į kitus klausimus, pavyzdžiui, kad laikinai einantys pareigas vadovai užėmė dvi pareigybes; palankiai vertina Agentūros ataskaitoje dėl tolesnių veiksmų nurodytus švelninimo veiksmus, kurių ji ėmėsi siekdama laikytis Tarnybos nuostatų 7 straipsnio 2 dalies, pirmiausia 2022 m. pabaigoje sumažindama laikinai užimamų vadovaujamų pareigų, kurių trukmė viršija vienus metus, skaičių iki dviejų, o nuo 2023 m. jų iš viso atsisakydama, nes nė vienas darbuotojas nebeina laikinai užimamų vadovaujamų pareigų ilgiau nei vienus metus; palankiai vertina Agentūros įsipareigojimą teikti pirmenybę vadovų įdarbinimui; giria Agentūrą už pažangą, padarytą 2022 ir 2023 m., vykdant atrankos procedūras į įvairias viduriniosios ir aukštesniosios grandies vadovų pareigas, įskaitant vykdomojo direktoriaus pavaduotojo pareigas, nors, remiantis Agentūros ataskaita dėl tolesnių veiksmų, dvi atrankos procedūros yra užbaigtos, o devynios atrankos procedūros tebevyksta arba nėra užbaigtos; galiausiai, atsižvelgdamas į Agentūros interneto svetainę, pastebi, kad nuo </w:t>
      </w:r>
      <w:r w:rsidRPr="00346B5F">
        <w:lastRenderedPageBreak/>
        <w:t>2024 m. sausio 15 d. Agentūros Administravimo centro vadovas pareigas eina laikinai, o Agentūros Institucinių ir horizontaliųjų reikalų centro vadovas pareigas eina pavadavimo pagrindu; pažymi, jog Administravimo centro vadovo atrankos procedūra tebevyksta ir tikimasi, kad ji bus baigta 2024 m. I ketvirtį; taip pat pažymi, jog vyksta Institucinių ir horizontaliųjų reikalų centro vadovo atrankos procedūra ir tikimasi, kad ji bus užbaigta 2024 m. I ketvirtį; ragina Agentūrą nuolat informuoti biudžeto įvykdymą tvirtinančią instituciją apie šių procedūrų rezultatus;</w:t>
      </w:r>
    </w:p>
    <w:p w:rsidR="006D39C5" w:rsidRPr="00346B5F" w:rsidRDefault="006D39C5" w:rsidP="006D39C5">
      <w:pPr>
        <w:pStyle w:val="NormalHanging12a"/>
        <w:rPr>
          <w:szCs w:val="24"/>
        </w:rPr>
      </w:pPr>
      <w:r w:rsidRPr="00346B5F">
        <w:t>17.</w:t>
      </w:r>
      <w:r w:rsidRPr="00346B5F">
        <w:tab/>
        <w:t xml:space="preserve">pabrėžia, kad švelninimo veiksmus, kurių Agentūra ėmėsi siekdama laikytis Tarnybos nuostatų 7 straipsnio 2 dalies, Vidaus audito tarnybos 2022 m. spalio mėn. atliktą faktų nustatymo misiją, Audito Rūmų atliktą 2022 finansinių metų auditą vietoje, atitinkamas Agentūrai skirtas Parlamento pastabas, pateiktas Parlamento rezoliucijoje dėl 2021 m. biudžeto įvykdymo patvirtinimo, ir 2022 m. lapkričio 24 d. Europos kovos su sukčiavimu tarnybos (OLAF) pradėtą (tebevykstantį) tyrimą taip pat lėmė anoniminis elektroninis laiškas, kuriame buvo pateikta daugybė įtarimų, </w:t>
      </w:r>
      <w:r w:rsidRPr="00346B5F">
        <w:rPr>
          <w:i/>
          <w:iCs/>
        </w:rPr>
        <w:t>inter alia</w:t>
      </w:r>
      <w:r w:rsidRPr="00346B5F">
        <w:t>, dėl su darbuotojais susijusių pažeidimų, kuriuos padarė visa Agentūros vyresniosios vadovybės grupė; ragina Agentūrą visapusiškai bendradarbiauti su OLAF atliekant tyrimą; remdamasis 2022 m. konsoliduotąja veiklos ataskaita, atkreipia dėmesį į Audito Rūmų išvadas, kad išmokų už laikinai užimamas vadovaujamas pareigas apskaičiavimas buvo teisėtas ir tvarkingas, o laikinai ilgiau nei vienus metus užimamos pareigos neatitiko reikalavimų, tačiau dėl to išmokos nebuvo mokamos nereguliariai; ragina Agentūrą informuoti biudžeto įvykdymą tvirtinančią instituciją apie šio tyrimo eigą ir etapus;</w:t>
      </w:r>
    </w:p>
    <w:p w:rsidR="006D39C5" w:rsidRPr="00346B5F" w:rsidRDefault="006D39C5" w:rsidP="006D39C5">
      <w:pPr>
        <w:pStyle w:val="NormalHanging12a"/>
      </w:pPr>
      <w:r w:rsidRPr="00346B5F">
        <w:t>18.</w:t>
      </w:r>
      <w:r w:rsidRPr="00346B5F">
        <w:tab/>
        <w:t>yra susirūpinęs dėl Agentūros vidaus valdymo ir procedūrų, atsižvelgiant į tai, kad 2022 m. OLAF pradėjo vieną tyrimą dėl valdymo ir personalo politikos, tariamai susijusį su nepotizmu, taip pat tyrimą, susijusį su žmogaus teisių nesilaikymu; pakartoja savo raginimą Agentūrai visapusiškai bendradarbiauti su tyrimą atliekančia įstaiga ir laiku informuoti biudžeto įvykdymą tvirtinančią instituciją apie rezultatus ir taisomąsias priemones;</w:t>
      </w:r>
    </w:p>
    <w:p w:rsidR="006D39C5" w:rsidRPr="00346B5F" w:rsidRDefault="006D39C5" w:rsidP="006D39C5">
      <w:pPr>
        <w:spacing w:after="240"/>
        <w:ind w:left="567" w:hanging="567"/>
      </w:pPr>
      <w:r w:rsidRPr="00346B5F">
        <w:t>19.</w:t>
      </w:r>
      <w:r w:rsidRPr="00346B5F">
        <w:tab/>
        <w:t xml:space="preserve">primena, kad 2018 m. OLAF užbaigė dar vieną tyrimą, per kurį buvo padaryta išvadų, susijusių, pavyzdžiui, su netinkamu žmogiškųjų išteklių valdymu, tuometinio Agentūros vykdomojo direktoriaus atsistatydinimu ir Agentūros valdančiosios tarybos patvirtintu valdymo veiksmų planu, kuriuo siekiama atkurti vidinį ir išorinį pasitikėjimą, sustiprinti valdymo struktūrą ir atkurti vidaus pajėgumus; pažymi, kad Audito Rūmai savo metinėje ataskaitoje baigė nagrinėti pastabą dėl didelio laisvų vadovų pareigybių skaičiaus ir dėl problemų, susijusių su nesaugumu vadovaujamų pareigų lygmeniu, kurie galėjo pakenkti Agentūros vadovybei ir jos strateginiam tęstinumui, ir nurodė, kad šios problemos išspręstos; pripažįsta, kad pagal EUAA reglamento 41 straipsnio 1 dalies t punktą Valdančioji taryba priima visus sprendimus dėl Agentūros vidaus struktūrų sukūrimo, o Komisija, kaip Agentūros valdančiosios tarybos narė, reguliariai prižiūri Agentūros reorganizavimą; pastebi, kad, nepaisant pastaraisiais metais Agentūros atliktų reorganizavimo darbų, vis dar lieka neišspręstų klausimų, kurie nurodyti 2023 m. sausio mėn. anoniminiame laiške; atkreipia dėmesį į Audito Rūmų išvadas dėl 2022 finansinių metų, pagrįstas taisomaisiais veiksmais, kurių ėmėsi Agentūra; atsižvelgdamas į tai, ragina Komisiją ieškoti sprendimų, kaip atlikti nepriklausomą pastarojo meto Agentūros reorganizavimo vertinimą, ir tikisi, kad Vidaus audito tarnybos atliekamas žmogiškųjų išteklių valdymo auditas pateiks tinkamą vertinimą apie tai, kokiu mastu dabartinė Agentūros organizacinė struktūra ir atsakomybės paskirstymas tarp Agentūros viduriniosios ir aukštesniosios grandies </w:t>
      </w:r>
      <w:r w:rsidRPr="00346B5F">
        <w:lastRenderedPageBreak/>
        <w:t>vadovų kelia neefektyvumo, netinkamo žmogiškųjų išteklių valdymo ir skaidrumo trūkumo, be kita ko (įskaitant Agentūros valdančios tarybos atžvilgiu), riziką;</w:t>
      </w:r>
    </w:p>
    <w:p w:rsidR="006D39C5" w:rsidRPr="00346B5F" w:rsidRDefault="006D39C5" w:rsidP="006D39C5">
      <w:pPr>
        <w:pStyle w:val="NormalHanging12a"/>
        <w:rPr>
          <w:szCs w:val="24"/>
        </w:rPr>
      </w:pPr>
      <w:r w:rsidRPr="00346B5F">
        <w:t>20.</w:t>
      </w:r>
      <w:r w:rsidRPr="00346B5F">
        <w:tab/>
        <w:t>susirūpinęs atkreipia dėmesį į tai, kad Agentūra nepriėmė įvairovės ir įtraukties chartijos ir nepranešė apie priemones, kurių buvo imtasi asmenų su negalia integracijai užtikrinti; primena, kad Sąjungos pagrindinių teisių chartijoje draudžiama diskriminacija dėl negalios ir pripažįstama asmenų su negalia teisė naudotis priemonėmis, kuriomis užtikrinamas jų nepriklausomumas, socialinė bei profesinė integracija ir dalyvavimas bendruomenės gyvenime; tačiau atkreipia dėmesį į Agentūros įsipareigojimą spręsti šių sričių problemas taikant priemones, kurios bus įgyvendintos priėmus būsimą žmogiškųjų išteklių strategiją; taip pat pažymi, jog Agentūra ėmėsi iniciatyvų ir įgyvendino įvairias priemones, kad padidintų darbuotojų gerovę darbe bei pagerintų profesinio ir asmeninio gyvenimo pusiausvyrą, pavyzdžiui, rengdama tikslingus mokymo kursus, paslaugų lygio susitarimus su v</w:t>
      </w:r>
      <w:bookmarkStart w:id="12" w:name="_GoBack"/>
      <w:bookmarkEnd w:id="12"/>
      <w:r w:rsidRPr="00346B5F">
        <w:t>aikų priežiūros paslaugų teikėjais ir mokyklomis, psichologinės ir socialinės paramos tarnybą, informuotumo didinimo kampanijas ir laisvalaikio užsiėmimus;</w:t>
      </w:r>
    </w:p>
    <w:p w:rsidR="006D39C5" w:rsidRPr="00346B5F" w:rsidRDefault="006D39C5" w:rsidP="006D39C5">
      <w:pPr>
        <w:pStyle w:val="NormalHanging12a"/>
        <w:rPr>
          <w:b/>
          <w:i/>
          <w:szCs w:val="24"/>
        </w:rPr>
      </w:pPr>
      <w:r w:rsidRPr="00346B5F">
        <w:rPr>
          <w:b/>
          <w:i/>
        </w:rPr>
        <w:t>Viešieji pirkimai</w:t>
      </w:r>
    </w:p>
    <w:p w:rsidR="006D39C5" w:rsidRPr="00346B5F" w:rsidRDefault="006D39C5" w:rsidP="006D39C5">
      <w:pPr>
        <w:pStyle w:val="NormalHanging12a"/>
        <w:rPr>
          <w:szCs w:val="24"/>
        </w:rPr>
      </w:pPr>
      <w:r w:rsidRPr="00346B5F">
        <w:t>21.</w:t>
      </w:r>
      <w:r w:rsidRPr="00346B5F">
        <w:tab/>
        <w:t>primena Audito Rūmų pastabas dėl 2017 ir 2020 finansinių metų, pagal kurias viešųjų pirkimų procedūros dėl nuomojamų patalpų Lesbe ir Romoje buvo netvarkingos dėl nepakankamos konkurencijos ir ekonomiškumo principo nesilaikymo; remdamasis Audito Rūmų ataskaita pažymi, kad visi vėlesni su šiomis procedūromis susiję mokėjimai yra neteisėti, įskaitant 2022 m. atliktus susijusius 281 095 EUR vertės mokėjimus; su pasitenkinimu atkreipia dėmesį į Audito Rūmų ataskaitoje nurodytus taisomuosius veiksmus, kurių ėmėsi Agentūra ir pagal kuriuos 2023 m. balandžio 30 d. ir 2023 m. liepos 31 d. atitinkamai baigėsi patalpų Lesbe ir Romoje nuomos sutartys; remdamasis 2022 m. konsoliduotąja veiklos ataskaita, pažymi, kad bendradarbiaujant su Graikijos valdžios institucijomis ieškoma tvaraus sprendimo dėl patalpų nuomos Lesbe;</w:t>
      </w:r>
    </w:p>
    <w:p w:rsidR="006D39C5" w:rsidRPr="00346B5F" w:rsidRDefault="006D39C5" w:rsidP="006D39C5">
      <w:pPr>
        <w:pStyle w:val="NormalHanging12a"/>
        <w:rPr>
          <w:szCs w:val="24"/>
        </w:rPr>
      </w:pPr>
      <w:r w:rsidRPr="00346B5F">
        <w:t>22.</w:t>
      </w:r>
      <w:r w:rsidRPr="00346B5F">
        <w:tab/>
        <w:t>atkreipia dėmesį į Audito Rūmų ataskaitoje pateiktą pastabą, kad Agentūra įsigijo IT įrangą iš paslaugų teikėjo internetinio katalogo, o ne pagal iš anksto patvirtintą kainoraštį, pateiktą kartu su finansiniais ir techniniais pasiūlymais, todėl pirkinio kaina buvo 44 proc. (o tai prilygo 49 224 EUR sumai, kurią Audito Rūmai laikė neteisėta) didesnė nei tuo atveju, jei būtų buvusi nustatyta pagal iš anksto patvirtintą kainoraštį; remdamasis Agentūros atsakymu, pažymi, kad sprendimą įsigyti šias prekes lėmė veiklos poreikiai ir skuba, taip pat ribotas IT reikmenų prieinamumas rinkoje, ir kad buvo nustatytos tinkamos kontrolės priemonės, užtikrinančios pakankamą patikinimą, kad iš internetinio katalogo perkamos pakaitinės prekės neviršys rangovo pirminiame pasiūlyme nurodytos atitinkamos prekės kainos;</w:t>
      </w:r>
    </w:p>
    <w:p w:rsidR="006D39C5" w:rsidRPr="00346B5F" w:rsidRDefault="006D39C5" w:rsidP="006D39C5">
      <w:pPr>
        <w:spacing w:after="240"/>
        <w:ind w:left="567" w:hanging="567"/>
        <w:rPr>
          <w:szCs w:val="24"/>
        </w:rPr>
      </w:pPr>
      <w:r w:rsidRPr="00346B5F">
        <w:rPr>
          <w:b/>
          <w:i/>
        </w:rPr>
        <w:t>Interesų konfliktų prevencija ir valdymas, taip pat skaidrumas</w:t>
      </w:r>
    </w:p>
    <w:p w:rsidR="006D39C5" w:rsidRPr="00346B5F" w:rsidRDefault="006D39C5" w:rsidP="006D39C5">
      <w:pPr>
        <w:pStyle w:val="NormalHanging12a"/>
        <w:rPr>
          <w:szCs w:val="24"/>
        </w:rPr>
      </w:pPr>
      <w:r w:rsidRPr="00346B5F">
        <w:t>23.</w:t>
      </w:r>
      <w:r w:rsidRPr="00346B5F">
        <w:tab/>
        <w:t xml:space="preserve">palankiai vertina 2022 m. Agentūros padarytą pažangą interesų konfliktų valdymo ir prevencijos bei etikos gairių srityje, kurią ji pasiekė atlikdama parengiamąjį darbą, po kurio 2023 m. sausio mėn. buvo priimtas vienas sprendimas, taikytinas Agentūros valdančiosios tarybos nariams, taip pat organizacijoms ir kompetentingoms įstaigoms, kurios yra Agentūros konsultacinio forumo narės, ir du sprendimai, taikytini Agentūros darbuotojams; palankiai vertina tai, kad buvo paskirtas Agentūros korespondentas etikos klausimais ir kad Agentūra įsipareigojo į kvietimus į posėdžius, kuriuose dalyvauja išorės dalyviai, įtraukti standartinius tekstus dėl interesų konfliktų </w:t>
      </w:r>
      <w:r w:rsidRPr="00346B5F">
        <w:lastRenderedPageBreak/>
        <w:t>deklaracijų; su pasitenkinimu atkreipia dėmesį į tai, kad Agentūra parengė gaires dėl taisyklių ir procedūrų, taikytinų iš Agentūros išeinantiems darbuotojams;</w:t>
      </w:r>
    </w:p>
    <w:p w:rsidR="006D39C5" w:rsidRPr="00346B5F" w:rsidRDefault="006D39C5" w:rsidP="006D39C5">
      <w:pPr>
        <w:pStyle w:val="NormalHanging12a"/>
        <w:rPr>
          <w:szCs w:val="24"/>
        </w:rPr>
      </w:pPr>
      <w:r w:rsidRPr="00346B5F">
        <w:t>24.</w:t>
      </w:r>
      <w:r w:rsidRPr="00346B5F">
        <w:tab/>
        <w:t xml:space="preserve">atkreipia dėmesį į tai, kad valdančiosios tarybos narių interesų deklaracijos ir gyvenimo aprašymai, taip pat Agentūros vadovaujančių darbuotojų interesų deklaracijos ir gyvenimo aprašymai skelbiami Agentūros interneto svetainėje; vis dėlto pastebi, kad Agentūros interneto svetainėje nėra vidaus ir išorės ekspertų gyvenimo aprašymų; remdamasis Agentūros atsakymais į Parlamento raštu pateiktus klausimus, pastebi, kad 2022 m. Agentūros lygmeniu nebuvo jokių pradėtų, nutrauktų ar tebenagrinėjamų interesų konfliktų ar pranešimų apie pažeidimus bylų; teigiamai vertina tai, kad Agentūra palaiko glaudų dialogą su atitinkamomis prieglobsčio srityje veikiančiomis pilietinės visuomenės organizacijomis per Agentūros konsultacinį forumą, kuris 2022 m. birželio mėn. buvo pertvarkytas (116 narių) pagal naujas taisykles, nustatytas </w:t>
      </w:r>
      <w:r w:rsidRPr="00346B5F">
        <w:rPr>
          <w:color w:val="000000" w:themeColor="text1"/>
        </w:rPr>
        <w:t>Reglamentu (ES) 2021/2303</w:t>
      </w:r>
      <w:r w:rsidRPr="00346B5F">
        <w:t>;</w:t>
      </w:r>
    </w:p>
    <w:p w:rsidR="006D39C5" w:rsidRPr="00346B5F" w:rsidRDefault="006D39C5" w:rsidP="006D39C5">
      <w:pPr>
        <w:spacing w:after="240"/>
        <w:ind w:left="567" w:hanging="567"/>
        <w:rPr>
          <w:b/>
          <w:i/>
          <w:szCs w:val="24"/>
        </w:rPr>
      </w:pPr>
      <w:r w:rsidRPr="00346B5F">
        <w:rPr>
          <w:b/>
          <w:i/>
        </w:rPr>
        <w:t>Vidaus kontrolė</w:t>
      </w:r>
    </w:p>
    <w:p w:rsidR="006D39C5" w:rsidRPr="00346B5F" w:rsidRDefault="006D39C5" w:rsidP="006D39C5">
      <w:pPr>
        <w:pStyle w:val="NormalHanging12a"/>
        <w:rPr>
          <w:szCs w:val="24"/>
        </w:rPr>
      </w:pPr>
      <w:r w:rsidRPr="00346B5F">
        <w:t>25.</w:t>
      </w:r>
      <w:r w:rsidRPr="00346B5F">
        <w:tab/>
        <w:t>atkreipia dėmesį į Audito Rūmų ataskaitoje pateiktą pastabą, kad trys įgaliojimų perdelegavimo atvejai, kuriuos reikėjo iš naujo patvirtinti 2021 m. balandžio mėn., nebuvo iš naujo patvirtinti iki 2022 m. vasario mėn., kai padėtis buvo ištaisyta, todėl Agentūra pažeidė savo vidaus taisykles, kuriose nurodyta, kad finansinių įgaliojimų perdelegavimas turi būti atnaujintas, kai tik paskiriamas naujas deleguotasis leidimus suteikiantis pareigūnas;</w:t>
      </w:r>
    </w:p>
    <w:p w:rsidR="006D39C5" w:rsidRPr="00346B5F" w:rsidRDefault="006D39C5" w:rsidP="006D39C5">
      <w:pPr>
        <w:pStyle w:val="NormalHanging12a"/>
        <w:rPr>
          <w:szCs w:val="24"/>
        </w:rPr>
      </w:pPr>
      <w:r w:rsidRPr="00346B5F">
        <w:t>26.</w:t>
      </w:r>
      <w:r w:rsidRPr="00346B5F">
        <w:tab/>
        <w:t xml:space="preserve">palankiai vertina Agentūros pažangą, padarytą įgyvendinant rekomendacijas, kurios liko neįvykdytos po ankstesnių Vidaus audito tarnybos ir Audito Rūmų atliktų auditų; remdamasis 2022 m. konsoliduotąja veiklos ataskaita, pažymi, kad kai kurios rekomendacijos, susijusios su Vidaus audito tarnybos 2020 m. auditu („Žmogiškųjų išteklių valdymas ir etika EASO“) ir 2021 m. auditu („IT valdymas ir IT projektų valdymas“), vis dar vykdomos arba jas gerokai vėluojama įvykdyti; remdamasis Audito Rūmų ataskaita, taip pat pažymi, kad trys Audito Rūmų anksčiau atliktų auditų rekomendacijos vis dar neįvykdytos: dvi rekomendacijos dėl patalpų Lesbe ir Romoje nuomos sutarčių, kurias Audito Rūmai, kaip tikisi Agentūra, 2024 m. laikys įvykdytomis, nes paskutiniai susiję (neteisėti) mokėjimai buvo atlikti 2023 m., ir viena rekomendacija dėl Agentūros vykdomos veiksmingos </w:t>
      </w:r>
      <w:r w:rsidRPr="00346B5F">
        <w:rPr>
          <w:i/>
          <w:iCs/>
        </w:rPr>
        <w:t>ex post</w:t>
      </w:r>
      <w:r w:rsidRPr="00346B5F">
        <w:t xml:space="preserve"> finansinės kontrolės; todėl ragina Agentūrą paspartinti likusių taisomųjų veiksmų įgyvendinimą ir informuoti biudžeto įvykdymą tvirtinančią instituciją apie šioje srityje padarytą pažangą;</w:t>
      </w:r>
    </w:p>
    <w:p w:rsidR="006D39C5" w:rsidRPr="00346B5F" w:rsidRDefault="006D39C5" w:rsidP="006D39C5">
      <w:pPr>
        <w:pStyle w:val="NormalHanging12a"/>
        <w:rPr>
          <w:szCs w:val="24"/>
        </w:rPr>
      </w:pPr>
      <w:r w:rsidRPr="00346B5F">
        <w:t>27.</w:t>
      </w:r>
      <w:r w:rsidRPr="00346B5F">
        <w:tab/>
        <w:t xml:space="preserve">pažymi, jog 2022 m. Agentūra pati atliko vidaus kontrolės sistemos vertinimą ir padarė išvadą, kad apskritai įdiegtos kontrolės priemonės veikia taip, kaip numatyta: 10 principų yra visiškai veiksmingi, 7 – veiksmingi, o komponentų „Kontrolės aplinka“, „Kontrolės veikla“ ir „Stebėsenos veikla“ lygmeniu reikalingi tam tikri patobulinimai; be to, pabrėžia, kad 2022 m. buvo įgyvendinta rizika grindžiama finansinės </w:t>
      </w:r>
      <w:r w:rsidRPr="00346B5F">
        <w:rPr>
          <w:i/>
          <w:iCs/>
        </w:rPr>
        <w:t>ex post</w:t>
      </w:r>
      <w:r w:rsidRPr="00346B5F">
        <w:t xml:space="preserve"> kontrolės strategija, pagrįsta atrinktais dvejų finansinių metų (2020–2021 m.) sandoriais ir viešųjų pirkimų operacijomis; atsižvelgdamas į 2022 m. konsoliduotąją veiklos ataskaitą, pastebi, kad šios kontrolės rezultatai apima 44 pastabas ir siūlomus 122 taisomuosius veiksmus; atkreipia dėmesį į tai, kad atlikdama 2022 m. vidaus kontrolės sistemos vertinimą, 2023 m. I ketvirtį Agentūra atliko tų 122 (iš anksto sutartų) taisomųjų veiksmų įgyvendinimo būsenos kontrolę – iš jų tik 45 taisomuosius veiksmus (40 proc.) atitinkami verslo savininkai įgyvendino laiku ir tinkamai; ragina Agentūrą imtis visų likusių neatliktų taisomųjų veiksmų ir informuoti biudžeto įvykdymą </w:t>
      </w:r>
      <w:r w:rsidRPr="00346B5F">
        <w:lastRenderedPageBreak/>
        <w:t xml:space="preserve">tvirtinančią instituciją apie pažangą šioje srityje; palankiai vertina tai, kad Agentūra skaidriai pateikia (2022 m. konsoliduotosios veiklos ataskaitos IX priedas) išsamią informaciją apie nustatytus trūkumus ir sutartus taisomuosius veiksmus, gautą iš įvairių šaltinių (išimčių ir neatitikties atvejų valdymas, vidaus kontrolės stebėsenos kriterijai, vidaus kontrolės sistemos vertinimai, finansinė </w:t>
      </w:r>
      <w:r w:rsidRPr="00346B5F">
        <w:rPr>
          <w:i/>
          <w:iCs/>
        </w:rPr>
        <w:t>ex ante</w:t>
      </w:r>
      <w:r w:rsidRPr="00346B5F">
        <w:t xml:space="preserve"> ir </w:t>
      </w:r>
      <w:r w:rsidRPr="00346B5F">
        <w:rPr>
          <w:i/>
          <w:iCs/>
        </w:rPr>
        <w:t>ex post</w:t>
      </w:r>
      <w:r w:rsidRPr="00346B5F">
        <w:t xml:space="preserve"> kontrolė, audito ataskaitos, rizikos valdymas ir kt.);</w:t>
      </w:r>
    </w:p>
    <w:p w:rsidR="006D39C5" w:rsidRPr="00346B5F" w:rsidRDefault="006D39C5" w:rsidP="006D39C5">
      <w:pPr>
        <w:pStyle w:val="NormalHanging12a"/>
        <w:rPr>
          <w:szCs w:val="24"/>
        </w:rPr>
      </w:pPr>
      <w:r w:rsidRPr="00346B5F">
        <w:t>28.</w:t>
      </w:r>
      <w:r w:rsidRPr="00346B5F">
        <w:tab/>
        <w:t>primena, kad 2020 m. liepos mėn. buvo priimta Agentūros kovos su sukčiavimu strategija 2020–2022 m. laikotarpiui, kurioje nustatytos 25 prioritetinės priemonės, prižiūrimos vykdant įvairią kontrolės veiklą; palankiai vertina tai, kad 2022 m. 93 proc. kontrolės veiksmų, susijusių su tos strategijos įgyvendinimu, buvo laikomi įgyvendintais; palankiai vertina Agentūros pastangas didinti informuotumą kovos su sukčiavimu klausimais, be to, 56,7 proc. Agentūros statutinių darbuotojų dalyvavo mokymuose sukčiavimo prevencijos ir sukčiavimo rizikos nustatymo klausimais; su pasitenkinimu pažymi, kad Agentūra skaidriai pateikia (2022 m. konsoliduotosios veiklos ataskaitos XII priedas) išsamią informaciją apie kontrolės veiksmus, susijusius su Agentūros kovos su sukčiavimu strategija, ir jų būseną;</w:t>
      </w:r>
    </w:p>
    <w:p w:rsidR="006D39C5" w:rsidRPr="00346B5F" w:rsidRDefault="006D39C5" w:rsidP="006D39C5">
      <w:pPr>
        <w:spacing w:after="240"/>
        <w:ind w:left="567" w:hanging="567"/>
        <w:rPr>
          <w:b/>
          <w:i/>
          <w:szCs w:val="24"/>
        </w:rPr>
      </w:pPr>
      <w:r w:rsidRPr="00346B5F">
        <w:rPr>
          <w:b/>
          <w:i/>
        </w:rPr>
        <w:t>Kitos pastabos</w:t>
      </w:r>
    </w:p>
    <w:p w:rsidR="006D39C5" w:rsidRPr="00346B5F" w:rsidRDefault="006D39C5" w:rsidP="006D39C5">
      <w:pPr>
        <w:spacing w:after="240"/>
        <w:ind w:left="567" w:hanging="567"/>
        <w:rPr>
          <w:szCs w:val="24"/>
        </w:rPr>
      </w:pPr>
      <w:r w:rsidRPr="00346B5F">
        <w:t>29.</w:t>
      </w:r>
      <w:r w:rsidRPr="00346B5F">
        <w:tab/>
        <w:t>pažymi, kad Agentūra įgyvendino įvairias priemones, kad padidintų savo matomumą ir dalyvavimą internete, pavyzdžiui, sukūrė atnaujintą interneto svetainę ir naują vizualinę tapatybę, atnaujino savo socialinės žiniasklaidos portfelį, daugiausia dėmesio skirdama audiovizualiniams formatams, ir priėmė studentų grupes savo patalpose;</w:t>
      </w:r>
    </w:p>
    <w:p w:rsidR="006D39C5" w:rsidRPr="00346B5F" w:rsidRDefault="006D39C5" w:rsidP="006D39C5">
      <w:pPr>
        <w:pStyle w:val="NormalHanging12a"/>
      </w:pPr>
      <w:r w:rsidRPr="00346B5F">
        <w:t>30.</w:t>
      </w:r>
      <w:r w:rsidRPr="00346B5F">
        <w:tab/>
        <w:t>primena Agentūros vaidmenį teikiant paramą už tarptautinės apsaugos prašymų nagrinėjimui ir prašymų suteikti prieglobstį tvarkymą atsakingų asmenų mokymui; ragina Agentūrą toliau teikti paramą valstybėms narėms ir trečiosioms šalims sprendžiant su prieglobsčiu ir migracija susijusių prašymų klausimus; ragina biudžete daugiau dėmesio skirti tolesniam darbuotojų įdarbinimui, jei to reikia siekiant padėti valstybėms narėms užtikrinti sąžiningą ir teisingą prieglobsčio prašymų dėl tarptautinės apsaugos nagrinėjimą, ypač vertėjų žodžiu ir psichologų, skirtų pažeidžiamoms grupėms priklausantiems prašytojams, įdarbinimui;</w:t>
      </w:r>
    </w:p>
    <w:p w:rsidR="006D39C5" w:rsidRPr="00346B5F" w:rsidRDefault="006D39C5" w:rsidP="006D39C5">
      <w:pPr>
        <w:pStyle w:val="NormalCenter12a"/>
      </w:pPr>
      <w:r w:rsidRPr="00346B5F">
        <w:t>°</w:t>
      </w:r>
    </w:p>
    <w:p w:rsidR="006D39C5" w:rsidRPr="00346B5F" w:rsidRDefault="006D39C5" w:rsidP="006D39C5">
      <w:pPr>
        <w:pStyle w:val="NormalCenter12a"/>
      </w:pPr>
      <w:r w:rsidRPr="00346B5F">
        <w:t>°</w:t>
      </w:r>
      <w:r w:rsidRPr="00346B5F">
        <w:tab/>
        <w:t>°</w:t>
      </w:r>
    </w:p>
    <w:p w:rsidR="006D39C5" w:rsidRPr="00346B5F" w:rsidRDefault="006D39C5" w:rsidP="006D39C5">
      <w:pPr>
        <w:pStyle w:val="NormalHanging12a"/>
      </w:pPr>
      <w:r w:rsidRPr="00346B5F">
        <w:t>31.</w:t>
      </w:r>
      <w:r w:rsidRPr="00346B5F">
        <w:tab/>
        <w:t>pažymi, kad kitos su sprendimu dėl biudžeto įvykdymo patvirtinimo susijusios pastabos, kurios yra horizontaliojo pobūdžio, pateikiamos Parlamento 2024 m. </w:t>
      </w:r>
      <w:r w:rsidR="006203C2" w:rsidRPr="00346B5F">
        <w:t>balandžio</w:t>
      </w:r>
      <w:r w:rsidRPr="00346B5F">
        <w:t> </w:t>
      </w:r>
      <w:r w:rsidR="006203C2" w:rsidRPr="00346B5F">
        <w:t>11</w:t>
      </w:r>
      <w:r w:rsidRPr="00346B5F">
        <w:t> d.</w:t>
      </w:r>
      <w:r w:rsidRPr="00346B5F">
        <w:rPr>
          <w:rStyle w:val="FootnoteReference"/>
        </w:rPr>
        <w:footnoteReference w:id="14"/>
      </w:r>
      <w:r w:rsidRPr="00346B5F">
        <w:t xml:space="preserve"> rezoliucijoje dėl agentūrų veiklos, finansų valdymo ir kontrolės.</w:t>
      </w:r>
    </w:p>
    <w:p w:rsidR="00E365E1" w:rsidRPr="00346B5F" w:rsidRDefault="00E365E1" w:rsidP="00324BFB">
      <w:bookmarkStart w:id="13" w:name="TextBodyEnd"/>
      <w:bookmarkEnd w:id="13"/>
    </w:p>
    <w:sectPr w:rsidR="00E365E1" w:rsidRPr="00346B5F" w:rsidSect="007545F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BFB" w:rsidRPr="007545F0" w:rsidRDefault="00324BFB">
      <w:r w:rsidRPr="007545F0">
        <w:separator/>
      </w:r>
    </w:p>
  </w:endnote>
  <w:endnote w:type="continuationSeparator" w:id="0">
    <w:p w:rsidR="00324BFB" w:rsidRPr="007545F0" w:rsidRDefault="00324BFB">
      <w:r w:rsidRPr="00754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C5" w:rsidRPr="007545F0" w:rsidRDefault="006D39C5" w:rsidP="009B1CDC">
    <w:pPr>
      <w:pStyle w:val="EPFooter"/>
    </w:pPr>
    <w:r w:rsidRPr="007545F0">
      <w:t>PE</w:t>
    </w:r>
    <w:r w:rsidRPr="007545F0">
      <w:rPr>
        <w:rStyle w:val="HideTWBExt"/>
      </w:rPr>
      <w:t>&lt;NoPE&gt;</w:t>
    </w:r>
    <w:r w:rsidRPr="007545F0">
      <w:t>753.532</w:t>
    </w:r>
    <w:r w:rsidRPr="007545F0">
      <w:rPr>
        <w:rStyle w:val="HideTWBExt"/>
      </w:rPr>
      <w:t>&lt;/NoPE&gt;&lt;Version&gt;</w:t>
    </w:r>
    <w:r w:rsidRPr="007545F0">
      <w:t>v03-00</w:t>
    </w:r>
    <w:r w:rsidRPr="007545F0">
      <w:rPr>
        <w:rStyle w:val="HideTWBExt"/>
      </w:rPr>
      <w:t>&lt;/Version&gt;</w:t>
    </w:r>
    <w:r w:rsidRPr="007545F0">
      <w:tab/>
    </w:r>
    <w:r w:rsidRPr="007545F0">
      <w:fldChar w:fldCharType="begin"/>
    </w:r>
    <w:r w:rsidRPr="007545F0">
      <w:instrText xml:space="preserve"> PAGE  \* MERGEFORMAT </w:instrText>
    </w:r>
    <w:r w:rsidRPr="007545F0">
      <w:fldChar w:fldCharType="separate"/>
    </w:r>
    <w:r w:rsidR="007545F0" w:rsidRPr="007545F0">
      <w:rPr>
        <w:noProof/>
      </w:rPr>
      <w:t>2</w:t>
    </w:r>
    <w:r w:rsidRPr="007545F0">
      <w:fldChar w:fldCharType="end"/>
    </w:r>
    <w:r w:rsidRPr="007545F0">
      <w:t>/</w:t>
    </w:r>
    <w:r w:rsidR="00346B5F">
      <w:fldChar w:fldCharType="begin"/>
    </w:r>
    <w:r w:rsidR="00346B5F">
      <w:instrText xml:space="preserve"> NUMPAGES  \* MERGEFORMAT </w:instrText>
    </w:r>
    <w:r w:rsidR="00346B5F">
      <w:fldChar w:fldCharType="separate"/>
    </w:r>
    <w:r w:rsidR="007545F0" w:rsidRPr="007545F0">
      <w:rPr>
        <w:noProof/>
      </w:rPr>
      <w:t>3</w:t>
    </w:r>
    <w:r w:rsidR="00346B5F">
      <w:rPr>
        <w:noProof/>
      </w:rPr>
      <w:fldChar w:fldCharType="end"/>
    </w:r>
    <w:r w:rsidRPr="007545F0">
      <w:tab/>
    </w:r>
    <w:r w:rsidRPr="007545F0">
      <w:rPr>
        <w:rStyle w:val="HideTWBExt"/>
      </w:rPr>
      <w:t>&lt;PathFdR&gt;</w:t>
    </w:r>
    <w:r w:rsidRPr="007545F0">
      <w:t>RR\1299515LT.docx</w:t>
    </w:r>
    <w:r w:rsidRPr="007545F0">
      <w:rPr>
        <w:rStyle w:val="HideTWBExt"/>
      </w:rPr>
      <w:t>&lt;/PathFdR&gt;</w:t>
    </w:r>
  </w:p>
  <w:p w:rsidR="006D39C5" w:rsidRPr="007545F0" w:rsidRDefault="006D39C5" w:rsidP="009B1CDC">
    <w:pPr>
      <w:pStyle w:val="EPFooter2"/>
    </w:pPr>
    <w:r w:rsidRPr="007545F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C5" w:rsidRPr="00485DE5" w:rsidRDefault="006D39C5" w:rsidP="00D902C0">
    <w:pPr>
      <w:pStyle w:val="Normal12Hanging"/>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C5" w:rsidRPr="007545F0" w:rsidRDefault="006D39C5" w:rsidP="009B1CDC">
    <w:pPr>
      <w:pStyle w:val="EPFooter"/>
    </w:pPr>
    <w:r w:rsidRPr="007545F0">
      <w:rPr>
        <w:rStyle w:val="HideTWBExt"/>
      </w:rPr>
      <w:t>&lt;PathFdR&gt;</w:t>
    </w:r>
    <w:r w:rsidRPr="007545F0">
      <w:t>RR\1299515LT.docx</w:t>
    </w:r>
    <w:r w:rsidRPr="007545F0">
      <w:rPr>
        <w:rStyle w:val="HideTWBExt"/>
      </w:rPr>
      <w:t>&lt;/PathFdR&gt;</w:t>
    </w:r>
    <w:r w:rsidRPr="007545F0">
      <w:tab/>
    </w:r>
    <w:r w:rsidRPr="007545F0">
      <w:tab/>
      <w:t>PE</w:t>
    </w:r>
    <w:r w:rsidRPr="007545F0">
      <w:rPr>
        <w:rStyle w:val="HideTWBExt"/>
      </w:rPr>
      <w:t>&lt;NoPE&gt;</w:t>
    </w:r>
    <w:r w:rsidRPr="007545F0">
      <w:t>753.532</w:t>
    </w:r>
    <w:r w:rsidRPr="007545F0">
      <w:rPr>
        <w:rStyle w:val="HideTWBExt"/>
      </w:rPr>
      <w:t>&lt;/NoPE&gt;&lt;Version&gt;</w:t>
    </w:r>
    <w:r w:rsidRPr="007545F0">
      <w:t>v03-00</w:t>
    </w:r>
    <w:r w:rsidRPr="007545F0">
      <w:rPr>
        <w:rStyle w:val="HideTWBExt"/>
      </w:rPr>
      <w:t>&lt;/Version&gt;</w:t>
    </w:r>
  </w:p>
  <w:p w:rsidR="006D39C5" w:rsidRPr="007545F0" w:rsidRDefault="006D39C5" w:rsidP="009B1CDC">
    <w:pPr>
      <w:pStyle w:val="EPFooter2"/>
    </w:pPr>
    <w:r w:rsidRPr="007545F0">
      <w:t>LT</w:t>
    </w:r>
    <w:r w:rsidRPr="007545F0">
      <w:tab/>
    </w:r>
    <w:r w:rsidRPr="007545F0">
      <w:rPr>
        <w:b w:val="0"/>
        <w:i/>
        <w:color w:val="C0C0C0"/>
        <w:sz w:val="22"/>
      </w:rPr>
      <w:t>Suvienijusi įvairovę</w:t>
    </w:r>
    <w:r w:rsidRPr="007545F0">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BFB" w:rsidRPr="007545F0" w:rsidRDefault="00324BFB">
      <w:r w:rsidRPr="007545F0">
        <w:separator/>
      </w:r>
    </w:p>
  </w:footnote>
  <w:footnote w:type="continuationSeparator" w:id="0">
    <w:p w:rsidR="00324BFB" w:rsidRPr="007545F0" w:rsidRDefault="00324BFB">
      <w:r w:rsidRPr="007545F0">
        <w:continuationSeparator/>
      </w:r>
    </w:p>
  </w:footnote>
  <w:footnote w:id="1">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C, C/2023/594, 2023 10 27.</w:t>
      </w:r>
    </w:p>
  </w:footnote>
  <w:footnote w:id="2">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C, C/2023/112, 2023 10 12.</w:t>
      </w:r>
    </w:p>
  </w:footnote>
  <w:footnote w:id="3">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193, 2018 7 30, p. 1.</w:t>
      </w:r>
    </w:p>
  </w:footnote>
  <w:footnote w:id="4">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132, 2010 5 29, p. 11.</w:t>
      </w:r>
    </w:p>
  </w:footnote>
  <w:footnote w:id="5">
    <w:p w:rsidR="006D39C5" w:rsidRPr="007545F0" w:rsidRDefault="006D39C5" w:rsidP="007545F0">
      <w:pPr>
        <w:pStyle w:val="FootnoteText"/>
        <w:ind w:left="567" w:hanging="567"/>
        <w:rPr>
          <w:sz w:val="24"/>
          <w:szCs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468, 2021 12 30, p. 1.</w:t>
      </w:r>
    </w:p>
  </w:footnote>
  <w:footnote w:id="6">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122, 2019 5 10, p. 1.</w:t>
      </w:r>
    </w:p>
  </w:footnote>
  <w:footnote w:id="7">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C, C/2023/594, 2023 10 27.</w:t>
      </w:r>
    </w:p>
  </w:footnote>
  <w:footnote w:id="8">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C, C/2023/112, 2023 10 12.</w:t>
      </w:r>
    </w:p>
  </w:footnote>
  <w:footnote w:id="9">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193, 2018 7 30, p. 1.</w:t>
      </w:r>
    </w:p>
  </w:footnote>
  <w:footnote w:id="10">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132, 2010 5 29, p. 11.</w:t>
      </w:r>
    </w:p>
  </w:footnote>
  <w:footnote w:id="11">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468, 2021 12 30, p. 1.</w:t>
      </w:r>
    </w:p>
  </w:footnote>
  <w:footnote w:id="12">
    <w:p w:rsidR="006D39C5" w:rsidRPr="007545F0" w:rsidRDefault="006D39C5" w:rsidP="007545F0">
      <w:pPr>
        <w:pStyle w:val="FootnoteText"/>
        <w:ind w:left="567" w:hanging="567"/>
        <w:rPr>
          <w:sz w:val="24"/>
          <w:szCs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OL L 122, 2019 5 10, p. 1.</w:t>
      </w:r>
    </w:p>
  </w:footnote>
  <w:footnote w:id="13">
    <w:p w:rsidR="006D39C5" w:rsidRPr="007545F0" w:rsidRDefault="006D39C5" w:rsidP="007545F0">
      <w:pPr>
        <w:pStyle w:val="FootnoteText"/>
        <w:ind w:left="567" w:hanging="567"/>
        <w:rPr>
          <w:sz w:val="24"/>
          <w:lang w:val="lt-LT"/>
        </w:rPr>
      </w:pPr>
      <w:r w:rsidRPr="007545F0">
        <w:rPr>
          <w:sz w:val="24"/>
          <w:vertAlign w:val="superscript"/>
          <w:lang w:val="lt-LT"/>
        </w:rPr>
        <w:footnoteRef/>
      </w:r>
      <w:r w:rsidR="007545F0" w:rsidRPr="007545F0">
        <w:rPr>
          <w:sz w:val="24"/>
          <w:lang w:val="lt-LT"/>
        </w:rPr>
        <w:t xml:space="preserve"> </w:t>
      </w:r>
      <w:r w:rsidR="007545F0" w:rsidRPr="007545F0">
        <w:rPr>
          <w:sz w:val="24"/>
          <w:lang w:val="lt-LT"/>
        </w:rPr>
        <w:tab/>
      </w:r>
      <w:r w:rsidRPr="007545F0">
        <w:rPr>
          <w:sz w:val="24"/>
          <w:lang w:val="lt-LT"/>
        </w:rPr>
        <w:t>OL C 38, 2023 1 31, p. 180.</w:t>
      </w:r>
    </w:p>
  </w:footnote>
  <w:footnote w:id="14">
    <w:p w:rsidR="006D39C5" w:rsidRPr="007545F0" w:rsidRDefault="006D39C5" w:rsidP="007545F0">
      <w:pPr>
        <w:pStyle w:val="FootnoteText"/>
        <w:ind w:left="567" w:hanging="567"/>
        <w:rPr>
          <w:sz w:val="24"/>
          <w:lang w:val="lt-LT"/>
        </w:rPr>
      </w:pPr>
      <w:r w:rsidRPr="007545F0">
        <w:rPr>
          <w:rStyle w:val="FootnoteReference"/>
          <w:sz w:val="24"/>
          <w:lang w:val="lt-LT"/>
        </w:rPr>
        <w:footnoteRef/>
      </w:r>
      <w:r w:rsidR="007545F0" w:rsidRPr="007545F0">
        <w:rPr>
          <w:sz w:val="24"/>
          <w:lang w:val="lt-LT"/>
        </w:rPr>
        <w:t xml:space="preserve"> </w:t>
      </w:r>
      <w:r w:rsidR="007545F0" w:rsidRPr="007545F0">
        <w:rPr>
          <w:sz w:val="24"/>
          <w:lang w:val="lt-LT"/>
        </w:rPr>
        <w:tab/>
      </w:r>
      <w:r w:rsidRPr="007545F0">
        <w:rPr>
          <w:sz w:val="24"/>
          <w:lang w:val="lt-LT"/>
        </w:rPr>
        <w:t>Priimti tekstai, P9_TA(2024)0</w:t>
      </w:r>
      <w:r w:rsidR="00ED65A8">
        <w:rPr>
          <w:sz w:val="24"/>
          <w:lang w:val="lt-LT"/>
        </w:rPr>
        <w:t>280</w:t>
      </w:r>
      <w:r w:rsidRPr="007545F0">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5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LT"/>
    <w:docVar w:name="dvnumam" w:val="0"/>
    <w:docVar w:name="dvpe" w:val="753.532"/>
    <w:docVar w:name="dvrapporteur" w:val="Pranešėjas: "/>
    <w:docVar w:name="dvtitre" w:val="1. 2024 m. balandzio 11 d. Europos Parlamento sprendimas dėl Europos Sąjungos prieglobsčio agentūros (iki 2022 m. sausio 19 d. – Europos prieglobsčio paramos biuras) 2022 finansinių metų biudžeto įvykdymo patvirtinimo(2023/2164(DEC))"/>
  </w:docVars>
  <w:rsids>
    <w:rsidRoot w:val="00324BFB"/>
    <w:rsid w:val="00002272"/>
    <w:rsid w:val="00064002"/>
    <w:rsid w:val="000677B9"/>
    <w:rsid w:val="000831BA"/>
    <w:rsid w:val="000A42CC"/>
    <w:rsid w:val="000E7DD9"/>
    <w:rsid w:val="0010095E"/>
    <w:rsid w:val="00125B37"/>
    <w:rsid w:val="001409C4"/>
    <w:rsid w:val="00187494"/>
    <w:rsid w:val="001F32AE"/>
    <w:rsid w:val="002767FF"/>
    <w:rsid w:val="002B18FE"/>
    <w:rsid w:val="002B5493"/>
    <w:rsid w:val="00324BFB"/>
    <w:rsid w:val="00343214"/>
    <w:rsid w:val="00346B5F"/>
    <w:rsid w:val="00361C00"/>
    <w:rsid w:val="00395FA1"/>
    <w:rsid w:val="003A1CF4"/>
    <w:rsid w:val="003E15D4"/>
    <w:rsid w:val="00411CCE"/>
    <w:rsid w:val="0041666E"/>
    <w:rsid w:val="00421060"/>
    <w:rsid w:val="00471C19"/>
    <w:rsid w:val="00485DE5"/>
    <w:rsid w:val="004867E3"/>
    <w:rsid w:val="00494A28"/>
    <w:rsid w:val="004C0004"/>
    <w:rsid w:val="004C5D52"/>
    <w:rsid w:val="0050519A"/>
    <w:rsid w:val="005072A1"/>
    <w:rsid w:val="00514517"/>
    <w:rsid w:val="00545827"/>
    <w:rsid w:val="00560270"/>
    <w:rsid w:val="005C2568"/>
    <w:rsid w:val="006037C0"/>
    <w:rsid w:val="006203C2"/>
    <w:rsid w:val="006631B6"/>
    <w:rsid w:val="00680577"/>
    <w:rsid w:val="006D39C5"/>
    <w:rsid w:val="006F74FA"/>
    <w:rsid w:val="00731ADD"/>
    <w:rsid w:val="00734777"/>
    <w:rsid w:val="00747932"/>
    <w:rsid w:val="00751A4A"/>
    <w:rsid w:val="007545F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990"/>
    <w:rsid w:val="00BD48FE"/>
    <w:rsid w:val="00BD7BD8"/>
    <w:rsid w:val="00BE6ADC"/>
    <w:rsid w:val="00C05BFE"/>
    <w:rsid w:val="00C23CD4"/>
    <w:rsid w:val="00C61C0C"/>
    <w:rsid w:val="00C941CB"/>
    <w:rsid w:val="00CC2357"/>
    <w:rsid w:val="00CF071A"/>
    <w:rsid w:val="00D058B8"/>
    <w:rsid w:val="00D56C11"/>
    <w:rsid w:val="00D834A0"/>
    <w:rsid w:val="00D872DF"/>
    <w:rsid w:val="00D902C0"/>
    <w:rsid w:val="00D91E21"/>
    <w:rsid w:val="00DA7FCD"/>
    <w:rsid w:val="00E365E1"/>
    <w:rsid w:val="00E820A4"/>
    <w:rsid w:val="00E92A4F"/>
    <w:rsid w:val="00EB006A"/>
    <w:rsid w:val="00EB4772"/>
    <w:rsid w:val="00ED169E"/>
    <w:rsid w:val="00ED4235"/>
    <w:rsid w:val="00ED65A8"/>
    <w:rsid w:val="00F04346"/>
    <w:rsid w:val="00F075DC"/>
    <w:rsid w:val="00F1071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4D6382-31C9-4A3C-B743-1D912479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39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39C5"/>
    <w:pPr>
      <w:spacing w:before="480" w:after="240"/>
    </w:pPr>
  </w:style>
  <w:style w:type="paragraph" w:customStyle="1" w:styleId="PageHeading">
    <w:name w:val="PageHeading"/>
    <w:basedOn w:val="Normal"/>
    <w:rsid w:val="006D39C5"/>
    <w:pPr>
      <w:keepNext/>
      <w:spacing w:after="480"/>
      <w:jc w:val="center"/>
    </w:pPr>
    <w:rPr>
      <w:rFonts w:ascii="Arial" w:hAnsi="Arial" w:cs="Arial"/>
      <w:b/>
    </w:rPr>
  </w:style>
  <w:style w:type="paragraph" w:customStyle="1" w:styleId="NormalBold">
    <w:name w:val="NormalBold"/>
    <w:basedOn w:val="Normal"/>
    <w:rsid w:val="006D39C5"/>
    <w:rPr>
      <w:b/>
    </w:rPr>
  </w:style>
  <w:style w:type="paragraph" w:customStyle="1" w:styleId="NormalHanging12a">
    <w:name w:val="NormalHanging12a"/>
    <w:basedOn w:val="Normal"/>
    <w:link w:val="NormalHanging12aChar"/>
    <w:rsid w:val="006D39C5"/>
    <w:pPr>
      <w:spacing w:after="240"/>
      <w:ind w:left="567" w:hanging="567"/>
    </w:pPr>
  </w:style>
  <w:style w:type="paragraph" w:customStyle="1" w:styleId="NormalCenter12a">
    <w:name w:val="NormalCenter12a"/>
    <w:basedOn w:val="Normal"/>
    <w:rsid w:val="006D39C5"/>
    <w:pPr>
      <w:spacing w:after="240"/>
      <w:jc w:val="center"/>
    </w:pPr>
  </w:style>
  <w:style w:type="paragraph" w:styleId="Header">
    <w:name w:val="header"/>
    <w:basedOn w:val="Normal"/>
    <w:link w:val="HeaderChar"/>
    <w:rsid w:val="006D39C5"/>
    <w:pPr>
      <w:tabs>
        <w:tab w:val="center" w:pos="4513"/>
        <w:tab w:val="right" w:pos="9026"/>
      </w:tabs>
    </w:pPr>
  </w:style>
  <w:style w:type="character" w:customStyle="1" w:styleId="HeaderChar">
    <w:name w:val="Header Char"/>
    <w:basedOn w:val="DefaultParagraphFont"/>
    <w:link w:val="Header"/>
    <w:rsid w:val="006D39C5"/>
    <w:rPr>
      <w:sz w:val="24"/>
      <w:lang w:val="lt-LT"/>
    </w:rPr>
  </w:style>
  <w:style w:type="paragraph" w:customStyle="1" w:styleId="EPFooter">
    <w:name w:val="EPFooter"/>
    <w:basedOn w:val="Normal"/>
    <w:rsid w:val="006D39C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6D39C5"/>
    <w:rPr>
      <w:sz w:val="24"/>
      <w:lang w:val="lt-LT"/>
    </w:rPr>
  </w:style>
  <w:style w:type="character" w:customStyle="1" w:styleId="Normal12HangingChar">
    <w:name w:val="Normal12Hanging Char"/>
    <w:link w:val="Normal12Hanging"/>
    <w:locked/>
    <w:rsid w:val="006D39C5"/>
    <w:rPr>
      <w:sz w:val="24"/>
    </w:rPr>
  </w:style>
  <w:style w:type="paragraph" w:customStyle="1" w:styleId="Normal12Hanging">
    <w:name w:val="Normal12Hanging"/>
    <w:basedOn w:val="Normal"/>
    <w:link w:val="Normal12HangingChar"/>
    <w:rsid w:val="006D39C5"/>
    <w:pPr>
      <w:spacing w:after="240"/>
      <w:ind w:left="567" w:hanging="567"/>
    </w:pPr>
    <w:rPr>
      <w:lang w:val="en-GB"/>
    </w:rPr>
  </w:style>
  <w:style w:type="paragraph" w:styleId="BalloonText">
    <w:name w:val="Balloon Text"/>
    <w:basedOn w:val="Normal"/>
    <w:link w:val="BalloonTextChar"/>
    <w:rsid w:val="00BA0990"/>
    <w:rPr>
      <w:rFonts w:ascii="Segoe UI" w:hAnsi="Segoe UI" w:cs="Segoe UI"/>
      <w:sz w:val="18"/>
      <w:szCs w:val="18"/>
    </w:rPr>
  </w:style>
  <w:style w:type="character" w:customStyle="1" w:styleId="BalloonTextChar">
    <w:name w:val="Balloon Text Char"/>
    <w:basedOn w:val="DefaultParagraphFont"/>
    <w:link w:val="BalloonText"/>
    <w:rsid w:val="00BA0990"/>
    <w:rPr>
      <w:rFonts w:ascii="Segoe UI" w:hAnsi="Segoe UI" w:cs="Segoe UI"/>
      <w:sz w:val="18"/>
      <w:szCs w:val="18"/>
      <w:lang w:val="lt-LT"/>
    </w:rPr>
  </w:style>
  <w:style w:type="paragraph" w:styleId="Footer">
    <w:name w:val="footer"/>
    <w:basedOn w:val="Normal"/>
    <w:link w:val="FooterChar"/>
    <w:rsid w:val="00485DE5"/>
    <w:pPr>
      <w:tabs>
        <w:tab w:val="center" w:pos="4513"/>
        <w:tab w:val="right" w:pos="9026"/>
      </w:tabs>
    </w:pPr>
  </w:style>
  <w:style w:type="character" w:customStyle="1" w:styleId="FooterChar">
    <w:name w:val="Footer Char"/>
    <w:basedOn w:val="DefaultParagraphFont"/>
    <w:link w:val="Footer"/>
    <w:rsid w:val="00485DE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DBDB5-4887-4B5F-BA17-46448AE2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4782</Words>
  <Characters>32218</Characters>
  <Application>Microsoft Office Word</Application>
  <DocSecurity>0</DocSecurity>
  <Lines>268</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2024-04-11T14:59:00Z</dcterms:created>
  <dcterms:modified xsi:type="dcterms:W3CDTF">2024-04-11T14:59:00Z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A9-0106/2024</vt:lpwstr>
  </property>
  <property fmtid="{D5CDD505-2E9C-101B-9397-08002B2CF9AE}" pid="4" name="&lt;Type&gt;">
    <vt:lpwstr>RR</vt:lpwstr>
  </property>
</Properties>
</file>