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5017" w:rsidTr="0010095E">
        <w:trPr>
          <w:trHeight w:hRule="exact" w:val="1418"/>
        </w:trPr>
        <w:tc>
          <w:tcPr>
            <w:tcW w:w="6804" w:type="dxa"/>
            <w:shd w:val="clear" w:color="auto" w:fill="auto"/>
            <w:vAlign w:val="center"/>
          </w:tcPr>
          <w:p w:rsidR="00751A4A" w:rsidRPr="00E95017" w:rsidRDefault="0029286A" w:rsidP="0010095E">
            <w:pPr>
              <w:pStyle w:val="EPName"/>
            </w:pPr>
            <w:r w:rsidRPr="00E95017">
              <w:t>Parlamentul European</w:t>
            </w:r>
          </w:p>
          <w:p w:rsidR="00751A4A" w:rsidRPr="00E95017" w:rsidRDefault="00817416" w:rsidP="00756632">
            <w:pPr>
              <w:pStyle w:val="EPTerm"/>
              <w:rPr>
                <w:rStyle w:val="HideTWBExt"/>
                <w:noProof w:val="0"/>
                <w:vanish w:val="0"/>
                <w:color w:val="auto"/>
              </w:rPr>
            </w:pPr>
            <w:r w:rsidRPr="00E95017">
              <w:t>2019-2024</w:t>
            </w:r>
          </w:p>
        </w:tc>
        <w:tc>
          <w:tcPr>
            <w:tcW w:w="2268" w:type="dxa"/>
            <w:shd w:val="clear" w:color="auto" w:fill="auto"/>
          </w:tcPr>
          <w:p w:rsidR="00751A4A" w:rsidRPr="00E95017" w:rsidRDefault="00187494" w:rsidP="0010095E">
            <w:pPr>
              <w:pStyle w:val="EPLogo"/>
            </w:pPr>
            <w:r w:rsidRPr="00E9501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95017" w:rsidRDefault="00D058B8" w:rsidP="004C5D52">
      <w:pPr>
        <w:pStyle w:val="LineTop"/>
      </w:pPr>
    </w:p>
    <w:p w:rsidR="00680577" w:rsidRPr="00E95017" w:rsidRDefault="0029286A" w:rsidP="00680577">
      <w:pPr>
        <w:pStyle w:val="EPBodyTA1"/>
      </w:pPr>
      <w:r w:rsidRPr="00E95017">
        <w:t>TEXTE ADOPTATE</w:t>
      </w:r>
    </w:p>
    <w:p w:rsidR="00D058B8" w:rsidRPr="00E95017" w:rsidRDefault="00D058B8" w:rsidP="00D058B8">
      <w:pPr>
        <w:pStyle w:val="LineBottom"/>
      </w:pPr>
    </w:p>
    <w:p w:rsidR="0029286A" w:rsidRPr="00E95017" w:rsidRDefault="0029286A" w:rsidP="0029286A">
      <w:pPr>
        <w:pStyle w:val="ATHeading1"/>
      </w:pPr>
      <w:bookmarkStart w:id="0" w:name="TANumber"/>
      <w:r w:rsidRPr="00E95017">
        <w:t>P9_TA(2024)</w:t>
      </w:r>
      <w:bookmarkEnd w:id="0"/>
      <w:r w:rsidR="00E95017" w:rsidRPr="00E95017">
        <w:t>0268</w:t>
      </w:r>
    </w:p>
    <w:p w:rsidR="0029286A" w:rsidRPr="00E95017" w:rsidRDefault="0029286A" w:rsidP="0029286A">
      <w:pPr>
        <w:pStyle w:val="ATHeading2"/>
      </w:pPr>
      <w:bookmarkStart w:id="1" w:name="title"/>
      <w:r w:rsidRPr="00E95017">
        <w:t>Descărcarea de gestiune 2022: Agenția Uniunii Europene pentru Azil (înainte de 19.1.2022 - Biroul European de Sprijin pentru Azil)</w:t>
      </w:r>
      <w:bookmarkEnd w:id="1"/>
    </w:p>
    <w:p w:rsidR="0029286A" w:rsidRPr="00E95017" w:rsidRDefault="0029286A" w:rsidP="0029286A">
      <w:pPr>
        <w:rPr>
          <w:i/>
          <w:vanish/>
        </w:rPr>
      </w:pPr>
      <w:r w:rsidRPr="00E95017">
        <w:rPr>
          <w:i/>
        </w:rPr>
        <w:fldChar w:fldCharType="begin"/>
      </w:r>
      <w:r w:rsidRPr="00E95017">
        <w:rPr>
          <w:i/>
        </w:rPr>
        <w:instrText xml:space="preserve"> TC"(</w:instrText>
      </w:r>
      <w:bookmarkStart w:id="2" w:name="DocNumber"/>
      <w:r w:rsidRPr="00E95017">
        <w:rPr>
          <w:i/>
        </w:rPr>
        <w:instrText>A9-0106/2024</w:instrText>
      </w:r>
      <w:bookmarkEnd w:id="2"/>
      <w:r w:rsidRPr="00E95017">
        <w:rPr>
          <w:i/>
        </w:rPr>
        <w:instrText xml:space="preserve"> - Raportor: Petri </w:instrText>
      </w:r>
      <w:proofErr w:type="spellStart"/>
      <w:r w:rsidRPr="00E95017">
        <w:rPr>
          <w:i/>
        </w:rPr>
        <w:instrText>Sarvamaa</w:instrText>
      </w:r>
      <w:proofErr w:type="spellEnd"/>
      <w:r w:rsidRPr="00E95017">
        <w:rPr>
          <w:i/>
        </w:rPr>
        <w:instrText xml:space="preserve">)"\l3 \n&gt; \* MERGEFORMAT </w:instrText>
      </w:r>
      <w:r w:rsidRPr="00E95017">
        <w:rPr>
          <w:i/>
        </w:rPr>
        <w:fldChar w:fldCharType="end"/>
      </w:r>
    </w:p>
    <w:p w:rsidR="0029286A" w:rsidRPr="00E95017" w:rsidRDefault="0029286A" w:rsidP="0029286A">
      <w:pPr>
        <w:rPr>
          <w:vanish/>
        </w:rPr>
      </w:pPr>
      <w:bookmarkStart w:id="3" w:name="Commission"/>
      <w:r w:rsidRPr="00E95017">
        <w:rPr>
          <w:vanish/>
        </w:rPr>
        <w:t>Comisia pentru control bugetar</w:t>
      </w:r>
      <w:bookmarkEnd w:id="3"/>
    </w:p>
    <w:p w:rsidR="0029286A" w:rsidRPr="00E95017" w:rsidRDefault="0029286A" w:rsidP="0029286A">
      <w:pPr>
        <w:rPr>
          <w:vanish/>
        </w:rPr>
      </w:pPr>
      <w:bookmarkStart w:id="4" w:name="PE"/>
      <w:r w:rsidRPr="00E95017">
        <w:rPr>
          <w:vanish/>
        </w:rPr>
        <w:t>PE753.532</w:t>
      </w:r>
      <w:bookmarkEnd w:id="4"/>
    </w:p>
    <w:p w:rsidR="0029286A" w:rsidRPr="00E95017" w:rsidRDefault="0029286A" w:rsidP="00D95067">
      <w:pPr>
        <w:pStyle w:val="ATHeading3"/>
      </w:pPr>
      <w:bookmarkStart w:id="5" w:name="Sujet"/>
      <w:r w:rsidRPr="00E95017">
        <w:t>1. Decizia Parlamentului European din 11 aprilie 2024 privind descărcarea de gestiune pentru execuția bugetului Agenției Uniunii Europene pentru Azil (înainte de 19.1.2022 Biroul European de Sprijin pentru Azil) aferent exercițiului financiar 2022</w:t>
      </w:r>
      <w:bookmarkEnd w:id="5"/>
      <w:r w:rsidRPr="00E95017">
        <w:t xml:space="preserve"> </w:t>
      </w:r>
      <w:bookmarkStart w:id="6" w:name="References"/>
      <w:r w:rsidRPr="00E95017">
        <w:t>(2023/2164(DEC))</w:t>
      </w:r>
      <w:bookmarkEnd w:id="6"/>
    </w:p>
    <w:p w:rsidR="00DE4EF1" w:rsidRPr="00E95017" w:rsidRDefault="00DE4EF1" w:rsidP="00DE4EF1">
      <w:pPr>
        <w:pStyle w:val="EPComma"/>
      </w:pPr>
      <w:bookmarkStart w:id="7" w:name="TextBodyBegin"/>
      <w:bookmarkEnd w:id="7"/>
      <w:r w:rsidRPr="00E95017">
        <w:rPr>
          <w:i/>
        </w:rPr>
        <w:t>Parlamentul European</w:t>
      </w:r>
      <w:r w:rsidRPr="00E95017">
        <w:t>,</w:t>
      </w:r>
    </w:p>
    <w:p w:rsidR="00DE4EF1" w:rsidRPr="00E95017" w:rsidRDefault="00DE4EF1" w:rsidP="00DE4EF1">
      <w:pPr>
        <w:pStyle w:val="NormalHanging12a"/>
      </w:pPr>
      <w:r w:rsidRPr="00E95017">
        <w:t>–</w:t>
      </w:r>
      <w:r w:rsidRPr="00E95017">
        <w:tab/>
        <w:t>având în vedere conturile anuale finale ale Agenției Uniunii Europene pentru Azil pentru exercițiul financiar 2022,</w:t>
      </w:r>
    </w:p>
    <w:p w:rsidR="00DE4EF1" w:rsidRPr="00E95017" w:rsidRDefault="00DE4EF1" w:rsidP="00DE4EF1">
      <w:pPr>
        <w:pStyle w:val="NormalHanging12a"/>
      </w:pPr>
      <w:r w:rsidRPr="00E95017">
        <w:t>–</w:t>
      </w:r>
      <w:r w:rsidRPr="00E95017">
        <w:tab/>
        <w:t>având în vedere Raportul anual al Curții de Conturi privind agențiile UE pentru exercițiul financiar 2022, însoțit de răspunsurile agențiilor</w:t>
      </w:r>
      <w:r w:rsidRPr="00E95017">
        <w:rPr>
          <w:rStyle w:val="FootnoteReference"/>
        </w:rPr>
        <w:footnoteReference w:id="1"/>
      </w:r>
      <w:r w:rsidRPr="00E95017">
        <w:t>,</w:t>
      </w:r>
    </w:p>
    <w:p w:rsidR="00DE4EF1" w:rsidRPr="00E95017" w:rsidRDefault="00DE4EF1" w:rsidP="00DE4EF1">
      <w:pPr>
        <w:pStyle w:val="NormalHanging12a"/>
      </w:pPr>
      <w:r w:rsidRPr="00E95017">
        <w:t>–</w:t>
      </w:r>
      <w:r w:rsidRPr="00E95017">
        <w:tab/>
        <w:t>având în vedere declarația de asigurare</w:t>
      </w:r>
      <w:r w:rsidRPr="00E95017">
        <w:rPr>
          <w:rStyle w:val="FootnoteReference"/>
        </w:rPr>
        <w:footnoteReference w:id="2"/>
      </w:r>
      <w:r w:rsidRPr="00E95017">
        <w:t xml:space="preserve"> privind fiabilitatea conturilor și legalitatea și regularitatea operațiunilor subiacente întocmită de Curtea de Conturi pentru exercițiul 2022 în temeiul articolului 287 din Tratatul privind funcționarea Uniunii Europene,</w:t>
      </w:r>
    </w:p>
    <w:p w:rsidR="00DE4EF1" w:rsidRPr="00E95017" w:rsidRDefault="00DE4EF1" w:rsidP="00DE4EF1">
      <w:pPr>
        <w:pStyle w:val="NormalHanging12a"/>
      </w:pPr>
      <w:r w:rsidRPr="00E95017">
        <w:t>–</w:t>
      </w:r>
      <w:r w:rsidRPr="00E95017">
        <w:tab/>
        <w:t>având în vedere Recomandarea Consiliului din 22 februarie 2024 privind descărcarea de gestiune a Agenției în ceea ce privește execuția bugetară pentru exercițiul financiar 2022 (</w:t>
      </w:r>
      <w:r w:rsidR="00A64774" w:rsidRPr="00E95017">
        <w:t>06180/2024 – C9</w:t>
      </w:r>
      <w:r w:rsidR="00A64774" w:rsidRPr="00E95017">
        <w:noBreakHyphen/>
        <w:t>0102/2024</w:t>
      </w:r>
      <w:r w:rsidRPr="00E95017">
        <w:t>),</w:t>
      </w:r>
    </w:p>
    <w:p w:rsidR="00DE4EF1" w:rsidRPr="00E95017" w:rsidRDefault="00DE4EF1" w:rsidP="00DE4EF1">
      <w:pPr>
        <w:pStyle w:val="NormalHanging12a"/>
      </w:pPr>
      <w:r w:rsidRPr="00E95017">
        <w:t>–</w:t>
      </w:r>
      <w:r w:rsidRPr="00E95017">
        <w:tab/>
        <w:t>având în vedere articolul 319 din Tratatul privind funcționarea Uniunii Europene,</w:t>
      </w:r>
    </w:p>
    <w:p w:rsidR="00DE4EF1" w:rsidRPr="00E95017" w:rsidRDefault="00DE4EF1" w:rsidP="00DE4EF1">
      <w:pPr>
        <w:pStyle w:val="NormalHanging12a"/>
      </w:pPr>
      <w:r w:rsidRPr="00E95017">
        <w:t>–</w:t>
      </w:r>
      <w:r w:rsidRPr="00E95017">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E95017">
        <w:rPr>
          <w:rStyle w:val="FootnoteReference"/>
        </w:rPr>
        <w:footnoteReference w:id="3"/>
      </w:r>
      <w:r w:rsidRPr="00E95017">
        <w:t>, în special articolul 70,</w:t>
      </w:r>
    </w:p>
    <w:p w:rsidR="00DE4EF1" w:rsidRPr="00E95017" w:rsidRDefault="00DE4EF1" w:rsidP="00DE4EF1">
      <w:pPr>
        <w:pStyle w:val="NormalHanging12a"/>
      </w:pPr>
      <w:r w:rsidRPr="00E95017">
        <w:lastRenderedPageBreak/>
        <w:t>–</w:t>
      </w:r>
      <w:r w:rsidRPr="00E95017">
        <w:tab/>
        <w:t>având în vedere Regulamentul (UE) nr. 439/2010 al Parlamentului European și al Consiliului din 19 mai 2010 privind înființarea unui Birou European de Sprijin pentru Azil</w:t>
      </w:r>
      <w:r w:rsidRPr="00E95017">
        <w:rPr>
          <w:rStyle w:val="FootnoteReference"/>
        </w:rPr>
        <w:footnoteReference w:id="4"/>
      </w:r>
      <w:r w:rsidRPr="00E95017">
        <w:t>, în special articolul 36,</w:t>
      </w:r>
    </w:p>
    <w:p w:rsidR="00DE4EF1" w:rsidRPr="00E95017" w:rsidRDefault="00DE4EF1" w:rsidP="00DE4EF1">
      <w:pPr>
        <w:pStyle w:val="NormalHanging12a"/>
      </w:pPr>
      <w:r w:rsidRPr="00E95017">
        <w:t>–</w:t>
      </w:r>
      <w:r w:rsidRPr="00E95017">
        <w:tab/>
        <w:t>având în vedere Regulamentul (UE) 2021/2303 al Parlamentului European și al Consiliului din 15 decembrie 2021 privind Agenția Uniunii Europene pentru Azil și de abrogare a Regulamentului (UE) nr. 439/2010</w:t>
      </w:r>
      <w:r w:rsidRPr="00E95017">
        <w:rPr>
          <w:rStyle w:val="FootnoteReference"/>
        </w:rPr>
        <w:footnoteReference w:id="5"/>
      </w:r>
      <w:r w:rsidRPr="00E95017">
        <w:t>, în special articolul 55,</w:t>
      </w:r>
    </w:p>
    <w:p w:rsidR="00DE4EF1" w:rsidRPr="00E95017" w:rsidRDefault="00DE4EF1" w:rsidP="00DE4EF1">
      <w:pPr>
        <w:pStyle w:val="NormalHanging12a"/>
      </w:pPr>
      <w:r w:rsidRPr="00E95017">
        <w:t>–</w:t>
      </w:r>
      <w:r w:rsidRPr="00E95017">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E95017">
        <w:rPr>
          <w:rStyle w:val="FootnoteReference"/>
        </w:rPr>
        <w:footnoteReference w:id="6"/>
      </w:r>
      <w:r w:rsidRPr="00E95017">
        <w:t>, în special articolul 105,</w:t>
      </w:r>
    </w:p>
    <w:p w:rsidR="00DE4EF1" w:rsidRPr="00E95017" w:rsidRDefault="00DE4EF1" w:rsidP="00DE4EF1">
      <w:pPr>
        <w:pStyle w:val="NormalHanging12a"/>
      </w:pPr>
      <w:r w:rsidRPr="00E95017">
        <w:t>–</w:t>
      </w:r>
      <w:r w:rsidRPr="00E95017">
        <w:tab/>
        <w:t>având în vedere articolul 100 și anexa V la Regulamentul său de procedură,</w:t>
      </w:r>
    </w:p>
    <w:p w:rsidR="00DE4EF1" w:rsidRPr="00E95017" w:rsidRDefault="00DE4EF1" w:rsidP="00DE4EF1">
      <w:pPr>
        <w:pStyle w:val="NormalHanging12a"/>
      </w:pPr>
      <w:r w:rsidRPr="00E95017">
        <w:t>–</w:t>
      </w:r>
      <w:r w:rsidRPr="00E95017">
        <w:tab/>
        <w:t>având în vedere avizul Comisiei pentru libertăți civile, justiție și afaceri interne,</w:t>
      </w:r>
    </w:p>
    <w:p w:rsidR="00DE4EF1" w:rsidRPr="00E95017" w:rsidRDefault="00DE4EF1" w:rsidP="00DE4EF1">
      <w:pPr>
        <w:pStyle w:val="NormalHanging12a"/>
      </w:pPr>
      <w:r w:rsidRPr="00E95017">
        <w:t>–</w:t>
      </w:r>
      <w:r w:rsidRPr="00E95017">
        <w:tab/>
        <w:t>având în vedere raportul Comisiei pentru control bugetar (A9-0106/2024),</w:t>
      </w:r>
    </w:p>
    <w:p w:rsidR="00DE4EF1" w:rsidRPr="00E95017" w:rsidRDefault="00DE4EF1" w:rsidP="00DE4EF1">
      <w:pPr>
        <w:pStyle w:val="NormalHanging12a"/>
      </w:pPr>
      <w:r w:rsidRPr="00E95017">
        <w:t>1.</w:t>
      </w:r>
      <w:r w:rsidRPr="00E95017">
        <w:tab/>
        <w:t>acordă directoarei executive a Agenției Uniunii Europene pentru Azil descărcarea de gestiune pentru execuția bugetului Agenției aferent exercițiului financiar 2022;</w:t>
      </w:r>
    </w:p>
    <w:p w:rsidR="00DE4EF1" w:rsidRPr="00E95017" w:rsidRDefault="00DE4EF1" w:rsidP="00DE4EF1">
      <w:pPr>
        <w:pStyle w:val="NormalHanging12a"/>
      </w:pPr>
      <w:r w:rsidRPr="00E95017">
        <w:t>2.</w:t>
      </w:r>
      <w:r w:rsidRPr="00E95017">
        <w:tab/>
        <w:t>își prezintă observațiile în cadrul rezoluției de mai jos;</w:t>
      </w:r>
    </w:p>
    <w:p w:rsidR="00DE4EF1" w:rsidRPr="00E95017" w:rsidRDefault="00DE4EF1" w:rsidP="00DE4EF1">
      <w:pPr>
        <w:pStyle w:val="NormalHanging12a"/>
      </w:pPr>
      <w:r w:rsidRPr="00E95017">
        <w:t>3.</w:t>
      </w:r>
      <w:r w:rsidRPr="00E95017">
        <w:tab/>
        <w:t xml:space="preserve">încredințează Președintei sarcina de a transmite prezenta decizie împreună cu rezoluția Parlamentului, ca parte integrantă a acesteia, directoarei executive a Agenției Uniunii Europene pentru Azil, Consiliului, Comisiei și Curții de Conturi și de a asigura publicarea acestora în </w:t>
      </w:r>
      <w:r w:rsidRPr="00E95017">
        <w:rPr>
          <w:i/>
        </w:rPr>
        <w:t>Jurnalul Oficial al Uniunii Europene</w:t>
      </w:r>
      <w:r w:rsidRPr="00E95017">
        <w:t xml:space="preserve"> (seria L).</w:t>
      </w:r>
    </w:p>
    <w:p w:rsidR="00DE4EF1" w:rsidRPr="00E95017" w:rsidRDefault="00DE4EF1" w:rsidP="00DE4EF1"/>
    <w:p w:rsidR="00DE4EF1" w:rsidRPr="00E95017" w:rsidRDefault="00DE4EF1" w:rsidP="00DE4EF1">
      <w:pPr>
        <w:widowControl/>
        <w:rPr>
          <w:rFonts w:ascii="Arial" w:hAnsi="Arial" w:cs="Arial"/>
          <w:b/>
        </w:rPr>
        <w:sectPr w:rsidR="00DE4EF1" w:rsidRPr="00E95017" w:rsidSect="00436A4B">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DE4EF1" w:rsidRPr="00E95017" w:rsidRDefault="00620110" w:rsidP="00D95067">
      <w:pPr>
        <w:pStyle w:val="ATHeading3"/>
      </w:pPr>
      <w:r w:rsidRPr="00E95017">
        <w:lastRenderedPageBreak/>
        <w:t>2. Dec</w:t>
      </w:r>
      <w:r w:rsidR="00D95067" w:rsidRPr="00E95017">
        <w:t>i</w:t>
      </w:r>
      <w:r w:rsidRPr="00E95017">
        <w:t xml:space="preserve">zia Parlamentului European din 11 aprilie 2024 </w:t>
      </w:r>
      <w:r w:rsidR="00DE4EF1" w:rsidRPr="00E95017">
        <w:t>privind închiderea conturilor Agenției Uniunii Europene pentru Azil (înainte de 19.1.2022 Biroul European de Sprijin pentru Azil) pentru exercițiul financiar 2022</w:t>
      </w:r>
      <w:r w:rsidR="00D95067" w:rsidRPr="00E95017">
        <w:t xml:space="preserve"> </w:t>
      </w:r>
      <w:r w:rsidR="00DE4EF1" w:rsidRPr="00E95017">
        <w:t>(2023/2164(DEC))</w:t>
      </w:r>
    </w:p>
    <w:p w:rsidR="00DE4EF1" w:rsidRPr="00E95017" w:rsidRDefault="00DE4EF1" w:rsidP="00DE4EF1">
      <w:pPr>
        <w:pStyle w:val="EPComma"/>
      </w:pPr>
      <w:r w:rsidRPr="00E95017">
        <w:rPr>
          <w:i/>
        </w:rPr>
        <w:t>Parlamentul European</w:t>
      </w:r>
      <w:r w:rsidRPr="00E95017">
        <w:t>,</w:t>
      </w:r>
    </w:p>
    <w:p w:rsidR="00DE4EF1" w:rsidRPr="00E95017" w:rsidRDefault="00DE4EF1" w:rsidP="00DE4EF1">
      <w:pPr>
        <w:pStyle w:val="NormalHanging12a"/>
      </w:pPr>
      <w:r w:rsidRPr="00E95017">
        <w:t>–</w:t>
      </w:r>
      <w:r w:rsidRPr="00E95017">
        <w:tab/>
        <w:t>având în vedere conturile anuale finale ale Agenției Uniunii Europene pentru Azil pentru exercițiul financiar 2022,</w:t>
      </w:r>
    </w:p>
    <w:p w:rsidR="00DE4EF1" w:rsidRPr="00E95017" w:rsidRDefault="00DE4EF1" w:rsidP="00DE4EF1">
      <w:pPr>
        <w:pStyle w:val="NormalHanging12a"/>
      </w:pPr>
      <w:r w:rsidRPr="00E95017">
        <w:t>–</w:t>
      </w:r>
      <w:r w:rsidRPr="00E95017">
        <w:tab/>
        <w:t>având în vedere Raportul anual al Curții de Conturi privind agențiile UE pentru exercițiul financiar 2022, însoțit de răspunsurile agențiilor</w:t>
      </w:r>
      <w:r w:rsidRPr="00E95017">
        <w:rPr>
          <w:rStyle w:val="FootnoteReference"/>
        </w:rPr>
        <w:footnoteReference w:id="7"/>
      </w:r>
      <w:r w:rsidRPr="00E95017">
        <w:t>,</w:t>
      </w:r>
    </w:p>
    <w:p w:rsidR="00DE4EF1" w:rsidRPr="00E95017" w:rsidRDefault="00DE4EF1" w:rsidP="00DE4EF1">
      <w:pPr>
        <w:pStyle w:val="NormalHanging12a"/>
      </w:pPr>
      <w:r w:rsidRPr="00E95017">
        <w:t>–</w:t>
      </w:r>
      <w:r w:rsidRPr="00E95017">
        <w:tab/>
        <w:t>având în vedere declarația de asigurare</w:t>
      </w:r>
      <w:r w:rsidRPr="00E95017">
        <w:rPr>
          <w:rStyle w:val="FootnoteReference"/>
        </w:rPr>
        <w:footnoteReference w:id="8"/>
      </w:r>
      <w:r w:rsidRPr="00E95017">
        <w:t xml:space="preserve"> privind fiabilitatea conturilor și legalitatea și regularitatea operațiunilor subiacente întocmită de Curtea de Conturi pentru exercițiul 2022 în temeiul articolului 287 din Tratatul privind funcționarea Uniunii Europene,</w:t>
      </w:r>
    </w:p>
    <w:p w:rsidR="00DE4EF1" w:rsidRPr="00E95017" w:rsidRDefault="00DE4EF1" w:rsidP="00DE4EF1">
      <w:pPr>
        <w:pStyle w:val="NormalHanging12a"/>
      </w:pPr>
      <w:r w:rsidRPr="00E95017">
        <w:t>–</w:t>
      </w:r>
      <w:r w:rsidRPr="00E95017">
        <w:tab/>
        <w:t>având în vedere Recomandarea Consiliului din 22 februarie 2024 privind descărcarea de gestiune a Agenției în ceea ce privește execuția bugetară pentru exercițiul financiar 2022 (</w:t>
      </w:r>
      <w:r w:rsidR="00A64774" w:rsidRPr="00E95017">
        <w:t>06180/2024 – C9</w:t>
      </w:r>
      <w:r w:rsidR="00A64774" w:rsidRPr="00E95017">
        <w:noBreakHyphen/>
        <w:t>0102/2024</w:t>
      </w:r>
      <w:r w:rsidRPr="00E95017">
        <w:t>),</w:t>
      </w:r>
    </w:p>
    <w:p w:rsidR="00DE4EF1" w:rsidRPr="00E95017" w:rsidRDefault="00DE4EF1" w:rsidP="00DE4EF1">
      <w:pPr>
        <w:pStyle w:val="NormalHanging12a"/>
      </w:pPr>
      <w:r w:rsidRPr="00E95017">
        <w:t>–</w:t>
      </w:r>
      <w:r w:rsidRPr="00E95017">
        <w:tab/>
        <w:t>având în vedere articolul 319 din Tratatul privind funcționarea Uniunii Europene,</w:t>
      </w:r>
    </w:p>
    <w:p w:rsidR="00DE4EF1" w:rsidRPr="00E95017" w:rsidRDefault="00DE4EF1" w:rsidP="00DE4EF1">
      <w:pPr>
        <w:pStyle w:val="NormalHanging12a"/>
      </w:pPr>
      <w:r w:rsidRPr="00E95017">
        <w:t>–</w:t>
      </w:r>
      <w:r w:rsidRPr="00E95017">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E95017">
        <w:rPr>
          <w:rStyle w:val="FootnoteReference"/>
        </w:rPr>
        <w:footnoteReference w:id="9"/>
      </w:r>
      <w:r w:rsidRPr="00E95017">
        <w:t>, în special articolul 70,</w:t>
      </w:r>
    </w:p>
    <w:p w:rsidR="00DE4EF1" w:rsidRPr="00E95017" w:rsidRDefault="00DE4EF1" w:rsidP="00DE4EF1">
      <w:pPr>
        <w:pStyle w:val="NormalHanging12a"/>
      </w:pPr>
      <w:r w:rsidRPr="00E95017">
        <w:t>–</w:t>
      </w:r>
      <w:r w:rsidRPr="00E95017">
        <w:tab/>
        <w:t>având în vedere Regulamentul (UE) nr. 439/2010 al Parlamentului European și al Consiliului din 19 mai 2010 privind înființarea unui Birou European de Sprijin pentru Azil</w:t>
      </w:r>
      <w:r w:rsidRPr="00E95017">
        <w:rPr>
          <w:rStyle w:val="FootnoteReference"/>
        </w:rPr>
        <w:footnoteReference w:id="10"/>
      </w:r>
      <w:r w:rsidRPr="00E95017">
        <w:t>, în special articolul 36,</w:t>
      </w:r>
    </w:p>
    <w:p w:rsidR="00DE4EF1" w:rsidRPr="00E95017" w:rsidRDefault="00DE4EF1" w:rsidP="00DE4EF1">
      <w:pPr>
        <w:pStyle w:val="NormalHanging12a"/>
      </w:pPr>
      <w:r w:rsidRPr="00E95017">
        <w:t>–</w:t>
      </w:r>
      <w:r w:rsidRPr="00E95017">
        <w:tab/>
        <w:t>având în vedere Regulamentul (UE) 2021/2303 al Parlamentului European și al Consiliului din 15 decembrie 2021 privind Agenția Uniunii Europene pentru Azil și de abrogare a Regulamentului (UE) nr. 439/2010</w:t>
      </w:r>
      <w:r w:rsidRPr="00E95017">
        <w:rPr>
          <w:rStyle w:val="FootnoteReference"/>
        </w:rPr>
        <w:footnoteReference w:id="11"/>
      </w:r>
      <w:r w:rsidRPr="00E95017">
        <w:t>, în special articolul 55,</w:t>
      </w:r>
    </w:p>
    <w:p w:rsidR="00DE4EF1" w:rsidRPr="00E95017" w:rsidRDefault="00DE4EF1" w:rsidP="00DE4EF1">
      <w:pPr>
        <w:pStyle w:val="NormalHanging12a"/>
      </w:pPr>
      <w:r w:rsidRPr="00E95017">
        <w:t>–</w:t>
      </w:r>
      <w:r w:rsidRPr="00E95017">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E95017">
        <w:rPr>
          <w:rStyle w:val="FootnoteReference"/>
        </w:rPr>
        <w:footnoteReference w:id="12"/>
      </w:r>
      <w:r w:rsidRPr="00E95017">
        <w:t>, în special articolul 105,</w:t>
      </w:r>
    </w:p>
    <w:p w:rsidR="00DE4EF1" w:rsidRPr="00E95017" w:rsidRDefault="00DE4EF1" w:rsidP="00DE4EF1">
      <w:pPr>
        <w:pStyle w:val="NormalHanging12a"/>
      </w:pPr>
      <w:r w:rsidRPr="00E95017">
        <w:t>–</w:t>
      </w:r>
      <w:r w:rsidRPr="00E95017">
        <w:tab/>
        <w:t>având în vedere articolul 100 și anexa V la Regulamentul său de procedură,</w:t>
      </w:r>
    </w:p>
    <w:p w:rsidR="00DE4EF1" w:rsidRPr="00E95017" w:rsidRDefault="00DE4EF1" w:rsidP="00DE4EF1">
      <w:pPr>
        <w:pStyle w:val="NormalHanging12a"/>
      </w:pPr>
      <w:r w:rsidRPr="00E95017">
        <w:lastRenderedPageBreak/>
        <w:t>–</w:t>
      </w:r>
      <w:r w:rsidRPr="00E95017">
        <w:tab/>
        <w:t>având în vedere avizul Comisiei pentru libertăți civile, justiție și afaceri interne,</w:t>
      </w:r>
    </w:p>
    <w:p w:rsidR="00DE4EF1" w:rsidRPr="00E95017" w:rsidRDefault="00DE4EF1" w:rsidP="00DE4EF1">
      <w:pPr>
        <w:pStyle w:val="NormalHanging12a"/>
      </w:pPr>
      <w:r w:rsidRPr="00E95017">
        <w:t>–</w:t>
      </w:r>
      <w:r w:rsidRPr="00E95017">
        <w:tab/>
        <w:t>având în vedere raportul Comisiei pentru control bugetar (A9-0106/2024),</w:t>
      </w:r>
    </w:p>
    <w:p w:rsidR="00DE4EF1" w:rsidRPr="00E95017" w:rsidRDefault="00DE4EF1" w:rsidP="00DE4EF1">
      <w:pPr>
        <w:pStyle w:val="NormalHanging12a"/>
      </w:pPr>
      <w:r w:rsidRPr="00E95017">
        <w:t>1.</w:t>
      </w:r>
      <w:r w:rsidRPr="00E95017">
        <w:tab/>
        <w:t>aprobă închiderea conturilor Agenției Uniunii Europene pentru Azil pentru exercițiul financiar 2022;</w:t>
      </w:r>
    </w:p>
    <w:p w:rsidR="00DE4EF1" w:rsidRPr="00E95017" w:rsidRDefault="00DE4EF1" w:rsidP="00DE4EF1">
      <w:pPr>
        <w:pStyle w:val="NormalHanging12a"/>
      </w:pPr>
      <w:r w:rsidRPr="00E95017">
        <w:t>2.</w:t>
      </w:r>
      <w:r w:rsidRPr="00E95017">
        <w:tab/>
        <w:t xml:space="preserve">încredințează Președintei sarcina de a transmite prezenta decizie directoarei executive a Agenției Uniunii Europene pentru Azil, Consiliului, Comisiei și Curții de Conturi și de a asigura publicarea acesteia în </w:t>
      </w:r>
      <w:r w:rsidRPr="00E95017">
        <w:rPr>
          <w:i/>
        </w:rPr>
        <w:t>Jurnalul Oficial al Uniunii Europene</w:t>
      </w:r>
      <w:r w:rsidRPr="00E95017">
        <w:t xml:space="preserve"> (seria L).</w:t>
      </w:r>
    </w:p>
    <w:p w:rsidR="00DE4EF1" w:rsidRPr="00E95017" w:rsidRDefault="00DE4EF1" w:rsidP="00DE4EF1"/>
    <w:p w:rsidR="00DE4EF1" w:rsidRPr="00E95017" w:rsidRDefault="00DE4EF1" w:rsidP="00DE4EF1">
      <w:pPr>
        <w:widowControl/>
        <w:rPr>
          <w:rFonts w:ascii="Arial" w:hAnsi="Arial" w:cs="Arial"/>
          <w:b/>
        </w:rPr>
        <w:sectPr w:rsidR="00DE4EF1" w:rsidRPr="00E95017" w:rsidSect="00436A4B">
          <w:footnotePr>
            <w:numRestart w:val="eachPage"/>
          </w:footnotePr>
          <w:endnotePr>
            <w:numFmt w:val="decimal"/>
          </w:endnotePr>
          <w:pgSz w:w="11906" w:h="16838"/>
          <w:pgMar w:top="1134" w:right="1418" w:bottom="1418" w:left="1418" w:header="567" w:footer="567" w:gutter="0"/>
          <w:cols w:space="720"/>
          <w:docGrid w:linePitch="326"/>
        </w:sectPr>
      </w:pPr>
    </w:p>
    <w:p w:rsidR="00DE4EF1" w:rsidRPr="00E95017" w:rsidRDefault="00620110" w:rsidP="00D95067">
      <w:pPr>
        <w:pStyle w:val="ATHeading3"/>
      </w:pPr>
      <w:r w:rsidRPr="00E95017">
        <w:lastRenderedPageBreak/>
        <w:t xml:space="preserve">3. Rezoluția Parlamentului European din 11 aprilie 2024 </w:t>
      </w:r>
      <w:r w:rsidR="00DE4EF1" w:rsidRPr="00E95017">
        <w:t>conținând observațiile care fac parte integrantă din decizia privind descărcarea de gestiune pentru execuția bugetului Agenției Uniunii Europene pentru Azil (înainte de 19.1.2022 Biroul European de Sprijin pentru Azil) aferent exercițiului financiar 2022</w:t>
      </w:r>
      <w:r w:rsidR="00D95067" w:rsidRPr="00E95017">
        <w:t xml:space="preserve"> </w:t>
      </w:r>
      <w:r w:rsidR="00DE4EF1" w:rsidRPr="00E95017">
        <w:t>(2023/2164(DEC))</w:t>
      </w:r>
    </w:p>
    <w:p w:rsidR="00DE4EF1" w:rsidRPr="00E95017" w:rsidRDefault="00DE4EF1" w:rsidP="00DE4EF1">
      <w:pPr>
        <w:pStyle w:val="EPComma"/>
      </w:pPr>
      <w:r w:rsidRPr="00E95017">
        <w:rPr>
          <w:i/>
        </w:rPr>
        <w:t>Parlamentul European</w:t>
      </w:r>
      <w:r w:rsidRPr="00E95017">
        <w:t>,</w:t>
      </w:r>
    </w:p>
    <w:p w:rsidR="00DE4EF1" w:rsidRPr="00E95017" w:rsidRDefault="00DE4EF1" w:rsidP="00DE4EF1">
      <w:pPr>
        <w:pStyle w:val="NormalHanging12a"/>
      </w:pPr>
      <w:r w:rsidRPr="00E95017">
        <w:t>–</w:t>
      </w:r>
      <w:r w:rsidRPr="00E95017">
        <w:tab/>
        <w:t>având în vedere decizia sa privind descărcarea de gestiune pentru execuția bugetului Agenției Uniunii Europene pentru Azil aferent exercițiului financiar 2022,</w:t>
      </w:r>
    </w:p>
    <w:p w:rsidR="00DE4EF1" w:rsidRPr="00E95017" w:rsidRDefault="00DE4EF1" w:rsidP="00DE4EF1">
      <w:pPr>
        <w:pStyle w:val="NormalHanging12a"/>
      </w:pPr>
      <w:r w:rsidRPr="00E95017">
        <w:t>–</w:t>
      </w:r>
      <w:r w:rsidRPr="00E95017">
        <w:tab/>
        <w:t>având în vedere articolul 100 și anexa V la Regulamentul său de procedură,</w:t>
      </w:r>
    </w:p>
    <w:p w:rsidR="00DE4EF1" w:rsidRPr="00E95017" w:rsidRDefault="00DE4EF1" w:rsidP="00DE4EF1">
      <w:pPr>
        <w:pStyle w:val="NormalHanging12a"/>
      </w:pPr>
      <w:r w:rsidRPr="00E95017">
        <w:t>–</w:t>
      </w:r>
      <w:r w:rsidRPr="00E95017">
        <w:tab/>
        <w:t>având în vedere avizul Comisiei pentru libertăți civile, justiție și afaceri interne,</w:t>
      </w:r>
    </w:p>
    <w:p w:rsidR="00DE4EF1" w:rsidRPr="00E95017" w:rsidRDefault="00DE4EF1" w:rsidP="00DE4EF1">
      <w:pPr>
        <w:pStyle w:val="NormalHanging12a"/>
      </w:pPr>
      <w:r w:rsidRPr="00E95017">
        <w:t>–</w:t>
      </w:r>
      <w:r w:rsidRPr="00E95017">
        <w:tab/>
        <w:t>având în vedere raportul Comisiei pentru control bugetar (A9-0106/2024),</w:t>
      </w:r>
    </w:p>
    <w:p w:rsidR="00DE4EF1" w:rsidRPr="00E95017" w:rsidRDefault="00DE4EF1" w:rsidP="00DE4EF1">
      <w:pPr>
        <w:pStyle w:val="Normal12Hanging"/>
        <w:rPr>
          <w:color w:val="000000" w:themeColor="text1"/>
          <w:szCs w:val="24"/>
          <w:lang w:val="ro-RO"/>
        </w:rPr>
      </w:pPr>
      <w:r w:rsidRPr="00E95017">
        <w:rPr>
          <w:lang w:val="ro-RO"/>
        </w:rPr>
        <w:t>A.</w:t>
      </w:r>
      <w:r w:rsidRPr="00E95017">
        <w:rPr>
          <w:lang w:val="ro-RO"/>
        </w:rPr>
        <w:tab/>
      </w:r>
      <w:r w:rsidRPr="00E95017">
        <w:rPr>
          <w:color w:val="000000" w:themeColor="text1"/>
          <w:lang w:val="ro-RO"/>
        </w:rPr>
        <w:t>întrucât, potrivit situației veniturilor și cheltuielilor sale</w:t>
      </w:r>
      <w:r w:rsidRPr="00E95017">
        <w:rPr>
          <w:rStyle w:val="FootnoteReference"/>
          <w:color w:val="000000" w:themeColor="text1"/>
          <w:szCs w:val="24"/>
          <w:lang w:val="ro-RO"/>
        </w:rPr>
        <w:footnoteReference w:id="13"/>
      </w:r>
      <w:r w:rsidRPr="00E95017">
        <w:rPr>
          <w:color w:val="000000" w:themeColor="text1"/>
          <w:lang w:val="ro-RO"/>
        </w:rPr>
        <w:t>, bugetul definitiv al Agenției Uniunii Europene pentru Azil („Agenția”) aferent exercițiului financiar 2022 a fost de 186 842 192 EUR, ceea ce reprezintă o majorare cu 12,46 % față de 2021; întrucât bugetul Biroului provine în principal de la bugetul Uniunii;</w:t>
      </w:r>
    </w:p>
    <w:p w:rsidR="00DE4EF1" w:rsidRPr="00E95017" w:rsidRDefault="00DE4EF1" w:rsidP="00DE4EF1">
      <w:pPr>
        <w:pStyle w:val="Normal12Hanging"/>
        <w:rPr>
          <w:color w:val="000000" w:themeColor="text1"/>
          <w:szCs w:val="24"/>
          <w:lang w:val="ro-RO"/>
        </w:rPr>
      </w:pPr>
      <w:r w:rsidRPr="00E95017">
        <w:rPr>
          <w:color w:val="000000" w:themeColor="text1"/>
          <w:lang w:val="ro-RO"/>
        </w:rPr>
        <w:t>B.</w:t>
      </w:r>
      <w:r w:rsidRPr="00E95017">
        <w:rPr>
          <w:color w:val="000000" w:themeColor="text1"/>
          <w:lang w:val="ro-RO"/>
        </w:rPr>
        <w:tab/>
        <w:t>întrucât, în iunie 2022, Agenția a semnat cu Comisia un acord de contribuție pentru punerea în aplicare a fazei III a Instrumentului de asistență pentru preaderare (IPA) „Sprijinul regional al UE pentru sistemele de gestionare a migrației care să asigure protecția în Balcanii de Vest, faza III, contractul 2” (denumit în continuare „IPA III Balcanii de Vest”), cu o valoare totală de 6 milioane EUR și o perioadă de punere în aplicare de 47 de luni;</w:t>
      </w:r>
    </w:p>
    <w:p w:rsidR="00DE4EF1" w:rsidRPr="00E95017" w:rsidRDefault="00DE4EF1" w:rsidP="00DE4EF1">
      <w:pPr>
        <w:pStyle w:val="Normal12Hanging"/>
        <w:rPr>
          <w:color w:val="000000" w:themeColor="text1"/>
          <w:szCs w:val="24"/>
          <w:lang w:val="ro-RO"/>
        </w:rPr>
      </w:pPr>
      <w:r w:rsidRPr="00E95017">
        <w:rPr>
          <w:color w:val="000000" w:themeColor="text1"/>
          <w:lang w:val="ro-RO"/>
        </w:rPr>
        <w:t>C.</w:t>
      </w:r>
      <w:r w:rsidRPr="00E95017">
        <w:rPr>
          <w:color w:val="000000" w:themeColor="text1"/>
          <w:lang w:val="ro-RO"/>
        </w:rPr>
        <w:tab/>
        <w:t>întrucât în 2022 s-a înregistrat o creștere semnificativă a bugetului Agenției ca urmare a sarcinilor extinse în temeiul Regulamentului (UE) 2021/2303, cu scopul ca Agenția să devină un centru de expertiză în materie de azil;</w:t>
      </w:r>
    </w:p>
    <w:p w:rsidR="00DE4EF1" w:rsidRPr="00E95017" w:rsidRDefault="00DE4EF1" w:rsidP="00DE4EF1">
      <w:pPr>
        <w:pStyle w:val="Normal12Hanging"/>
        <w:rPr>
          <w:color w:val="000000" w:themeColor="text1"/>
          <w:szCs w:val="24"/>
          <w:lang w:val="ro-RO"/>
        </w:rPr>
      </w:pPr>
      <w:r w:rsidRPr="00E95017">
        <w:rPr>
          <w:color w:val="000000" w:themeColor="text1"/>
          <w:lang w:val="ro-RO"/>
        </w:rPr>
        <w:t>D.</w:t>
      </w:r>
      <w:r w:rsidRPr="00E95017">
        <w:rPr>
          <w:color w:val="000000" w:themeColor="text1"/>
          <w:lang w:val="ro-RO"/>
        </w:rPr>
        <w:tab/>
        <w:t>întrucât în Uniune existau aproape 1 milion de solicitanți de azil și aproximativ 4 milioane de beneficiari de protecție temporară în 2022;</w:t>
      </w:r>
    </w:p>
    <w:p w:rsidR="00DE4EF1" w:rsidRPr="00E95017" w:rsidRDefault="00DE4EF1" w:rsidP="00DE4EF1">
      <w:pPr>
        <w:spacing w:after="240"/>
        <w:ind w:left="567" w:hanging="567"/>
        <w:rPr>
          <w:color w:val="000000" w:themeColor="text1"/>
          <w:szCs w:val="24"/>
        </w:rPr>
      </w:pPr>
      <w:r w:rsidRPr="00E95017">
        <w:rPr>
          <w:color w:val="000000" w:themeColor="text1"/>
        </w:rPr>
        <w:t>E.</w:t>
      </w:r>
      <w:r w:rsidRPr="00E95017">
        <w:rPr>
          <w:color w:val="000000" w:themeColor="text1"/>
        </w:rPr>
        <w:tab/>
      </w:r>
      <w:r w:rsidRPr="00E95017">
        <w:t>întrucât în raportul său privind conturile anuale ale Agenției pentru exercițiul financiar 2022 („raportul Curții”), Curtea de Conturi („Curtea”) declară că a obținut asigurări rezonabile cu privire la fiabilitatea conturilor anuale ale Agenției și cu privire la legalitatea și regularitatea operațiunilor subiacente;</w:t>
      </w:r>
    </w:p>
    <w:p w:rsidR="00DE4EF1" w:rsidRPr="00E95017" w:rsidRDefault="00DE4EF1" w:rsidP="00DE4EF1">
      <w:pPr>
        <w:spacing w:after="240"/>
        <w:ind w:left="567" w:hanging="567"/>
        <w:rPr>
          <w:b/>
          <w:i/>
          <w:szCs w:val="24"/>
        </w:rPr>
      </w:pPr>
      <w:r w:rsidRPr="00E95017">
        <w:rPr>
          <w:b/>
          <w:i/>
        </w:rPr>
        <w:t>Gestiunea bugetară și financiară</w:t>
      </w:r>
    </w:p>
    <w:p w:rsidR="00DE4EF1" w:rsidRPr="00E95017" w:rsidRDefault="00DE4EF1" w:rsidP="00DE4EF1">
      <w:pPr>
        <w:pStyle w:val="NormalHanging12a"/>
        <w:rPr>
          <w:szCs w:val="24"/>
        </w:rPr>
      </w:pPr>
      <w:r w:rsidRPr="00E95017">
        <w:t>1.</w:t>
      </w:r>
      <w:r w:rsidRPr="00E95017">
        <w:tab/>
        <w:t xml:space="preserve">constată că eforturile de monitorizare a bugetului în cursul exercițiului financiar 2022 au avut ca rezultat o rată de execuție bugetară a creditelor de angajament din anul curent de 96,23 %, ceea ce reprezintă o scădere ușoară, de 0,44 %, față de 2021 (96,67 %); constată că rata de execuție a creditelor de plată aferente exercițiului curent a fost de 89,55 %, ceea ce reprezintă o scădere de 1,36 % față de exercițiul precedent, 2021 (90,91 %); ia act cu îngrijorare de o rată de anulare relativ ridicată (15 %) a fondurilor reportate din 2021 în 2022, ratându-se astfel rata-țintă anuală a Agenției de mai puțin de </w:t>
      </w:r>
      <w:r w:rsidRPr="00E95017">
        <w:lastRenderedPageBreak/>
        <w:t>10 %;</w:t>
      </w:r>
    </w:p>
    <w:p w:rsidR="00DE4EF1" w:rsidRPr="00E95017" w:rsidRDefault="00DE4EF1" w:rsidP="00DE4EF1">
      <w:pPr>
        <w:pStyle w:val="NormalHanging12a"/>
        <w:rPr>
          <w:szCs w:val="24"/>
        </w:rPr>
      </w:pPr>
      <w:r w:rsidRPr="00E95017">
        <w:t>2.</w:t>
      </w:r>
      <w:r w:rsidRPr="00E95017">
        <w:tab/>
        <w:t xml:space="preserve">subliniază că, în 2022, Consiliul de administrație al Agenției a adoptat două amendamente bugetare; constată, în acest context, că Agenția a efectuat o revizuire la jumătatea anului a bugetului său pe 2022, ceea ce a determinat Agenția să solicite Comisiei o subvenție suplimentară în valoare de 12 milioane EUR la creditele de angajament și 6 milioane EUR la creditele de plată pentru a face față sarcinilor suplimentare generate de criza umanitară provocată de invazia ilegală și neprovocată a Ucrainei de către Rusia; ia act de faptul că aceste sume au fost incluse în primul amendament bugetar al Agenției adoptat în septembrie 2022; regretă însă că revizuirea din toamnă a bugetului și a planificării Agenției a evidențiat întârzieri neprevăzute în punerea în aplicare a planurilor operaționale relevante pentru criza din Ucraina, ceea ce a dus la un (al doilea) amendament bugetar negativ adoptat de Consiliul de administrație în noiembrie 2022, în urma căruia creditele de plată au fost reduse cu 12 milioane EUR; observă, în cele din urmă, că amendamentele bugetare ale Agenției au reflectat, de asemenea, contribuția voluntară a Danemarcei (a doua tranșă de 94 063 EUR) pentru punerea în aplicare a „Foii de parcurs pentru cooperarea dintre EASO și Egipt” și prima </w:t>
      </w:r>
      <w:proofErr w:type="spellStart"/>
      <w:r w:rsidRPr="00E95017">
        <w:t>prefinanțare</w:t>
      </w:r>
      <w:proofErr w:type="spellEnd"/>
      <w:r w:rsidRPr="00E95017">
        <w:t xml:space="preserve"> (în valoare de 2 968 129 EUR) pentru </w:t>
      </w:r>
      <w:r w:rsidRPr="00E95017">
        <w:rPr>
          <w:color w:val="000000" w:themeColor="text1"/>
        </w:rPr>
        <w:t>IPA III Balcanii de Vest</w:t>
      </w:r>
      <w:r w:rsidRPr="00E95017">
        <w:t>;</w:t>
      </w:r>
    </w:p>
    <w:p w:rsidR="00DE4EF1" w:rsidRPr="00E95017" w:rsidRDefault="00DE4EF1" w:rsidP="00DE4EF1">
      <w:pPr>
        <w:pStyle w:val="NormalHanging12a"/>
        <w:rPr>
          <w:szCs w:val="24"/>
        </w:rPr>
      </w:pPr>
      <w:r w:rsidRPr="00E95017">
        <w:t>3.</w:t>
      </w:r>
      <w:r w:rsidRPr="00E95017">
        <w:tab/>
        <w:t>ia act de observația din raportul Curții, în ceea ce privește contribuțiile țărilor asociate spațiului Schengen la bugetul Agenției, potrivit căreia acordurile încheiate între Uniune și aceste țări, care servesc drept temei juridic pentru calcularea contribuțiilor respective, sunt neclare și permit interpretări divergente, ceea ce conduce la contribuții din partea fiecărei țări asociate spațiului Schengen (la bugetul Agenției) echivalente cu plăți insuficiente de aproximativ 0,7 milioane EUR (7 %) din cauza utilizării unei formule de calcul pe care Curtea o consideră eronată, deoarece rata contribuțiilor este înmulțită cu o sumă care reflectă numai subvenția de la bugetul Uniunii pentru activitățile Agenției, în timp ce, potrivit Curții, această sumă ar trebui să includă și cota care le revine țărilor asociate spațiului Schengen; invită Comisia să abordeze această chestiune în cadrul viitoarelor negocieri cu țările asociate spațiului Schengen privind noi acorduri care vor viza participarea țărilor asociate la activitatea Agenției, pentru a asigura mai multă claritate;</w:t>
      </w:r>
    </w:p>
    <w:p w:rsidR="00DE4EF1" w:rsidRPr="00E95017" w:rsidRDefault="00DE4EF1" w:rsidP="00DE4EF1">
      <w:pPr>
        <w:spacing w:after="240"/>
        <w:ind w:left="567" w:hanging="567"/>
        <w:rPr>
          <w:szCs w:val="24"/>
        </w:rPr>
      </w:pPr>
      <w:r w:rsidRPr="00E95017">
        <w:rPr>
          <w:b/>
          <w:i/>
        </w:rPr>
        <w:t>Performanță</w:t>
      </w:r>
    </w:p>
    <w:p w:rsidR="00DE4EF1" w:rsidRPr="00E95017" w:rsidRDefault="00DE4EF1" w:rsidP="00DE4EF1">
      <w:pPr>
        <w:pStyle w:val="NormalHanging12a"/>
        <w:rPr>
          <w:szCs w:val="24"/>
        </w:rPr>
      </w:pPr>
      <w:r w:rsidRPr="00E95017">
        <w:t>4.</w:t>
      </w:r>
      <w:r w:rsidRPr="00E95017">
        <w:tab/>
        <w:t>observă că, pentru 2022, performanța Agenției a fost măsurată pe baza a 204 obiective anuale, dintre care 48 % au fost depășite, 26 % au fost atinse, 10 % aproape atinse, 12 % amânate și 4 % nu se aplică;</w:t>
      </w:r>
    </w:p>
    <w:p w:rsidR="00DE4EF1" w:rsidRPr="00E95017" w:rsidRDefault="00DE4EF1" w:rsidP="00DE4EF1">
      <w:pPr>
        <w:pStyle w:val="NormalHanging12a"/>
        <w:rPr>
          <w:szCs w:val="24"/>
        </w:rPr>
      </w:pPr>
      <w:r w:rsidRPr="00E95017">
        <w:t>5.</w:t>
      </w:r>
      <w:r w:rsidRPr="00E95017">
        <w:tab/>
        <w:t>felicită Agenția pentru progresele semnificative înregistrate în 2022 în direcția punerii în aplicare depline a noilor dispoziții ale Regulamentului (UE) 2021/2033; constată, în special, din raportul Agenției privind acțiunile întreprinse în urma descărcării de gestiune pentru exercițiul financiar 2021 (denumit în continuare „raportul ulterior”), că Agenția a înființat Forumul consultativ (FC), precum și rezerva de intervenție pentru azil, care la jumătatea lunii iunie 2023 cuprindea deja 360 de experți aprobați de statele membre (din 500, câți prevede regulamentul respectiv) și a desfășurat procesul de recrutare a ofițerului său pentru drepturile fundamentale care și-a preluat mandatul în mai 2023, precum și consultări cu părțile interesate în vederea elaborării și adoptării mecanismului de tratare a plângerilor; observă, în ceea ce privește mecanismul de monitorizare, că metodologia și programul au fost în curs de elaborare, adoptarea fiind planificată pentru T1 2024, după care va urma un exercițiu-pilot de monitorizare;</w:t>
      </w:r>
    </w:p>
    <w:p w:rsidR="00DE4EF1" w:rsidRPr="00E95017" w:rsidRDefault="00DE4EF1" w:rsidP="00DE4EF1">
      <w:pPr>
        <w:pStyle w:val="NormalHanging12a"/>
        <w:rPr>
          <w:szCs w:val="24"/>
        </w:rPr>
      </w:pPr>
      <w:r w:rsidRPr="00E95017">
        <w:lastRenderedPageBreak/>
        <w:t>6.</w:t>
      </w:r>
      <w:r w:rsidRPr="00E95017">
        <w:tab/>
        <w:t>constată, în ceea ce privește domeniul de activitate care acoperă trimiterea de ofițeri de legătură în statele membre și în țări terțe, că limitările la nivelul resurselor umane au determinat Agenția să grupeze statele membre, adică un ofițer de legătură acoperă până la patru state membre, precum și lipsa unui calendar pentru trimiterea ofițerilor de legătură în țări terțe; recunoaște că Agenția are nevoie de resurse suplimentare pentru a pune pe deplin în aplicare cerințele Regulamentului (UE) 2021/2303 în acest domeniu și își reînnoiește apelul adresat Comisiei de a reflecta mai bine nevoile operaționale ale Agenției atunci când decide cu privire la viitoarele scheme de personal;</w:t>
      </w:r>
    </w:p>
    <w:p w:rsidR="00DE4EF1" w:rsidRPr="00E95017" w:rsidRDefault="00DE4EF1" w:rsidP="00DE4EF1">
      <w:pPr>
        <w:pStyle w:val="NormalHanging12a"/>
        <w:rPr>
          <w:szCs w:val="24"/>
        </w:rPr>
      </w:pPr>
      <w:r w:rsidRPr="00E95017">
        <w:t>7.</w:t>
      </w:r>
      <w:r w:rsidRPr="00E95017">
        <w:tab/>
        <w:t>ia act de faptul că, în 2022, Agenția s-a confruntat cu noi sarcini și provocări multiple din cauza invadării ilegale a Ucrainei de către Rusia; constată, în acest context, că, la cererea autorităților naționale relevante, Agenția și-a extins operațiunile la alte șase state membre, ceea ce a condus la planuri operaționale în 14 state membre; felicită Agenția pentru că a acordat, de asemenea, asistență acestor state membre în punerea în aplicare a Directivei privind protecția temporară; constată, de asemenea, că Agenția a sprijinit un program de transfer voluntar care să ajute persoanele care fug din Ucraina să se mute în Uniune și să solicite protecție temporară, a oferit administrațiilor naționale cursuri de formare despre Directiva privind protecția temporară, a dezvoltat produse de comunicare specifice fiecărei țări (broșuri, pliante și afișe), cu informații adaptate privind protecția temporară, a produs mai multe analize situaționale și pentru prima dată a detașat personal într-o țară din afara Uniunii (Moldova); de asemenea, apreciază angajamentul ferm al Agenției față de dimensiunea externă a sistemului european comun de azil (SECA) sprijinind țările UE+ la relocarea a 2 585 de persoane prin sprijin pentru 13 misiuni de selecție și 3 misiuni anterioare plecării;</w:t>
      </w:r>
    </w:p>
    <w:p w:rsidR="00DE4EF1" w:rsidRPr="00E95017" w:rsidRDefault="00DE4EF1" w:rsidP="00DE4EF1">
      <w:pPr>
        <w:pStyle w:val="NormalHanging12a"/>
      </w:pPr>
      <w:r w:rsidRPr="00E95017">
        <w:t>8.</w:t>
      </w:r>
      <w:r w:rsidRPr="00E95017">
        <w:tab/>
        <w:t>subliniază că, printre alte realizări din 2022, Agenția a creat aproximativ 3 000 de pagini de produse pentru țara de origine, a abordat peste 1 000 de cereri medicale individuale legate de activitățile medicale ale Agenției pentru țările de origine, a oferit cursuri de formare care au atins un număr record de 13 000 de participanți și a publicat și/sau actualizat orientări specifice țărilor (pentru Somalia, Afganistan și Irak); salută asistența acordată de Agenție țărilor din Balcanii de Vest prin consolidarea capacităților instituționale, formare și îndrumare la locul de muncă cu privire la procedurile de azil de bază în Albania, Bosnia și Herțegovina, Kosovo, Muntenegru, Macedonia de Nord și Serbia;</w:t>
      </w:r>
    </w:p>
    <w:p w:rsidR="00DE4EF1" w:rsidRPr="00E95017" w:rsidRDefault="00DE4EF1" w:rsidP="00DE4EF1">
      <w:pPr>
        <w:pStyle w:val="NormalHanging12a"/>
        <w:rPr>
          <w:b/>
          <w:i/>
        </w:rPr>
      </w:pPr>
      <w:r w:rsidRPr="00E95017">
        <w:rPr>
          <w:b/>
          <w:i/>
        </w:rPr>
        <w:t>Eficiența și realizările</w:t>
      </w:r>
    </w:p>
    <w:p w:rsidR="00DE4EF1" w:rsidRPr="00E95017" w:rsidRDefault="00DE4EF1" w:rsidP="00DE4EF1">
      <w:pPr>
        <w:pStyle w:val="NormalHanging12a"/>
      </w:pPr>
      <w:r w:rsidRPr="00E95017">
        <w:t>9.</w:t>
      </w:r>
      <w:r w:rsidRPr="00E95017">
        <w:tab/>
        <w:t xml:space="preserve">ia act de faptul că Agenția a cooperat cu mai multe agenții din domeniul justiției și afacerilor interne (de exemplu, </w:t>
      </w:r>
      <w:proofErr w:type="spellStart"/>
      <w:r w:rsidRPr="00E95017">
        <w:t>Frontex</w:t>
      </w:r>
      <w:proofErr w:type="spellEnd"/>
      <w:r w:rsidRPr="00E95017">
        <w:t>, eu-LISA, FRA, CEPOL) în ceea ce privește produsele de conștientizare a situației, sprijinul pentru a face față provocărilor operaționale (inclusiv personalul detașat), învățarea și schimbul de informații, precum și formarea și consolidarea capacităților, printre altele; subliniază importanța cooperării pentru alocarea corectă a resurselor; constată, de asemenea, că, pe baza unui acord privind nivelul serviciilor, eu-LISA găzduiește situl de recuperare a infrastructurii logistice și de comunicații TIC a Agenției; încurajează Agenția să exploreze în continuare modalități de a face schimb de bune practici și oportunități, în cadrul noului mandat al Agenției, pentru a partaja resursele și a dezvolta în continuare sinergii cu alte agenții în domenii de interes reciproc, în vederea îmbunătățirii eficienței;</w:t>
      </w:r>
    </w:p>
    <w:p w:rsidR="00DE4EF1" w:rsidRPr="00E95017" w:rsidRDefault="00DE4EF1" w:rsidP="00DE4EF1">
      <w:pPr>
        <w:pStyle w:val="NormalHanging12a"/>
      </w:pPr>
      <w:r w:rsidRPr="00E95017">
        <w:t>10.</w:t>
      </w:r>
      <w:r w:rsidRPr="00E95017">
        <w:tab/>
        <w:t xml:space="preserve">salută măsurile luate de Agenție în 2022 pentru a crește eficiența și pentru simplificare, cum ar fi reducerea etapelor procedurale, automatizarea sarcinilor repetitive și </w:t>
      </w:r>
      <w:r w:rsidRPr="00E95017">
        <w:lastRenderedPageBreak/>
        <w:t>introducerea unui model organizațional pentru furnizarea de servicii orizontale care să aducă expertiza administrativă mai aproape de punctul de utilizare prin prezența la distanță, la fața locului sau în format hibrid, în beneficiul operațiunilor naționale în domenii precum inițierea financiară a tranzacțiilor, sprijinul TIC, asistența juridică și gestionarea instalațiilor; salută eficiența sporită a Agenției în garantarea securității personalului în cadrul mai multor operațiuni naționale, utilizând aceleași resurse ca în 2021; constată, de asemenea, că Agenția a pus în aplicare mai multe acțiuni menite să îmbunătățească eficiența în domeniul securității cibernetice (de exemplu, prin intermediul unui flux de lucru automatizat pentru răspunsul la incidente), al achizițiilor publice (prin desemnarea unor puncte focale pentru bunurile și serviciile achiziționate cel mai frecvent pentru a îmbunătăți calitatea și promptitudinea procedurilor și pentru a oferi sprijin încă din primele etape ale achizițiilor), TIC (prin punerea la dispoziția utilizatorilor a unui punct de referință unic cu privire la stadiul cererilor lor) și al resurselor umane (prin deschiderea primelor module SYSPER privind identitatea, organizația, îngrijitorul, datele cu caracter personal și gestionarea timpului, printre altele, precum și un sistem de emitere a tichetelor pentru serviciile de sprijin furnizate de unitatea de resurse umane întregului personal al Agenției); invită Agenția să pună pe deplin în aplicare instrumentul Comisiei de gestionare a achizițiilor publice; constată, din raportul de activitate consolidat al Agenției pentru 2022 (denumit în continuare „raportul consolidat 2022”), o nouă creștere a ponderii resurselor alocate activităților operaționale ale Agenției, care au fost de 79,13 % în 2022 (față de 72,14 % în 2021 și 68,68 % în 2020);</w:t>
      </w:r>
    </w:p>
    <w:p w:rsidR="00DE4EF1" w:rsidRPr="00E95017" w:rsidRDefault="00DE4EF1" w:rsidP="00DE4EF1">
      <w:pPr>
        <w:pStyle w:val="NormalHanging12a"/>
      </w:pPr>
      <w:r w:rsidRPr="00E95017">
        <w:t>11.</w:t>
      </w:r>
      <w:r w:rsidRPr="00E95017">
        <w:tab/>
        <w:t>constată cu regret din raportul Curții că Agenția nu se numără printre agențiile care au elaborat planuri instituționale pentru a îmbunătăți eficiența energetică și neutralitatea climatică a operațiunilor lor, care au integrat o formă de raportare de mediu în rapoartele lor anuale de activitate și care au primit înregistrarea EMAS; subliniază, cu toate acestea, pe baza răspunsurilor Agenției la întrebările cu solicitare de răspuns scris ale Parlamentului, că, în 2022, Agenția a lansat o primă etapă de pregătire pentru proiectarea și punerea în aplicare a unui sistem de management de mediu și a întreprins acțiuni pregătitoare pentru etapele ulterioare ale acestuia; încurajează Agenția să se implice în continuare în activități de consolidare a capacităților, precum și să colaboreze cu alte agenții și instituții ale Uniunii pentru a accelera procesul de certificare EMAS al Agenției; subliniază că Agenția include aspecte de mediu în specificațiile tehnice sau în criteriile de atribuire, de exemplu pentru contractele imobiliare, serviciile de cantină, serviciile de curățenie, printre altele; invită Agenția să aibă în vedere, de asemenea, dezvoltarea politicii sale privind achizițiile publice ecologice;</w:t>
      </w:r>
      <w:r w:rsidRPr="00E95017">
        <w:rPr>
          <w:b/>
          <w:i/>
        </w:rPr>
        <w:t> </w:t>
      </w:r>
      <w:r w:rsidRPr="00E95017">
        <w:t>îndeamnă Agenția să ia în considerare implementarea unor soluții intermediare sustenabile și eficiente din punct de vedere energetic atât pentru infrastructura sa, cât și pentru procesele sale interne, cum ar fi utilizarea sporită a instrumentelor digitale și gestionarea documentelor;</w:t>
      </w:r>
    </w:p>
    <w:p w:rsidR="00DE4EF1" w:rsidRPr="00E95017" w:rsidRDefault="00DE4EF1" w:rsidP="00DE4EF1">
      <w:pPr>
        <w:spacing w:after="240"/>
        <w:ind w:left="567" w:hanging="567"/>
        <w:rPr>
          <w:b/>
          <w:i/>
          <w:szCs w:val="24"/>
        </w:rPr>
      </w:pPr>
      <w:r w:rsidRPr="00E95017">
        <w:rPr>
          <w:b/>
          <w:i/>
        </w:rPr>
        <w:t>Politica de personal</w:t>
      </w:r>
    </w:p>
    <w:p w:rsidR="00DE4EF1" w:rsidRPr="00E95017" w:rsidRDefault="00DE4EF1" w:rsidP="00DE4EF1">
      <w:pPr>
        <w:pStyle w:val="NormalHanging12a"/>
      </w:pPr>
      <w:r w:rsidRPr="00E95017">
        <w:t>12.</w:t>
      </w:r>
      <w:r w:rsidRPr="00E95017">
        <w:tab/>
        <w:t xml:space="preserve">ia act de distribuția de gen în cadrul Agenției, cu 9 bărbați (69 %) și 4 femei (31 %) în conducerea sa de nivel superior și mediu (aceeași distribuție ca în 2021), cu 27 de bărbați (48 %) și 29 de femei (52 %) în Consiliul său de administrație (o distribuție mai bună față de 2021) și cu 203 bărbați (39 %) și 316 femei (61 %) la nivelul întregului personal (aceeași distribuție ca în 2021); reamintește că este important să se asigure echilibrul de gen în rândul personalului și invită Agenția să ia în considerare acest aspect în ceea ce privește viitoarele recrutări de personal și numiri în cadrul conducerii sale de nivel superior și mediu; ia act cu satisfacție de angajamentul Agenției de a </w:t>
      </w:r>
      <w:r w:rsidRPr="00E95017">
        <w:lastRenderedPageBreak/>
        <w:t>include în viitoarea sa strategie în domeniul resurselor umane acțiuni care vor acorda prioritate promovării echilibrului de gen și diversității în interiorul Agenției și vor promova programe de dezvoltare a calităților de lider adaptate persoanelor care aspiră să devină manageri; solicită Agenției să informeze autoritatea care acordă descărcarea de gestiune cu privire la punerea în practică a acestui angajament;</w:t>
      </w:r>
    </w:p>
    <w:p w:rsidR="00DE4EF1" w:rsidRPr="00E95017" w:rsidRDefault="00DE4EF1" w:rsidP="00DE4EF1">
      <w:pPr>
        <w:pStyle w:val="NormalHanging12a"/>
        <w:rPr>
          <w:szCs w:val="24"/>
        </w:rPr>
      </w:pPr>
      <w:r w:rsidRPr="00E95017">
        <w:t>13.</w:t>
      </w:r>
      <w:r w:rsidRPr="00E95017">
        <w:tab/>
        <w:t>observă că, la 31 decembrie 2022, schema de personal era completată în proporție de 90 % (87 % în 2021), fiind ocupate 333 din cele 371 de posturi de agenți temporari autorizate de bugetul Uniunii (față de 366 de posturi autorizate în 2021); salută noua creștere a ratei de ocupare a posturilor în cadrul Agenției; regretă creșterea ratei de rotație a personalului Agenției de la 4,1 % în 2021 la 8,2 % în 2022; constată că, în 2022, în cadrul Agenției au lucrat, de asemenea, 184 de agenți contractuali și 10 experți naționali detașați; subliniază că, în contextul războiului din Ucraina și al punerii în aplicare a Directivei privind protecția temporară, Comisia a acordat Agenției 90 de posturi de agenți contractuali pe termen scurt pentru o perioadă de doi ani; observă că, în 2022, Agenția a publicat 29 de posturi vacante și a publicat 138 de oferte de muncă pentru agenți temporari și contractuali;</w:t>
      </w:r>
    </w:p>
    <w:p w:rsidR="00DE4EF1" w:rsidRPr="00E95017" w:rsidRDefault="00DE4EF1" w:rsidP="00DE4EF1">
      <w:pPr>
        <w:pStyle w:val="NormalHanging12a"/>
      </w:pPr>
      <w:r w:rsidRPr="00E95017">
        <w:t>14.</w:t>
      </w:r>
      <w:r w:rsidRPr="00E95017">
        <w:tab/>
        <w:t xml:space="preserve">salută politica Agenției privind protecția demnității persoanei și prevenirea hărțuirii psihologice și sexuale, punerea în aplicare a normelor Comisiei privind desfășurarea anchetelor administrative și a procedurilor disciplinare și orientările interne privind cererile de asistență în temeiul articolului 24 din Statutul funcționarilor Uniunii; constată, pe baza răspunsurilor Agenției la întrebările cu solicitare de răspuns scris ale Parlamentului, că la Agenție au fost înregistrate trei cazuri de hărțuire în 2022, dintre care două au fost respinse deoarece nu a existat nicio dovadă </w:t>
      </w:r>
      <w:r w:rsidRPr="00E95017">
        <w:rPr>
          <w:i/>
        </w:rPr>
        <w:t xml:space="preserve">prima </w:t>
      </w:r>
      <w:proofErr w:type="spellStart"/>
      <w:r w:rsidRPr="00E95017">
        <w:rPr>
          <w:i/>
        </w:rPr>
        <w:t>facie</w:t>
      </w:r>
      <w:proofErr w:type="spellEnd"/>
      <w:r w:rsidRPr="00E95017">
        <w:t xml:space="preserve"> de hărțuire și acestea au fost închise fără acțiuni ulterioare, în timp ce în al treilea caz a fost deschisă o anchetă administrativă; invită Agenția să țină la curent autoritatea care acordă descărcarea de gestiune cu privire la rezultatul acestei anchete; constată cu satisfacție că, în urma unei recomandări formulate de Serviciul de Audit Intern al Comisiei (IAS), Agenția a adoptat în aprilie 2023 orientările privind anchetele administrative și procedurile disciplinare; subliniază că este important să existe cadre solide de combatere a hărțuirii, în special în medii de lucru extrem de stresante și solicitante; invită Agenția să introducă un program de formare în acest domeniu atât pentru nou-veniți, cât și pentru personalul existent;</w:t>
      </w:r>
    </w:p>
    <w:p w:rsidR="00DE4EF1" w:rsidRPr="00E95017" w:rsidRDefault="00DE4EF1" w:rsidP="00DE4EF1">
      <w:pPr>
        <w:pStyle w:val="NormalHanging12a"/>
      </w:pPr>
      <w:r w:rsidRPr="00E95017">
        <w:t>15.</w:t>
      </w:r>
      <w:r w:rsidRPr="00E95017">
        <w:tab/>
        <w:t>constată, pe baza acțiunilor întreprinse de Agenție ca urmare a observațiilor orizontale formulate de Parlament în legătură cu procedura de descărcare de gestiune pentru 2021, precum și a raportului ulterior al Agenției, că, în ultimii ani (începând din 2019), Agenția a recurs la serviciile unei firme de avocatură externe (specializată în dreptul funcției publice a Uniunii) atunci când a tratat cazuri de presupusă hărțuire (și anume, cereri de asistență în temeiul articolului 24 din Statutul funcționarilor Uniunii); observă, în acest context, că Unitatea de servicii juridice a Agenției efectuează o evaluare pentru a stabili dacă este necesar să se solicite sprijin sau consiliere din partea unei firme de avocatură externe și că unitatea respectivă gestionează procedura relevantă și colaborează cu Unitatea de resurse umane a Agenției în toate aceste cazuri;</w:t>
      </w:r>
    </w:p>
    <w:p w:rsidR="00DE4EF1" w:rsidRPr="00E95017" w:rsidRDefault="00DE4EF1" w:rsidP="00DE4EF1">
      <w:pPr>
        <w:pStyle w:val="NormalHanging12a"/>
      </w:pPr>
      <w:r w:rsidRPr="00E95017">
        <w:t>16.</w:t>
      </w:r>
      <w:r w:rsidRPr="00E95017">
        <w:tab/>
        <w:t xml:space="preserve">reamintește constatarea Curții potrivit căreia, în 2020, Agenția a avut 16 posturi de conducere vacante, dintre care 10 au fost ocupate cu titlu provizoriu mai mult de un an, precum și alte aspecte, cum ar fi personalul de conducere interimar care ocupa două posturi, în schema de personal a Agenției; constată cu satisfacție din raportul ulterior al Agenției măsurile de atenuare pe care le-a luat ulterior pentru a se conforma </w:t>
      </w:r>
      <w:r w:rsidRPr="00E95017">
        <w:lastRenderedPageBreak/>
        <w:t>articolului 7 alineatul (2) din Statutul funcționarilor Uniunii, inițial prin reducerea numărului de cazuri în care posturile de conducere au fost ocupate temporar mai mult de un an la doar două la sfârșitul anului 2022 și, începând din 2023, prin renunțarea completă la acestea, și niciun membru al personalului nu mai ocupă posturi temporare de conducere o perioadă mai lungă de un an; salută angajamentul Agenției de a acorda prioritate recrutărilor pentru posturile de conducere; felicită Agenția pentru progresele înregistrate în 2022 și 2023 în ceea ce privește procedurile de recrutare pentru diferite posturi de conducere de nivel mediu și superior, inclusiv cele pentru directorul executiv adjunct; potrivit raportului ulterior al Agenției, două proceduri de selecție sunt finalizate, în timp ce nouă proceduri de selecție sunt în curs sau nu sunt finalizate; observă, în cele din urmă, de pe site-ul Agenției, că, la 15 ianuarie 2024, șeful Centrului de administrație al Agenției ocupa un post interimar, la fel ca șeful Centrului pentru afaceri instituționale și orizontale al Agenției; ia act de faptul că procedura de selecție a șefului Centrului de administrație este în curs și se preconizează că va fi finalizată în T1 2024; constată, de asemenea, că procedura de selecție a șefului Centrului pentru afaceri instituționale și orizontale este în curs și se preconizează că va fi finalizată în T1 2024; invită Agenția să țină la curent autoritatea de care acordă descărcarea de gestiune cu privire la rezultatul tuturor acestor proceduri;</w:t>
      </w:r>
    </w:p>
    <w:p w:rsidR="00DE4EF1" w:rsidRPr="00E95017" w:rsidRDefault="00DE4EF1" w:rsidP="00DE4EF1">
      <w:pPr>
        <w:pStyle w:val="NormalHanging12a"/>
        <w:rPr>
          <w:szCs w:val="24"/>
        </w:rPr>
      </w:pPr>
      <w:r w:rsidRPr="00E95017">
        <w:t>17.</w:t>
      </w:r>
      <w:r w:rsidRPr="00E95017">
        <w:tab/>
        <w:t>subliniază că măsurile de atenuare luate de Agenție pentru a se conforma articolului 7 alineatul (2) din Statutul funcționarilor Uniunii, misiunea de informare desfășurată de IAS în octombrie 2022, activitatea de teren a Curții pentru auditul aferent exercițiului financiar 2022, observațiile relevante ale Parlamentului adresate Agenției în rezoluția sa privind descărcarea de gestiune pentru 2021, precum și ancheta (în curs) lansată de Oficiul European de Luptă Antifraudă (OLAF) la 24 noiembrie 2022 au intrat, de asemenea, în discuție ca urmare a unui e-mail anonim care conținea numeroase acuzații privind, printre altele, nereguli legate de personal cauzate de întreaga echipă de conducere superioară a Agenției; solicită Agenției să coopereze pe deplin cu OLAF în cadrul anchetei în curs; ia act, din raportul consolidat pe 2022, de concluziile Curții potrivit cărora calculul indemnizațiilor pentru încadrarea în grade aferente posturilor de conducere ocupate temporar a fost legal și regulamentar, în timp ce ocuparea temporară a posturilor mai mult de un an a fost neconformă, însă nu a dus la plăți neconforme; invită Agenția să informeze autoritatea care acordă descărcarea de gestiune cu privire la desfășurarea și etapele anchetei;</w:t>
      </w:r>
    </w:p>
    <w:p w:rsidR="00DE4EF1" w:rsidRPr="00E95017" w:rsidRDefault="00DE4EF1" w:rsidP="00DE4EF1">
      <w:pPr>
        <w:pStyle w:val="NormalHanging12a"/>
      </w:pPr>
      <w:r w:rsidRPr="00E95017">
        <w:t>18.</w:t>
      </w:r>
      <w:r w:rsidRPr="00E95017">
        <w:tab/>
        <w:t>este preocupat de gestionarea și procedurile interne ale Agenției, având în vedere că, în 2022, OLAF a lansat o investigație privind politicile de gestionare și de personal, presupuse a fi afectate de nepotism, precum și o investigație privind nerespectarea drepturilor omului; își reiterează apelul adresat Agenției de a coopera pe deplin cu organul de anchetă și de a informa în timp util autoritatea care acordă descărcarea de gestiune cu privire la rezultate și la măsurile de remediere;</w:t>
      </w:r>
    </w:p>
    <w:p w:rsidR="00DE4EF1" w:rsidRPr="00E95017" w:rsidRDefault="00DE4EF1" w:rsidP="00DE4EF1">
      <w:pPr>
        <w:spacing w:after="240"/>
        <w:ind w:left="567" w:hanging="567"/>
      </w:pPr>
      <w:r w:rsidRPr="00E95017">
        <w:t>19.</w:t>
      </w:r>
      <w:r w:rsidRPr="00E95017">
        <w:tab/>
        <w:t xml:space="preserve">reamintește că, în 2018, OLAF a încheiat o altă anchetă care a condus la constatări legate, de exemplu, de gestionarea defectuoasă a resurselor umane, de demisia directorului executiv al Agenției la momentul respectiv și de adoptarea de către Consiliul de administrație al Agenției a unui plan de acțiune privind guvernanța menit să restabilească încrederea pe plan intern și extern, să consolideze structura de guvernanță și să reconstruiască capacitatea internă; observă că, în raportul său anual, Curtea a închis și a considerat rezolvată observația privind numărul mare de posturi de conducere vacante, precum și aspectele legate de precaritatea la nivelul posturilor de conducere care ar fi putut afecta conducerea Agenției și continuitatea sa strategică; </w:t>
      </w:r>
      <w:r w:rsidRPr="00E95017">
        <w:lastRenderedPageBreak/>
        <w:t>recunoaște că, în conformitate cu articolul 41 alineatul (1) litera (t) din Regulamentul EUAA, Consiliul de administrație ia toate deciziile privind instituirea structurilor interne ale Agenției, în timp ce Comisia, în calitate de membru al Consiliului de administrație al Agenției, supraveghează periodic reorganizările Agenției; observă, cu toate acestea, că, în pofida reorganizărilor realizate de Agenție în ultimii ani, se pare că există încă probleme, după cum reiese din scrisoarea anonimă din ianuarie 2023; ia act de concluziile Curții pentru exercițiul financiar 2022, bazate pe acțiunile corective întreprinse de Agenție; invită, în acest context, Comisia să identifice soluții pentru efectuarea unei evaluări independente a reorganizărilor recente ale Agenției și se așteaptă ca auditul în curs efectuat de IAS în legătură cu gestionarea resurselor umane să ofere o evaluare pertinentă în ceea ce privește măsura în care organigrama actuală a Agenției și repartizarea responsabilităților între posturile de conducere de nivel mediu și superior ale Agenției sunt expuse riscurilor de ineficiență, de gestionare defectuoasă a resurselor umane și de lipsă de transparență (inclusiv față de Consiliul de administrație al Agenției), printre altele;</w:t>
      </w:r>
    </w:p>
    <w:p w:rsidR="00DE4EF1" w:rsidRPr="00E95017" w:rsidRDefault="00DE4EF1" w:rsidP="00DE4EF1">
      <w:pPr>
        <w:pStyle w:val="NormalHanging12a"/>
        <w:rPr>
          <w:szCs w:val="24"/>
        </w:rPr>
      </w:pPr>
      <w:r w:rsidRPr="00E95017">
        <w:t>20.</w:t>
      </w:r>
      <w:r w:rsidRPr="00E95017">
        <w:tab/>
        <w:t>ia act cu îngrijorare de faptul că Agenția nu a adoptat „Carta privind diversitatea și incluziunea” și nici nu a raportat cu privire la măsurile luate pentru integrarea persoanelor cu dizabilități; reamintește că Carta drepturilor fundamentale a Uniunii interzice discriminarea pe motive de dizabilitate și recunoaște dreptul persoanelor cu dizabilități să beneficieze de măsuri care le asigură independența, integrarea socială și ocupațională și participarea la viața comunității; ia act, cu toate acestea, de angajamentul Agenției de a aborda aceste domenii prin măsuri care vor fi puse în aplicare după adoptarea viitoarei strategii în materie de resurse umane; observă, de asemenea, că Agenția a luat inițiative și a pus în aplicare diverse măsuri pentru a îmbunătăți starea de bine a personalului său la locul de muncă și echilibrul dintre viața profesională și cea privată, cum ar fi cursuri de formare specifice, acorduri privind nivelul serviciilor cu furnizorii de servicii de îngrijire a copiilor și școli, un serviciu de sprijin psihologic și social, campanii de sensibilizare, precum și activități pentru timpul liber;</w:t>
      </w:r>
    </w:p>
    <w:p w:rsidR="00DE4EF1" w:rsidRPr="00E95017" w:rsidRDefault="00DE4EF1" w:rsidP="00DE4EF1">
      <w:pPr>
        <w:pStyle w:val="NormalHanging12a"/>
        <w:rPr>
          <w:b/>
          <w:i/>
          <w:szCs w:val="24"/>
        </w:rPr>
      </w:pPr>
      <w:r w:rsidRPr="00E95017">
        <w:rPr>
          <w:b/>
          <w:i/>
        </w:rPr>
        <w:t>Achizițiile publice</w:t>
      </w:r>
    </w:p>
    <w:p w:rsidR="00DE4EF1" w:rsidRPr="00E95017" w:rsidRDefault="00DE4EF1" w:rsidP="00DE4EF1">
      <w:pPr>
        <w:pStyle w:val="NormalHanging12a"/>
        <w:rPr>
          <w:szCs w:val="24"/>
        </w:rPr>
      </w:pPr>
      <w:r w:rsidRPr="00E95017">
        <w:t>21.</w:t>
      </w:r>
      <w:r w:rsidRPr="00E95017">
        <w:tab/>
        <w:t xml:space="preserve">reamintește observațiile Curții pentru exercițiile financiare 2017 și 2020, potrivit cărora procedurile de achiziții pentru spațiile închiriate din </w:t>
      </w:r>
      <w:proofErr w:type="spellStart"/>
      <w:r w:rsidRPr="00E95017">
        <w:t>Lesbos</w:t>
      </w:r>
      <w:proofErr w:type="spellEnd"/>
      <w:r w:rsidRPr="00E95017">
        <w:t xml:space="preserve"> și Roma au fost neregulamentare din cauza concurenței insuficiente și a nerespectării principiului economiei; constată din raportul Curții că toate plățile ulterioare efectuate în legătură cu aceste proceduri sunt neconforme cu reglementările, inclusiv plățile aferente în valoare de 281 095 EUR care au fost efectuate în 2022; ia act cu satisfacție, din raportul Curții, de acțiunile corective întreprinse de Agenție și de faptul că contractele de închiriere a spațiilor din </w:t>
      </w:r>
      <w:proofErr w:type="spellStart"/>
      <w:r w:rsidRPr="00E95017">
        <w:t>Lesbos</w:t>
      </w:r>
      <w:proofErr w:type="spellEnd"/>
      <w:r w:rsidRPr="00E95017">
        <w:t xml:space="preserve"> și Roma au expirat la 30 aprilie 2023 și, respectiv, la 31 iulie 2023; constată, din raportul consolidat pe 2022, că se caută o soluție sustenabilă pentru chiria din </w:t>
      </w:r>
      <w:proofErr w:type="spellStart"/>
      <w:r w:rsidRPr="00E95017">
        <w:t>Lesbos</w:t>
      </w:r>
      <w:proofErr w:type="spellEnd"/>
      <w:r w:rsidRPr="00E95017">
        <w:t>, în cooperare cu autoritățile elene;</w:t>
      </w:r>
    </w:p>
    <w:p w:rsidR="00DE4EF1" w:rsidRPr="00E95017" w:rsidRDefault="00DE4EF1" w:rsidP="00DE4EF1">
      <w:pPr>
        <w:pStyle w:val="NormalHanging12a"/>
        <w:rPr>
          <w:szCs w:val="24"/>
        </w:rPr>
      </w:pPr>
      <w:r w:rsidRPr="00E95017">
        <w:t>22.</w:t>
      </w:r>
      <w:r w:rsidRPr="00E95017">
        <w:tab/>
        <w:t xml:space="preserve">ia act de observația din raportul Curții potrivit căreia Agenția a achiziționat echipamente informatice din catalogul online al unui furnizor în locul listei de prețuri aprobate în prealabil, inclusă în ofertele financiare și tehnice, ceea ce a condus la un preț de achiziție cu 44 % (echivalentul sumei de 49 224 EUR considerate neconforme de către Curte) mai scump decât dacă s-ar fi recurs la lista de prețuri aprobată în prealabil; constată, pe baza răspunsului Agenției, că decizia de a achiziționa aceste articole a fost determinată de nevoile operaționale și de urgență, precum și de disponibilitatea limitată </w:t>
      </w:r>
      <w:r w:rsidRPr="00E95017">
        <w:lastRenderedPageBreak/>
        <w:t>pe piață a produselor informatice și au fost definite controale adecvate pentru a oferi o asigurare rezonabilă că achiziționarea de articole de înlocuire din catalogul online se va limita la prețul articolului corespunzător, astfel cum a fost menționat în oferta inițială a contractantului;</w:t>
      </w:r>
    </w:p>
    <w:p w:rsidR="00DE4EF1" w:rsidRPr="00E95017" w:rsidRDefault="00DE4EF1" w:rsidP="00DE4EF1">
      <w:pPr>
        <w:spacing w:after="240"/>
        <w:ind w:left="567" w:hanging="567"/>
        <w:rPr>
          <w:szCs w:val="24"/>
        </w:rPr>
      </w:pPr>
      <w:r w:rsidRPr="00E95017">
        <w:rPr>
          <w:b/>
          <w:i/>
        </w:rPr>
        <w:t>Prevenirea și gestionarea conflictelor de interese și transparența</w:t>
      </w:r>
    </w:p>
    <w:p w:rsidR="00DE4EF1" w:rsidRPr="00E95017" w:rsidRDefault="00DE4EF1" w:rsidP="00DE4EF1">
      <w:pPr>
        <w:pStyle w:val="NormalHanging12a"/>
        <w:rPr>
          <w:szCs w:val="24"/>
        </w:rPr>
      </w:pPr>
      <w:r w:rsidRPr="00E95017">
        <w:t>23.</w:t>
      </w:r>
      <w:r w:rsidRPr="00E95017">
        <w:tab/>
        <w:t>salută progresele înregistrate de Agenție în 2022 în domeniul gestionării și prevenirii conflictelor de interese și al orientărilor etice prin activități pregătitoare care au condus la adoptarea, în ianuarie 2023, a unei decizii aplicabile membrilor Consiliului de administrație al Agenției, precum și organizațiilor și organismelor competente care sunt membre ale Forumului consultativ al Agenției și a două decizii aplicabile personalului Agenției; salută numirea corespondentului pe probleme de etică al Agenției, precum și angajamentul Agenției de a include texte standard referitoare la declarațiile privind conflictele de interese în invitațiile la reuniuni care includ participanți externi; ia act cu satisfacție de faptul că Agenția a elaborat orientări privind normele și procedurile post-angajare aplicabile personalului care părăsește Agenția;</w:t>
      </w:r>
    </w:p>
    <w:p w:rsidR="00DE4EF1" w:rsidRPr="00E95017" w:rsidRDefault="00DE4EF1" w:rsidP="00DE4EF1">
      <w:pPr>
        <w:pStyle w:val="NormalHanging12a"/>
        <w:rPr>
          <w:szCs w:val="24"/>
        </w:rPr>
      </w:pPr>
      <w:r w:rsidRPr="00E95017">
        <w:t>24.</w:t>
      </w:r>
      <w:r w:rsidRPr="00E95017">
        <w:tab/>
        <w:t xml:space="preserve">ia act de faptul că declarațiile de interese și CV-urile membrilor Consiliului de administrație sunt publicate pe site-ul Agenției, la fel ca și declarațiile de interese și CV-urile personalului de conducere al Agenției; observă, cu toate acestea, că CV-urile experților interni și externi nu sunt disponibile pe site-ul Agenției; constată, pe baza răspunsurilor Agenției la întrebările cu solicitare de răspuns scris ale Parlamentului, că în 2022 nu au existat cazuri de conflicte de interese sau de avertizare în interes public deschise, închise sau în curs la nivelul Agenției; felicită Agenția pentru menținerea unui dialog strâns cu organizațiile relevante ale societății civile care își desfășoară activitatea în domeniul azilului prin intermediul Forumului consultativ al Agenției, care a fost reconstituit (116 membri) în iunie 2022 cu un nou set de norme care decurg din </w:t>
      </w:r>
      <w:r w:rsidRPr="00E95017">
        <w:rPr>
          <w:color w:val="000000" w:themeColor="text1"/>
        </w:rPr>
        <w:t>Regulamentul (UE) 2021/2303;</w:t>
      </w:r>
    </w:p>
    <w:p w:rsidR="00DE4EF1" w:rsidRPr="00E95017" w:rsidRDefault="00DE4EF1" w:rsidP="00DE4EF1">
      <w:pPr>
        <w:spacing w:after="240"/>
        <w:ind w:left="567" w:hanging="567"/>
        <w:rPr>
          <w:b/>
          <w:i/>
          <w:szCs w:val="24"/>
        </w:rPr>
      </w:pPr>
      <w:r w:rsidRPr="00E95017">
        <w:rPr>
          <w:b/>
          <w:i/>
        </w:rPr>
        <w:t>Controlul intern</w:t>
      </w:r>
    </w:p>
    <w:p w:rsidR="00DE4EF1" w:rsidRPr="00E95017" w:rsidRDefault="00DE4EF1" w:rsidP="00DE4EF1">
      <w:pPr>
        <w:pStyle w:val="NormalHanging12a"/>
        <w:rPr>
          <w:szCs w:val="24"/>
        </w:rPr>
      </w:pPr>
      <w:r w:rsidRPr="00E95017">
        <w:t>25.</w:t>
      </w:r>
      <w:r w:rsidRPr="00E95017">
        <w:tab/>
        <w:t>ia act de observația din raportul Curții potrivit căreia trei cazuri de subdelegări care au necesitat reconfirmarea în aprilie 2021 nu au fost reconfirmate până în februarie 2022, când situația a fost rectificată, Agenția încălcând astfel normele sale interne, care specifică faptul că subdelegările autorității financiare trebuie reînnoite de îndată ce a fost numit un nou ordonator de credite delegat;</w:t>
      </w:r>
    </w:p>
    <w:p w:rsidR="00DE4EF1" w:rsidRPr="00E95017" w:rsidRDefault="00DE4EF1" w:rsidP="00DE4EF1">
      <w:pPr>
        <w:pStyle w:val="NormalHanging12a"/>
        <w:rPr>
          <w:szCs w:val="24"/>
        </w:rPr>
      </w:pPr>
      <w:r w:rsidRPr="00E95017">
        <w:t>26.</w:t>
      </w:r>
      <w:r w:rsidRPr="00E95017">
        <w:tab/>
        <w:t xml:space="preserve">salută progresele înregistrate de Agenție în ceea ce privește punerea în aplicare a recomandărilor rămase deschise în urma auditurilor anterioare efectuate de IAS și de Curte; constată, pe baza raportului consolidat pe 2022, că unele recomandări, în legătură cu auditul IAS din 2020 („Gestionarea resurselor umane și etica în cadrul EASO”) și 2021 („Guvernanța informatică și gestionarea proiectelor informatice”) sunt încă în curs sau mult în întârziere; constată, de asemenea, din raportul Curții, că trei recomandări formulate în urma auditurilor anterioare efectuate de Curte sunt încă deschise: două recomandări cu privire la contractele de închiriere pentru spațiile din </w:t>
      </w:r>
      <w:proofErr w:type="spellStart"/>
      <w:r w:rsidRPr="00E95017">
        <w:t>Lesbos</w:t>
      </w:r>
      <w:proofErr w:type="spellEnd"/>
      <w:r w:rsidRPr="00E95017">
        <w:t xml:space="preserve"> și Roma, care Agenția se așteaptă să fie considerate închise de Curte în 2024, după ce ultimele plăți asociate (neconforme) au fost efectuate în 2023 și o recomandare cu privire la instituirea de către Agenție a unor controale financiare ex post eficace; invită, în acest context, Agenția să accelereze punerea în aplicare a măsurilor corective pendinte și să țină la curent autoritatea care acordă descărcarea de gestiune cu privire la progresele </w:t>
      </w:r>
      <w:r w:rsidRPr="00E95017">
        <w:lastRenderedPageBreak/>
        <w:t>înregistrate în acest sens;</w:t>
      </w:r>
    </w:p>
    <w:p w:rsidR="00DE4EF1" w:rsidRPr="00E95017" w:rsidRDefault="00DE4EF1" w:rsidP="00DE4EF1">
      <w:pPr>
        <w:pStyle w:val="NormalHanging12a"/>
        <w:rPr>
          <w:szCs w:val="24"/>
        </w:rPr>
      </w:pPr>
      <w:r w:rsidRPr="00E95017">
        <w:t>27.</w:t>
      </w:r>
      <w:r w:rsidRPr="00E95017">
        <w:tab/>
        <w:t>ia act de faptul că Agenția a efectuat o autoevaluare a sistemului său de control intern (ICSA) pentru 2022, concluzionând că controalele generale instituite funcționează conform intenției, 10 principii fiind pe deplin eficace și 7 fiind eficace, în timp ce unele îmbunătățiri sunt necesare la nivelul componentelor „Mediul de control”, „Activități de control” și „Activități de monitorizare”; subliniază, de asemenea, că, în 2022, a fost pusă în aplicare o strategie bazată pe riscuri pentru controalele financiare ex post, bazată pe operațiuni incluse în eșantion și pe operațiuni de achiziții care acoperă două exerciții financiare (2020-2021); constată, din raportul consolidat pe 2022, că rezultatele acestor controale au inclus 44 de observații și au propus 122 de acțiuni corective; ia act de faptul că, în cadrul exercițiului ICSA pentru 2022, în primul trimestru al anului 2023, Agenția a efectuat controale privind stadiul punerii în aplicare a celor 122 de acțiuni corective (convenite în prealabil), dintre care doar 45 de acțiuni corective (40 %) au fost puse în aplicare în timp util și în mod adecvat de către proprietarii de întreprinderi relevanți; invită Agenția să se ocupe de toate acțiunile corective care au rămas deschise și să informeze autoritatea care acordă descărcarea de gestiune despre progresele înregistrate în acest sens; constată cu satisfacție că Agenția prezintă în mod transparent (anexa IX la raportul consolidat pe 2022) detaliile și situația actuală a deficiențelor identificate și a acțiunilor corective convenite care provin din diverse surse (gestionarea excepțiilor și a cazurilor de neconformitate, criteriile de monitorizare a controlului intern, ICSA, controalele financiare ex ante și ex post, rapoartele de audit, gestionarea riscurilor etc.);</w:t>
      </w:r>
    </w:p>
    <w:p w:rsidR="00DE4EF1" w:rsidRPr="00E95017" w:rsidRDefault="00DE4EF1" w:rsidP="00DE4EF1">
      <w:pPr>
        <w:pStyle w:val="NormalHanging12a"/>
        <w:rPr>
          <w:szCs w:val="24"/>
        </w:rPr>
      </w:pPr>
      <w:r w:rsidRPr="00E95017">
        <w:t>28.</w:t>
      </w:r>
      <w:r w:rsidRPr="00E95017">
        <w:tab/>
        <w:t>reamintește că strategia antifraudă a Agenției pentru perioada 2020-2022 a fost adoptată în iulie 2020, stabilind 25 de măsuri prioritare monitorizate printr-o serie de activități de control; constată cu satisfacție că, în 2022, 93 % din activitățile de control legate de punerea în aplicare a acestei strategii au fost considerate ca fiind puse în aplicare; salută eforturile de sensibilizare ale Agenției în ceea ce privește aspectele legate de combaterea fraudei, întrucât 56,7 % din personalul statutar al Agenției a participat la cursuri de formare privind prevenirea fraudei și identificarea riscurilor de fraudă; ia act cu satisfacție de faptul că Agenția prezintă în mod transparent (anexa XII la raportul consolidat pe 2022) detaliile și stadiul activităților de control în ceea ce privește strategia antifraudă a Agenției;</w:t>
      </w:r>
    </w:p>
    <w:p w:rsidR="00DE4EF1" w:rsidRPr="00E95017" w:rsidRDefault="00DE4EF1" w:rsidP="00DE4EF1">
      <w:pPr>
        <w:spacing w:after="240"/>
        <w:ind w:left="567" w:hanging="567"/>
        <w:rPr>
          <w:b/>
          <w:i/>
          <w:szCs w:val="24"/>
        </w:rPr>
      </w:pPr>
      <w:r w:rsidRPr="00E95017">
        <w:rPr>
          <w:b/>
          <w:i/>
        </w:rPr>
        <w:t>Alte observații</w:t>
      </w:r>
    </w:p>
    <w:p w:rsidR="00DE4EF1" w:rsidRPr="00E95017" w:rsidRDefault="00DE4EF1" w:rsidP="00DE4EF1">
      <w:pPr>
        <w:spacing w:after="240"/>
        <w:ind w:left="567" w:hanging="567"/>
        <w:rPr>
          <w:szCs w:val="24"/>
        </w:rPr>
      </w:pPr>
      <w:r w:rsidRPr="00E95017">
        <w:t>29.</w:t>
      </w:r>
      <w:r w:rsidRPr="00E95017">
        <w:tab/>
        <w:t>ia act de faptul că Agenția a pus în aplicare diferite măsuri pentru a-și spori vizibilitatea publică și prezența online, de exemplu prin lansarea unui site web actualizat și a unei noi identități vizuale corporative, prin modernizarea portofoliului său de platforme de comunicare socială, cu accent pe formatele audiovizuale și prin primirea grupurilor de studenți la sediul său;</w:t>
      </w:r>
    </w:p>
    <w:p w:rsidR="00DE4EF1" w:rsidRPr="00E95017" w:rsidRDefault="00DE4EF1" w:rsidP="00DE4EF1">
      <w:pPr>
        <w:pStyle w:val="NormalHanging12a"/>
      </w:pPr>
      <w:r w:rsidRPr="00E95017">
        <w:t>30.</w:t>
      </w:r>
      <w:r w:rsidRPr="00E95017">
        <w:tab/>
        <w:t>reamintește rolul Agenției în furnizarea de sprijin pentru prelucrarea cererilor de protecție internațională, precum și pentru formarea lucrătorilor responsabili de prelucrarea cererilor de azil; afirmă necesitatea ca Agenția să ofere în continuare sprijin statelor membre și țărilor terțe în tratarea cererilor de azil și de migrație; solicită ca bugetul să fie direcționat către recrutarea de personal suplimentar, dacă este necesar, pentru a ajuta statele membre să asigure examinarea corectă și echitabilă a cererilor de azil pentru protecție internațională, în special interpreți și psihologi pentru solicitanții care aparțin unor grupuri vulnerabile;</w:t>
      </w:r>
    </w:p>
    <w:p w:rsidR="00DE4EF1" w:rsidRPr="00E95017" w:rsidRDefault="00DE4EF1" w:rsidP="00DE4EF1">
      <w:pPr>
        <w:pStyle w:val="NormalCenter12a"/>
      </w:pPr>
      <w:r w:rsidRPr="00E95017">
        <w:lastRenderedPageBreak/>
        <w:t>°</w:t>
      </w:r>
    </w:p>
    <w:p w:rsidR="00DE4EF1" w:rsidRPr="00E95017" w:rsidRDefault="00DE4EF1" w:rsidP="00DE4EF1">
      <w:pPr>
        <w:pStyle w:val="NormalCenter12a"/>
      </w:pPr>
      <w:r w:rsidRPr="00E95017">
        <w:t>°</w:t>
      </w:r>
      <w:r w:rsidRPr="00E95017">
        <w:tab/>
        <w:t>°</w:t>
      </w:r>
    </w:p>
    <w:p w:rsidR="00DE4EF1" w:rsidRPr="00E95017" w:rsidRDefault="00DE4EF1" w:rsidP="00DE4EF1">
      <w:pPr>
        <w:pStyle w:val="NormalHanging12a"/>
      </w:pPr>
      <w:r w:rsidRPr="00E95017">
        <w:t>31.</w:t>
      </w:r>
      <w:r w:rsidRPr="00E95017">
        <w:tab/>
        <w:t xml:space="preserve">face trimitere, pentru alte observații cu caracter orizontal care însoțesc decizia privind descărcarea de gestiune, la rezoluția sa din </w:t>
      </w:r>
      <w:r w:rsidR="00A64774" w:rsidRPr="00E95017">
        <w:t>11 aprilie 2024</w:t>
      </w:r>
      <w:r w:rsidRPr="00E95017">
        <w:rPr>
          <w:rStyle w:val="FootnoteReference"/>
        </w:rPr>
        <w:footnoteReference w:id="14"/>
      </w:r>
      <w:r w:rsidRPr="00E95017">
        <w:t xml:space="preserve"> 2024 referitoare la performanțele, gestiunea financiară și controlul agențiilor.</w:t>
      </w:r>
    </w:p>
    <w:p w:rsidR="00E365E1" w:rsidRPr="00E95017" w:rsidRDefault="00E365E1" w:rsidP="0029286A">
      <w:bookmarkStart w:id="9" w:name="TextBodyEnd"/>
      <w:bookmarkEnd w:id="9"/>
    </w:p>
    <w:sectPr w:rsidR="00E365E1" w:rsidRPr="00E95017" w:rsidSect="00436A4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286A" w:rsidRPr="00436A4B" w:rsidRDefault="0029286A">
      <w:r w:rsidRPr="00436A4B">
        <w:separator/>
      </w:r>
    </w:p>
  </w:endnote>
  <w:endnote w:type="continuationSeparator" w:id="0">
    <w:p w:rsidR="0029286A" w:rsidRPr="00436A4B" w:rsidRDefault="0029286A">
      <w:r w:rsidRPr="00436A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EF1" w:rsidRPr="00436A4B" w:rsidRDefault="00DE4EF1" w:rsidP="00FC1447">
    <w:pPr>
      <w:pStyle w:val="EPFooter"/>
    </w:pPr>
    <w:r w:rsidRPr="00436A4B">
      <w:t>PE</w:t>
    </w:r>
    <w:r w:rsidRPr="00436A4B">
      <w:rPr>
        <w:rStyle w:val="HideTWBExt"/>
      </w:rPr>
      <w:t>&lt;</w:t>
    </w:r>
    <w:proofErr w:type="spellStart"/>
    <w:r w:rsidRPr="00436A4B">
      <w:rPr>
        <w:rStyle w:val="HideTWBExt"/>
      </w:rPr>
      <w:t>NoPE</w:t>
    </w:r>
    <w:proofErr w:type="spellEnd"/>
    <w:r w:rsidRPr="00436A4B">
      <w:rPr>
        <w:rStyle w:val="HideTWBExt"/>
      </w:rPr>
      <w:t>&gt;</w:t>
    </w:r>
    <w:r w:rsidRPr="00436A4B">
      <w:t>753.532</w:t>
    </w:r>
    <w:r w:rsidRPr="00436A4B">
      <w:rPr>
        <w:rStyle w:val="HideTWBExt"/>
      </w:rPr>
      <w:t>&lt;/</w:t>
    </w:r>
    <w:proofErr w:type="spellStart"/>
    <w:r w:rsidRPr="00436A4B">
      <w:rPr>
        <w:rStyle w:val="HideTWBExt"/>
      </w:rPr>
      <w:t>NoPE</w:t>
    </w:r>
    <w:proofErr w:type="spellEnd"/>
    <w:r w:rsidRPr="00436A4B">
      <w:rPr>
        <w:rStyle w:val="HideTWBExt"/>
      </w:rPr>
      <w:t>&gt;&lt;Version&gt;</w:t>
    </w:r>
    <w:r w:rsidRPr="00436A4B">
      <w:t>v03-00</w:t>
    </w:r>
    <w:r w:rsidRPr="00436A4B">
      <w:rPr>
        <w:rStyle w:val="HideTWBExt"/>
      </w:rPr>
      <w:t>&lt;/</w:t>
    </w:r>
    <w:proofErr w:type="spellStart"/>
    <w:r w:rsidRPr="00436A4B">
      <w:rPr>
        <w:rStyle w:val="HideTWBExt"/>
      </w:rPr>
      <w:t>Version</w:t>
    </w:r>
    <w:proofErr w:type="spellEnd"/>
    <w:r w:rsidRPr="00436A4B">
      <w:rPr>
        <w:rStyle w:val="HideTWBExt"/>
      </w:rPr>
      <w:t>&gt;</w:t>
    </w:r>
    <w:r w:rsidRPr="00436A4B">
      <w:tab/>
    </w:r>
    <w:r w:rsidRPr="00436A4B">
      <w:fldChar w:fldCharType="begin"/>
    </w:r>
    <w:r w:rsidRPr="00436A4B">
      <w:instrText xml:space="preserve"> PAGE  \* MERGEFORMAT </w:instrText>
    </w:r>
    <w:r w:rsidRPr="00436A4B">
      <w:fldChar w:fldCharType="separate"/>
    </w:r>
    <w:r w:rsidR="00436A4B" w:rsidRPr="00436A4B">
      <w:rPr>
        <w:noProof/>
      </w:rPr>
      <w:t>2</w:t>
    </w:r>
    <w:r w:rsidRPr="00436A4B">
      <w:fldChar w:fldCharType="end"/>
    </w:r>
    <w:r w:rsidRPr="00436A4B">
      <w:t>/</w:t>
    </w:r>
    <w:fldSimple w:instr=" NUMPAGES  \* MERGEFORMAT ">
      <w:r w:rsidR="00436A4B" w:rsidRPr="00436A4B">
        <w:rPr>
          <w:noProof/>
        </w:rPr>
        <w:t>4</w:t>
      </w:r>
    </w:fldSimple>
    <w:r w:rsidRPr="00436A4B">
      <w:tab/>
    </w:r>
    <w:r w:rsidRPr="00436A4B">
      <w:rPr>
        <w:rStyle w:val="HideTWBExt"/>
      </w:rPr>
      <w:t>&lt;PathFdR&gt;</w:t>
    </w:r>
    <w:r w:rsidRPr="00436A4B">
      <w:t>RR\1299515RO.docx</w:t>
    </w:r>
    <w:r w:rsidRPr="00436A4B">
      <w:rPr>
        <w:rStyle w:val="HideTWBExt"/>
      </w:rPr>
      <w:t>&lt;/</w:t>
    </w:r>
    <w:proofErr w:type="spellStart"/>
    <w:r w:rsidRPr="00436A4B">
      <w:rPr>
        <w:rStyle w:val="HideTWBExt"/>
      </w:rPr>
      <w:t>PathFdR</w:t>
    </w:r>
    <w:proofErr w:type="spellEnd"/>
    <w:r w:rsidRPr="00436A4B">
      <w:rPr>
        <w:rStyle w:val="HideTWBExt"/>
      </w:rPr>
      <w:t>&gt;</w:t>
    </w:r>
  </w:p>
  <w:p w:rsidR="00DE4EF1" w:rsidRPr="00436A4B" w:rsidRDefault="00DE4EF1" w:rsidP="00FC1447">
    <w:pPr>
      <w:pStyle w:val="EPFooter2"/>
    </w:pPr>
    <w:r w:rsidRPr="00436A4B">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EF1" w:rsidRPr="00436A4B" w:rsidRDefault="00DE4EF1" w:rsidP="00FC1447">
    <w:pPr>
      <w:pStyle w:val="EPFooter"/>
    </w:pPr>
    <w:r w:rsidRPr="00436A4B">
      <w:rPr>
        <w:rStyle w:val="HideTWBExt"/>
      </w:rPr>
      <w:t>&lt;PathFdR&gt;</w:t>
    </w:r>
    <w:r w:rsidRPr="00436A4B">
      <w:t>RR\1299515RO.docx</w:t>
    </w:r>
    <w:r w:rsidRPr="00436A4B">
      <w:rPr>
        <w:rStyle w:val="HideTWBExt"/>
      </w:rPr>
      <w:t>&lt;/</w:t>
    </w:r>
    <w:proofErr w:type="spellStart"/>
    <w:r w:rsidRPr="00436A4B">
      <w:rPr>
        <w:rStyle w:val="HideTWBExt"/>
      </w:rPr>
      <w:t>PathFdR</w:t>
    </w:r>
    <w:proofErr w:type="spellEnd"/>
    <w:r w:rsidRPr="00436A4B">
      <w:rPr>
        <w:rStyle w:val="HideTWBExt"/>
      </w:rPr>
      <w:t>&gt;</w:t>
    </w:r>
    <w:r w:rsidRPr="00436A4B">
      <w:tab/>
    </w:r>
    <w:r w:rsidRPr="00436A4B">
      <w:tab/>
      <w:t>PE</w:t>
    </w:r>
    <w:r w:rsidRPr="00436A4B">
      <w:rPr>
        <w:rStyle w:val="HideTWBExt"/>
      </w:rPr>
      <w:t>&lt;</w:t>
    </w:r>
    <w:proofErr w:type="spellStart"/>
    <w:r w:rsidRPr="00436A4B">
      <w:rPr>
        <w:rStyle w:val="HideTWBExt"/>
      </w:rPr>
      <w:t>NoPE</w:t>
    </w:r>
    <w:proofErr w:type="spellEnd"/>
    <w:r w:rsidRPr="00436A4B">
      <w:rPr>
        <w:rStyle w:val="HideTWBExt"/>
      </w:rPr>
      <w:t>&gt;</w:t>
    </w:r>
    <w:r w:rsidRPr="00436A4B">
      <w:t>753.532</w:t>
    </w:r>
    <w:r w:rsidRPr="00436A4B">
      <w:rPr>
        <w:rStyle w:val="HideTWBExt"/>
      </w:rPr>
      <w:t>&lt;/</w:t>
    </w:r>
    <w:proofErr w:type="spellStart"/>
    <w:r w:rsidRPr="00436A4B">
      <w:rPr>
        <w:rStyle w:val="HideTWBExt"/>
      </w:rPr>
      <w:t>NoPE</w:t>
    </w:r>
    <w:proofErr w:type="spellEnd"/>
    <w:r w:rsidRPr="00436A4B">
      <w:rPr>
        <w:rStyle w:val="HideTWBExt"/>
      </w:rPr>
      <w:t>&gt;&lt;Version&gt;</w:t>
    </w:r>
    <w:r w:rsidRPr="00436A4B">
      <w:t>v03-00</w:t>
    </w:r>
    <w:r w:rsidRPr="00436A4B">
      <w:rPr>
        <w:rStyle w:val="HideTWBExt"/>
      </w:rPr>
      <w:t>&lt;/</w:t>
    </w:r>
    <w:proofErr w:type="spellStart"/>
    <w:r w:rsidRPr="00436A4B">
      <w:rPr>
        <w:rStyle w:val="HideTWBExt"/>
      </w:rPr>
      <w:t>Version</w:t>
    </w:r>
    <w:proofErr w:type="spellEnd"/>
    <w:r w:rsidRPr="00436A4B">
      <w:rPr>
        <w:rStyle w:val="HideTWBExt"/>
      </w:rPr>
      <w:t>&gt;</w:t>
    </w:r>
  </w:p>
  <w:p w:rsidR="00DE4EF1" w:rsidRPr="00436A4B" w:rsidRDefault="00DE4EF1" w:rsidP="00FC1447">
    <w:pPr>
      <w:pStyle w:val="EPFooter2"/>
    </w:pPr>
    <w:r w:rsidRPr="00436A4B">
      <w:t>RO</w:t>
    </w:r>
    <w:r w:rsidRPr="00436A4B">
      <w:tab/>
    </w:r>
    <w:r w:rsidRPr="00436A4B">
      <w:rPr>
        <w:b w:val="0"/>
        <w:i/>
        <w:color w:val="C0C0C0"/>
        <w:sz w:val="22"/>
      </w:rPr>
      <w:t>Unită în diversitate</w:t>
    </w:r>
    <w:r w:rsidRPr="00436A4B">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6A4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6A4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6A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286A" w:rsidRPr="00436A4B" w:rsidRDefault="0029286A">
      <w:r w:rsidRPr="00436A4B">
        <w:separator/>
      </w:r>
    </w:p>
  </w:footnote>
  <w:footnote w:type="continuationSeparator" w:id="0">
    <w:p w:rsidR="0029286A" w:rsidRPr="00436A4B" w:rsidRDefault="0029286A">
      <w:r w:rsidRPr="00436A4B">
        <w:continuationSeparator/>
      </w:r>
    </w:p>
  </w:footnote>
  <w:footnote w:id="1">
    <w:p w:rsidR="00DE4EF1" w:rsidRPr="00E95017" w:rsidRDefault="00DE4EF1" w:rsidP="00436A4B">
      <w:pPr>
        <w:pStyle w:val="FootnoteText"/>
        <w:ind w:left="567" w:hanging="567"/>
        <w:rPr>
          <w:sz w:val="24"/>
          <w:lang w:val="ro-RO"/>
        </w:rPr>
      </w:pPr>
      <w:r w:rsidRPr="00E95017">
        <w:rPr>
          <w:rStyle w:val="FootnoteReference"/>
          <w:sz w:val="24"/>
          <w:lang w:val="ro-RO"/>
        </w:rPr>
        <w:footnoteRef/>
      </w:r>
      <w:r w:rsidR="00436A4B" w:rsidRPr="00E95017">
        <w:rPr>
          <w:sz w:val="24"/>
          <w:lang w:val="ro-RO"/>
        </w:rPr>
        <w:t xml:space="preserve"> </w:t>
      </w:r>
      <w:r w:rsidR="00436A4B" w:rsidRPr="00E95017">
        <w:rPr>
          <w:sz w:val="24"/>
          <w:lang w:val="ro-RO"/>
        </w:rPr>
        <w:tab/>
      </w:r>
      <w:r w:rsidRPr="00E95017">
        <w:rPr>
          <w:sz w:val="24"/>
          <w:lang w:val="ro-RO"/>
        </w:rPr>
        <w:t>JO C, C/2023/594, 27.10.2023.</w:t>
      </w:r>
    </w:p>
  </w:footnote>
  <w:footnote w:id="2">
    <w:p w:rsidR="00DE4EF1" w:rsidRPr="00E95017" w:rsidRDefault="00DE4EF1" w:rsidP="00436A4B">
      <w:pPr>
        <w:pStyle w:val="FootnoteText"/>
        <w:ind w:left="567" w:hanging="567"/>
        <w:rPr>
          <w:sz w:val="24"/>
          <w:lang w:val="ro-RO"/>
        </w:rPr>
      </w:pPr>
      <w:r w:rsidRPr="00E95017">
        <w:rPr>
          <w:rStyle w:val="FootnoteReference"/>
          <w:sz w:val="24"/>
          <w:lang w:val="ro-RO"/>
        </w:rPr>
        <w:footnoteRef/>
      </w:r>
      <w:r w:rsidR="00436A4B" w:rsidRPr="00E95017">
        <w:rPr>
          <w:sz w:val="24"/>
          <w:lang w:val="ro-RO"/>
        </w:rPr>
        <w:t xml:space="preserve"> </w:t>
      </w:r>
      <w:r w:rsidR="00436A4B" w:rsidRPr="00E95017">
        <w:rPr>
          <w:sz w:val="24"/>
          <w:lang w:val="ro-RO"/>
        </w:rPr>
        <w:tab/>
      </w:r>
      <w:r w:rsidRPr="00E95017">
        <w:rPr>
          <w:sz w:val="24"/>
          <w:lang w:val="ro-RO"/>
        </w:rPr>
        <w:t>JO C, C/2023/112, 12.10.2023.</w:t>
      </w:r>
    </w:p>
  </w:footnote>
  <w:footnote w:id="3">
    <w:p w:rsidR="00DE4EF1" w:rsidRPr="00E95017" w:rsidRDefault="00DE4EF1" w:rsidP="00436A4B">
      <w:pPr>
        <w:pStyle w:val="FootnoteText"/>
        <w:ind w:left="567" w:hanging="567"/>
        <w:rPr>
          <w:sz w:val="24"/>
          <w:lang w:val="ro-RO"/>
        </w:rPr>
      </w:pPr>
      <w:r w:rsidRPr="00E95017">
        <w:rPr>
          <w:rStyle w:val="FootnoteReference"/>
          <w:sz w:val="24"/>
          <w:lang w:val="ro-RO"/>
        </w:rPr>
        <w:footnoteRef/>
      </w:r>
      <w:r w:rsidR="00436A4B" w:rsidRPr="00E95017">
        <w:rPr>
          <w:sz w:val="24"/>
          <w:lang w:val="ro-RO"/>
        </w:rPr>
        <w:t xml:space="preserve"> </w:t>
      </w:r>
      <w:r w:rsidR="00436A4B" w:rsidRPr="00E95017">
        <w:rPr>
          <w:sz w:val="24"/>
          <w:lang w:val="ro-RO"/>
        </w:rPr>
        <w:tab/>
      </w:r>
      <w:r w:rsidRPr="00E95017">
        <w:rPr>
          <w:sz w:val="24"/>
          <w:lang w:val="ro-RO"/>
        </w:rPr>
        <w:t>JO L 193, 30.7.2018, p. 1.</w:t>
      </w:r>
    </w:p>
  </w:footnote>
  <w:footnote w:id="4">
    <w:p w:rsidR="00DE4EF1" w:rsidRPr="00E95017" w:rsidRDefault="00DE4EF1" w:rsidP="00436A4B">
      <w:pPr>
        <w:pStyle w:val="FootnoteText"/>
        <w:ind w:left="567" w:hanging="567"/>
        <w:rPr>
          <w:sz w:val="24"/>
          <w:lang w:val="ro-RO"/>
        </w:rPr>
      </w:pPr>
      <w:r w:rsidRPr="00E95017">
        <w:rPr>
          <w:rStyle w:val="FootnoteReference"/>
          <w:sz w:val="24"/>
          <w:lang w:val="ro-RO"/>
        </w:rPr>
        <w:footnoteRef/>
      </w:r>
      <w:r w:rsidR="00436A4B" w:rsidRPr="00E95017">
        <w:rPr>
          <w:sz w:val="24"/>
          <w:lang w:val="ro-RO"/>
        </w:rPr>
        <w:t xml:space="preserve"> </w:t>
      </w:r>
      <w:r w:rsidR="00436A4B" w:rsidRPr="00E95017">
        <w:rPr>
          <w:sz w:val="24"/>
          <w:lang w:val="ro-RO"/>
        </w:rPr>
        <w:tab/>
      </w:r>
      <w:r w:rsidRPr="00E95017">
        <w:rPr>
          <w:sz w:val="24"/>
          <w:lang w:val="ro-RO"/>
        </w:rPr>
        <w:t>JO L 132, 29.5.2010, p. 11.</w:t>
      </w:r>
    </w:p>
  </w:footnote>
  <w:footnote w:id="5">
    <w:p w:rsidR="00DE4EF1" w:rsidRPr="00E95017" w:rsidRDefault="00DE4EF1" w:rsidP="00436A4B">
      <w:pPr>
        <w:pStyle w:val="FootnoteText"/>
        <w:ind w:left="567" w:hanging="567"/>
        <w:rPr>
          <w:sz w:val="24"/>
          <w:szCs w:val="24"/>
          <w:lang w:val="ro-RO"/>
        </w:rPr>
      </w:pPr>
      <w:r w:rsidRPr="00E95017">
        <w:rPr>
          <w:rStyle w:val="FootnoteReference"/>
          <w:sz w:val="24"/>
          <w:lang w:val="ro-RO"/>
        </w:rPr>
        <w:footnoteRef/>
      </w:r>
      <w:r w:rsidR="00436A4B" w:rsidRPr="00E95017">
        <w:rPr>
          <w:sz w:val="24"/>
          <w:lang w:val="ro-RO"/>
        </w:rPr>
        <w:t xml:space="preserve"> </w:t>
      </w:r>
      <w:r w:rsidR="00436A4B" w:rsidRPr="00E95017">
        <w:rPr>
          <w:sz w:val="24"/>
          <w:lang w:val="ro-RO"/>
        </w:rPr>
        <w:tab/>
      </w:r>
      <w:r w:rsidRPr="00E95017">
        <w:rPr>
          <w:sz w:val="24"/>
          <w:lang w:val="ro-RO"/>
        </w:rPr>
        <w:t>JO L 468, 30.12.2021, p. 1.</w:t>
      </w:r>
    </w:p>
  </w:footnote>
  <w:footnote w:id="6">
    <w:p w:rsidR="00DE4EF1" w:rsidRPr="00E95017" w:rsidRDefault="00DE4EF1" w:rsidP="00436A4B">
      <w:pPr>
        <w:pStyle w:val="FootnoteText"/>
        <w:ind w:left="567" w:hanging="567"/>
        <w:rPr>
          <w:sz w:val="24"/>
          <w:lang w:val="ro-RO"/>
        </w:rPr>
      </w:pPr>
      <w:r w:rsidRPr="00E95017">
        <w:rPr>
          <w:rStyle w:val="FootnoteReference"/>
          <w:sz w:val="24"/>
          <w:lang w:val="ro-RO"/>
        </w:rPr>
        <w:footnoteRef/>
      </w:r>
      <w:r w:rsidR="00436A4B" w:rsidRPr="00E95017">
        <w:rPr>
          <w:sz w:val="24"/>
          <w:lang w:val="ro-RO"/>
        </w:rPr>
        <w:t xml:space="preserve"> </w:t>
      </w:r>
      <w:r w:rsidR="00436A4B" w:rsidRPr="00E95017">
        <w:rPr>
          <w:sz w:val="24"/>
          <w:lang w:val="ro-RO"/>
        </w:rPr>
        <w:tab/>
      </w:r>
      <w:r w:rsidRPr="00E95017">
        <w:rPr>
          <w:sz w:val="24"/>
          <w:lang w:val="ro-RO"/>
        </w:rPr>
        <w:t>JO L 122, 10.5.2019, p. 1.</w:t>
      </w:r>
    </w:p>
  </w:footnote>
  <w:footnote w:id="7">
    <w:p w:rsidR="00DE4EF1" w:rsidRPr="00E95017" w:rsidRDefault="00DE4EF1" w:rsidP="00436A4B">
      <w:pPr>
        <w:pStyle w:val="FootnoteText"/>
        <w:ind w:left="567" w:hanging="567"/>
        <w:rPr>
          <w:sz w:val="24"/>
          <w:lang w:val="ro-RO"/>
        </w:rPr>
      </w:pPr>
      <w:r w:rsidRPr="00E95017">
        <w:rPr>
          <w:rStyle w:val="FootnoteReference"/>
          <w:sz w:val="24"/>
          <w:lang w:val="ro-RO"/>
        </w:rPr>
        <w:footnoteRef/>
      </w:r>
      <w:r w:rsidR="00436A4B" w:rsidRPr="00E95017">
        <w:rPr>
          <w:sz w:val="24"/>
          <w:lang w:val="ro-RO"/>
        </w:rPr>
        <w:t xml:space="preserve"> </w:t>
      </w:r>
      <w:r w:rsidR="00436A4B" w:rsidRPr="00E95017">
        <w:rPr>
          <w:sz w:val="24"/>
          <w:lang w:val="ro-RO"/>
        </w:rPr>
        <w:tab/>
      </w:r>
      <w:r w:rsidRPr="00E95017">
        <w:rPr>
          <w:sz w:val="24"/>
          <w:lang w:val="ro-RO"/>
        </w:rPr>
        <w:t>JO C, C/2023/594, 27.10.2023.</w:t>
      </w:r>
    </w:p>
  </w:footnote>
  <w:footnote w:id="8">
    <w:p w:rsidR="00DE4EF1" w:rsidRPr="00E95017" w:rsidRDefault="00DE4EF1" w:rsidP="00436A4B">
      <w:pPr>
        <w:pStyle w:val="FootnoteText"/>
        <w:ind w:left="567" w:hanging="567"/>
        <w:rPr>
          <w:sz w:val="24"/>
          <w:lang w:val="ro-RO"/>
        </w:rPr>
      </w:pPr>
      <w:r w:rsidRPr="00E95017">
        <w:rPr>
          <w:rStyle w:val="FootnoteReference"/>
          <w:sz w:val="24"/>
          <w:lang w:val="ro-RO"/>
        </w:rPr>
        <w:footnoteRef/>
      </w:r>
      <w:r w:rsidR="00436A4B" w:rsidRPr="00E95017">
        <w:rPr>
          <w:sz w:val="24"/>
          <w:lang w:val="ro-RO"/>
        </w:rPr>
        <w:t xml:space="preserve"> </w:t>
      </w:r>
      <w:r w:rsidR="00436A4B" w:rsidRPr="00E95017">
        <w:rPr>
          <w:sz w:val="24"/>
          <w:lang w:val="ro-RO"/>
        </w:rPr>
        <w:tab/>
      </w:r>
      <w:r w:rsidRPr="00E95017">
        <w:rPr>
          <w:sz w:val="24"/>
          <w:lang w:val="ro-RO"/>
        </w:rPr>
        <w:t>JO C, C/2023/112, 12.10.2023.</w:t>
      </w:r>
    </w:p>
  </w:footnote>
  <w:footnote w:id="9">
    <w:p w:rsidR="00DE4EF1" w:rsidRPr="00E95017" w:rsidRDefault="00DE4EF1" w:rsidP="00436A4B">
      <w:pPr>
        <w:pStyle w:val="FootnoteText"/>
        <w:ind w:left="567" w:hanging="567"/>
        <w:rPr>
          <w:sz w:val="24"/>
          <w:lang w:val="ro-RO"/>
        </w:rPr>
      </w:pPr>
      <w:r w:rsidRPr="00E95017">
        <w:rPr>
          <w:rStyle w:val="FootnoteReference"/>
          <w:sz w:val="24"/>
          <w:lang w:val="ro-RO"/>
        </w:rPr>
        <w:footnoteRef/>
      </w:r>
      <w:r w:rsidR="00436A4B" w:rsidRPr="00E95017">
        <w:rPr>
          <w:sz w:val="24"/>
          <w:lang w:val="ro-RO"/>
        </w:rPr>
        <w:t xml:space="preserve"> </w:t>
      </w:r>
      <w:r w:rsidR="00436A4B" w:rsidRPr="00E95017">
        <w:rPr>
          <w:sz w:val="24"/>
          <w:lang w:val="ro-RO"/>
        </w:rPr>
        <w:tab/>
      </w:r>
      <w:r w:rsidRPr="00E95017">
        <w:rPr>
          <w:sz w:val="24"/>
          <w:lang w:val="ro-RO"/>
        </w:rPr>
        <w:t>JO L 193, 30.7.2018, p. 1.</w:t>
      </w:r>
    </w:p>
  </w:footnote>
  <w:footnote w:id="10">
    <w:p w:rsidR="00DE4EF1" w:rsidRPr="00E95017" w:rsidRDefault="00DE4EF1" w:rsidP="00436A4B">
      <w:pPr>
        <w:pStyle w:val="FootnoteText"/>
        <w:ind w:left="567" w:hanging="567"/>
        <w:rPr>
          <w:sz w:val="24"/>
          <w:lang w:val="ro-RO"/>
        </w:rPr>
      </w:pPr>
      <w:r w:rsidRPr="00E95017">
        <w:rPr>
          <w:rStyle w:val="FootnoteReference"/>
          <w:sz w:val="24"/>
          <w:lang w:val="ro-RO"/>
        </w:rPr>
        <w:footnoteRef/>
      </w:r>
      <w:r w:rsidR="00436A4B" w:rsidRPr="00E95017">
        <w:rPr>
          <w:sz w:val="24"/>
          <w:lang w:val="ro-RO"/>
        </w:rPr>
        <w:t xml:space="preserve"> </w:t>
      </w:r>
      <w:r w:rsidR="00436A4B" w:rsidRPr="00E95017">
        <w:rPr>
          <w:sz w:val="24"/>
          <w:lang w:val="ro-RO"/>
        </w:rPr>
        <w:tab/>
      </w:r>
      <w:r w:rsidRPr="00E95017">
        <w:rPr>
          <w:sz w:val="24"/>
          <w:lang w:val="ro-RO"/>
        </w:rPr>
        <w:t>JO L 132, 29.5.2010, p. 11.</w:t>
      </w:r>
    </w:p>
  </w:footnote>
  <w:footnote w:id="11">
    <w:p w:rsidR="00DE4EF1" w:rsidRPr="00E95017" w:rsidRDefault="00DE4EF1" w:rsidP="00436A4B">
      <w:pPr>
        <w:pStyle w:val="FootnoteText"/>
        <w:ind w:left="567" w:hanging="567"/>
        <w:rPr>
          <w:sz w:val="24"/>
          <w:lang w:val="ro-RO"/>
        </w:rPr>
      </w:pPr>
      <w:r w:rsidRPr="00E95017">
        <w:rPr>
          <w:rStyle w:val="FootnoteReference"/>
          <w:sz w:val="24"/>
          <w:lang w:val="ro-RO"/>
        </w:rPr>
        <w:footnoteRef/>
      </w:r>
      <w:r w:rsidR="00436A4B" w:rsidRPr="00E95017">
        <w:rPr>
          <w:sz w:val="24"/>
          <w:lang w:val="ro-RO"/>
        </w:rPr>
        <w:t xml:space="preserve"> </w:t>
      </w:r>
      <w:r w:rsidR="00436A4B" w:rsidRPr="00E95017">
        <w:rPr>
          <w:sz w:val="24"/>
          <w:lang w:val="ro-RO"/>
        </w:rPr>
        <w:tab/>
      </w:r>
      <w:r w:rsidRPr="00E95017">
        <w:rPr>
          <w:sz w:val="24"/>
          <w:lang w:val="ro-RO"/>
        </w:rPr>
        <w:t>JO L 468, 30.12.2021, p. 1.</w:t>
      </w:r>
    </w:p>
  </w:footnote>
  <w:footnote w:id="12">
    <w:p w:rsidR="00DE4EF1" w:rsidRPr="00E95017" w:rsidRDefault="00DE4EF1" w:rsidP="00436A4B">
      <w:pPr>
        <w:pStyle w:val="FootnoteText"/>
        <w:ind w:left="567" w:hanging="567"/>
        <w:rPr>
          <w:sz w:val="24"/>
          <w:szCs w:val="24"/>
          <w:lang w:val="ro-RO"/>
        </w:rPr>
      </w:pPr>
      <w:r w:rsidRPr="00E95017">
        <w:rPr>
          <w:rStyle w:val="FootnoteReference"/>
          <w:sz w:val="24"/>
          <w:lang w:val="ro-RO"/>
        </w:rPr>
        <w:footnoteRef/>
      </w:r>
      <w:r w:rsidR="00436A4B" w:rsidRPr="00E95017">
        <w:rPr>
          <w:sz w:val="24"/>
          <w:lang w:val="ro-RO"/>
        </w:rPr>
        <w:t xml:space="preserve"> </w:t>
      </w:r>
      <w:r w:rsidR="00436A4B" w:rsidRPr="00E95017">
        <w:rPr>
          <w:sz w:val="24"/>
          <w:lang w:val="ro-RO"/>
        </w:rPr>
        <w:tab/>
      </w:r>
      <w:r w:rsidRPr="00E95017">
        <w:rPr>
          <w:sz w:val="24"/>
          <w:lang w:val="ro-RO"/>
        </w:rPr>
        <w:t>JO L 122, 10.5.2019,</w:t>
      </w:r>
      <w:r w:rsidR="00796946">
        <w:rPr>
          <w:sz w:val="24"/>
          <w:lang w:val="ro-RO"/>
        </w:rPr>
        <w:t xml:space="preserve"> </w:t>
      </w:r>
      <w:bookmarkStart w:id="8" w:name="_GoBack"/>
      <w:bookmarkEnd w:id="8"/>
      <w:r w:rsidRPr="00E95017">
        <w:rPr>
          <w:sz w:val="24"/>
          <w:lang w:val="ro-RO"/>
        </w:rPr>
        <w:t>p. 1.</w:t>
      </w:r>
    </w:p>
  </w:footnote>
  <w:footnote w:id="13">
    <w:p w:rsidR="00DE4EF1" w:rsidRPr="00E95017" w:rsidRDefault="00DE4EF1" w:rsidP="00436A4B">
      <w:pPr>
        <w:pStyle w:val="FootnoteText"/>
        <w:ind w:left="567" w:hanging="567"/>
        <w:rPr>
          <w:sz w:val="24"/>
          <w:lang w:val="ro-RO"/>
        </w:rPr>
      </w:pPr>
      <w:r w:rsidRPr="00E95017">
        <w:rPr>
          <w:sz w:val="24"/>
          <w:vertAlign w:val="superscript"/>
          <w:lang w:val="ro-RO"/>
        </w:rPr>
        <w:footnoteRef/>
      </w:r>
      <w:r w:rsidR="00436A4B" w:rsidRPr="00E95017">
        <w:rPr>
          <w:sz w:val="24"/>
          <w:lang w:val="ro-RO"/>
        </w:rPr>
        <w:t xml:space="preserve"> </w:t>
      </w:r>
      <w:r w:rsidR="00436A4B" w:rsidRPr="00E95017">
        <w:rPr>
          <w:sz w:val="24"/>
          <w:lang w:val="ro-RO"/>
        </w:rPr>
        <w:tab/>
      </w:r>
      <w:r w:rsidRPr="00E95017">
        <w:rPr>
          <w:sz w:val="24"/>
          <w:lang w:val="ro-RO"/>
        </w:rPr>
        <w:t>JO C 38, 31.1.2023, p. 180.</w:t>
      </w:r>
    </w:p>
  </w:footnote>
  <w:footnote w:id="14">
    <w:p w:rsidR="00DE4EF1" w:rsidRPr="00436A4B" w:rsidRDefault="00DE4EF1" w:rsidP="00436A4B">
      <w:pPr>
        <w:pStyle w:val="FootnoteText"/>
        <w:ind w:left="567" w:hanging="567"/>
        <w:rPr>
          <w:sz w:val="24"/>
          <w:lang w:val="ro-RO"/>
        </w:rPr>
      </w:pPr>
      <w:r w:rsidRPr="00E95017">
        <w:rPr>
          <w:rStyle w:val="FootnoteReference"/>
          <w:sz w:val="24"/>
          <w:lang w:val="ro-RO"/>
        </w:rPr>
        <w:footnoteRef/>
      </w:r>
      <w:r w:rsidR="00436A4B" w:rsidRPr="00E95017">
        <w:rPr>
          <w:sz w:val="24"/>
          <w:lang w:val="ro-RO"/>
        </w:rPr>
        <w:t xml:space="preserve"> </w:t>
      </w:r>
      <w:r w:rsidR="00436A4B" w:rsidRPr="00E95017">
        <w:rPr>
          <w:sz w:val="24"/>
          <w:lang w:val="ro-RO"/>
        </w:rPr>
        <w:tab/>
      </w:r>
      <w:r w:rsidRPr="00E95017">
        <w:rPr>
          <w:sz w:val="24"/>
          <w:lang w:val="ro-RO"/>
        </w:rPr>
        <w:t>Texte adoptate, P9_TA(2024)</w:t>
      </w:r>
      <w:r w:rsidR="00E95017" w:rsidRPr="00E95017">
        <w:rPr>
          <w:sz w:val="24"/>
          <w:lang w:val="ro-RO"/>
        </w:rPr>
        <w:t>0280</w:t>
      </w:r>
      <w:r w:rsidRPr="00E95017">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6A4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6A4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6A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6/2024"/>
    <w:docVar w:name="dvlangue" w:val="RO"/>
    <w:docVar w:name="dvnumam" w:val="0"/>
    <w:docVar w:name="dvpe" w:val="753.532"/>
    <w:docVar w:name="dvrapporteur" w:val="Raportor: "/>
    <w:docVar w:name="dvtitre" w:val="1. Decizia Parlamentului European din 11 aprilie 2024 privind descărcarea de gestiune pentru execuția bugetului Agenției Uniunii Europene pentru Azil (înainte de 19.1.2022 Biroul European de Sprijin pentru Azil) aferent exercițiului financiar 2022(2023/2164(DEC))"/>
  </w:docVars>
  <w:rsids>
    <w:rsidRoot w:val="0029286A"/>
    <w:rsid w:val="00002272"/>
    <w:rsid w:val="00064002"/>
    <w:rsid w:val="000677B9"/>
    <w:rsid w:val="000831BA"/>
    <w:rsid w:val="000A42CC"/>
    <w:rsid w:val="000E7DD9"/>
    <w:rsid w:val="0010095E"/>
    <w:rsid w:val="00125B37"/>
    <w:rsid w:val="00187494"/>
    <w:rsid w:val="001F32AE"/>
    <w:rsid w:val="002767FF"/>
    <w:rsid w:val="0029286A"/>
    <w:rsid w:val="002B18FE"/>
    <w:rsid w:val="002B5493"/>
    <w:rsid w:val="00343214"/>
    <w:rsid w:val="00361C00"/>
    <w:rsid w:val="00395FA1"/>
    <w:rsid w:val="003E15D4"/>
    <w:rsid w:val="00411CCE"/>
    <w:rsid w:val="0041666E"/>
    <w:rsid w:val="00421060"/>
    <w:rsid w:val="00436A4B"/>
    <w:rsid w:val="00471C19"/>
    <w:rsid w:val="004867E3"/>
    <w:rsid w:val="00494A28"/>
    <w:rsid w:val="004C0004"/>
    <w:rsid w:val="004C5D52"/>
    <w:rsid w:val="0050519A"/>
    <w:rsid w:val="005072A1"/>
    <w:rsid w:val="00514517"/>
    <w:rsid w:val="00545827"/>
    <w:rsid w:val="00560270"/>
    <w:rsid w:val="005C2568"/>
    <w:rsid w:val="006037C0"/>
    <w:rsid w:val="00620110"/>
    <w:rsid w:val="006631B6"/>
    <w:rsid w:val="00680577"/>
    <w:rsid w:val="006F74FA"/>
    <w:rsid w:val="00731ADD"/>
    <w:rsid w:val="00734777"/>
    <w:rsid w:val="00747932"/>
    <w:rsid w:val="00751A4A"/>
    <w:rsid w:val="00756632"/>
    <w:rsid w:val="00762C74"/>
    <w:rsid w:val="00786EC0"/>
    <w:rsid w:val="00796946"/>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4774"/>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5067"/>
    <w:rsid w:val="00DA7FCD"/>
    <w:rsid w:val="00DE4EF1"/>
    <w:rsid w:val="00E365E1"/>
    <w:rsid w:val="00E820A4"/>
    <w:rsid w:val="00E95017"/>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AA3218"/>
  <w15:chartTrackingRefBased/>
  <w15:docId w15:val="{C8CF84BF-610F-4B89-8243-0B596ECFD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E4EF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E4EF1"/>
    <w:pPr>
      <w:spacing w:before="480" w:after="240"/>
    </w:pPr>
  </w:style>
  <w:style w:type="paragraph" w:customStyle="1" w:styleId="PageHeading">
    <w:name w:val="PageHeading"/>
    <w:basedOn w:val="Normal"/>
    <w:rsid w:val="00DE4EF1"/>
    <w:pPr>
      <w:keepNext/>
      <w:spacing w:after="480"/>
      <w:jc w:val="center"/>
    </w:pPr>
    <w:rPr>
      <w:rFonts w:ascii="Arial" w:hAnsi="Arial" w:cs="Arial"/>
      <w:b/>
    </w:rPr>
  </w:style>
  <w:style w:type="paragraph" w:customStyle="1" w:styleId="NormalBold">
    <w:name w:val="NormalBold"/>
    <w:basedOn w:val="Normal"/>
    <w:rsid w:val="00DE4EF1"/>
    <w:rPr>
      <w:b/>
    </w:rPr>
  </w:style>
  <w:style w:type="paragraph" w:customStyle="1" w:styleId="NormalHanging12a">
    <w:name w:val="NormalHanging12a"/>
    <w:basedOn w:val="Normal"/>
    <w:link w:val="NormalHanging12aChar"/>
    <w:rsid w:val="00DE4EF1"/>
    <w:pPr>
      <w:spacing w:after="240"/>
      <w:ind w:left="567" w:hanging="567"/>
    </w:pPr>
  </w:style>
  <w:style w:type="paragraph" w:customStyle="1" w:styleId="NormalCenter12a">
    <w:name w:val="NormalCenter12a"/>
    <w:basedOn w:val="Normal"/>
    <w:rsid w:val="00DE4EF1"/>
    <w:pPr>
      <w:spacing w:after="240"/>
      <w:jc w:val="center"/>
    </w:pPr>
  </w:style>
  <w:style w:type="paragraph" w:styleId="Header">
    <w:name w:val="header"/>
    <w:basedOn w:val="Normal"/>
    <w:link w:val="HeaderChar"/>
    <w:rsid w:val="00DE4EF1"/>
    <w:pPr>
      <w:tabs>
        <w:tab w:val="center" w:pos="4513"/>
        <w:tab w:val="right" w:pos="9026"/>
      </w:tabs>
    </w:pPr>
  </w:style>
  <w:style w:type="character" w:customStyle="1" w:styleId="HeaderChar">
    <w:name w:val="Header Char"/>
    <w:basedOn w:val="DefaultParagraphFont"/>
    <w:link w:val="Header"/>
    <w:rsid w:val="00DE4EF1"/>
    <w:rPr>
      <w:sz w:val="24"/>
      <w:lang w:val="ro-RO"/>
    </w:rPr>
  </w:style>
  <w:style w:type="paragraph" w:customStyle="1" w:styleId="EPFooter">
    <w:name w:val="EPFooter"/>
    <w:basedOn w:val="Normal"/>
    <w:rsid w:val="00DE4EF1"/>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DE4EF1"/>
    <w:rPr>
      <w:sz w:val="24"/>
      <w:lang w:val="ro-RO"/>
    </w:rPr>
  </w:style>
  <w:style w:type="character" w:customStyle="1" w:styleId="Normal12HangingChar">
    <w:name w:val="Normal12Hanging Char"/>
    <w:link w:val="Normal12Hanging"/>
    <w:locked/>
    <w:rsid w:val="00DE4EF1"/>
    <w:rPr>
      <w:sz w:val="24"/>
    </w:rPr>
  </w:style>
  <w:style w:type="paragraph" w:customStyle="1" w:styleId="Normal12Hanging">
    <w:name w:val="Normal12Hanging"/>
    <w:basedOn w:val="Normal"/>
    <w:link w:val="Normal12HangingChar"/>
    <w:rsid w:val="00DE4EF1"/>
    <w:pPr>
      <w:spacing w:after="240"/>
      <w:ind w:left="567" w:hanging="567"/>
    </w:pPr>
    <w:rPr>
      <w:lang w:val="en-GB"/>
    </w:rPr>
  </w:style>
  <w:style w:type="paragraph" w:customStyle="1" w:styleId="Normal24a">
    <w:name w:val="Normal24a"/>
    <w:basedOn w:val="Normal"/>
    <w:rsid w:val="00DE4EF1"/>
    <w:pPr>
      <w:spacing w:after="480"/>
    </w:pPr>
  </w:style>
  <w:style w:type="paragraph" w:customStyle="1" w:styleId="NormalBoldCenter">
    <w:name w:val="NormalBoldCenter"/>
    <w:basedOn w:val="Normal"/>
    <w:rsid w:val="00DE4EF1"/>
    <w:pPr>
      <w:jc w:val="center"/>
    </w:pPr>
    <w:rPr>
      <w:b/>
    </w:rPr>
  </w:style>
  <w:style w:type="paragraph" w:customStyle="1" w:styleId="Normal12a">
    <w:name w:val="Normal12a"/>
    <w:basedOn w:val="Normal"/>
    <w:rsid w:val="00DE4EF1"/>
    <w:pPr>
      <w:spacing w:after="240"/>
    </w:pPr>
  </w:style>
  <w:style w:type="paragraph" w:customStyle="1" w:styleId="PageHeadingNotTOC">
    <w:name w:val="PageHeadingNotTOC"/>
    <w:basedOn w:val="Normal"/>
    <w:rsid w:val="00DE4EF1"/>
    <w:pPr>
      <w:keepNext/>
      <w:spacing w:after="480"/>
      <w:jc w:val="center"/>
    </w:pPr>
    <w:rPr>
      <w:rFonts w:ascii="Arial" w:hAnsi="Arial" w:cs="Arial"/>
      <w:b/>
    </w:rPr>
  </w:style>
  <w:style w:type="paragraph" w:customStyle="1" w:styleId="RollCallSymbols14pt">
    <w:name w:val="RollCallSymbols14pt"/>
    <w:basedOn w:val="Normal"/>
    <w:rsid w:val="00DE4EF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E4EF1"/>
    <w:pPr>
      <w:tabs>
        <w:tab w:val="center" w:pos="284"/>
        <w:tab w:val="left" w:pos="426"/>
      </w:tabs>
    </w:pPr>
    <w:rPr>
      <w:snapToGrid w:val="0"/>
      <w:lang w:eastAsia="en-US"/>
    </w:rPr>
  </w:style>
  <w:style w:type="paragraph" w:customStyle="1" w:styleId="RollCallVotes">
    <w:name w:val="RollCallVotes"/>
    <w:basedOn w:val="Normal"/>
    <w:rsid w:val="00DE4EF1"/>
    <w:pPr>
      <w:spacing w:before="120" w:after="120"/>
      <w:jc w:val="center"/>
    </w:pPr>
    <w:rPr>
      <w:b/>
      <w:bCs/>
      <w:snapToGrid w:val="0"/>
      <w:sz w:val="16"/>
      <w:lang w:eastAsia="en-US"/>
    </w:rPr>
  </w:style>
  <w:style w:type="paragraph" w:customStyle="1" w:styleId="RollCallTable">
    <w:name w:val="RollCallTable"/>
    <w:basedOn w:val="Normal"/>
    <w:rsid w:val="00DE4EF1"/>
    <w:pPr>
      <w:spacing w:before="120" w:after="120"/>
    </w:pPr>
    <w:rPr>
      <w:snapToGrid w:val="0"/>
      <w:sz w:val="16"/>
      <w:lang w:eastAsia="en-US"/>
    </w:rPr>
  </w:style>
  <w:style w:type="paragraph" w:styleId="Footer">
    <w:name w:val="footer"/>
    <w:basedOn w:val="Normal"/>
    <w:link w:val="FooterChar"/>
    <w:rsid w:val="00A64774"/>
    <w:pPr>
      <w:tabs>
        <w:tab w:val="center" w:pos="4513"/>
        <w:tab w:val="right" w:pos="9026"/>
      </w:tabs>
    </w:pPr>
  </w:style>
  <w:style w:type="character" w:customStyle="1" w:styleId="FooterChar">
    <w:name w:val="Footer Char"/>
    <w:basedOn w:val="DefaultParagraphFont"/>
    <w:link w:val="Footer"/>
    <w:rsid w:val="00A64774"/>
    <w:rPr>
      <w:sz w:val="24"/>
      <w:lang w:val="ro-RO"/>
    </w:rPr>
  </w:style>
  <w:style w:type="paragraph" w:styleId="BalloonText">
    <w:name w:val="Balloon Text"/>
    <w:basedOn w:val="Normal"/>
    <w:link w:val="BalloonTextChar"/>
    <w:rsid w:val="00A64774"/>
    <w:rPr>
      <w:rFonts w:ascii="Segoe UI" w:hAnsi="Segoe UI" w:cs="Segoe UI"/>
      <w:sz w:val="18"/>
      <w:szCs w:val="18"/>
    </w:rPr>
  </w:style>
  <w:style w:type="character" w:customStyle="1" w:styleId="BalloonTextChar">
    <w:name w:val="Balloon Text Char"/>
    <w:basedOn w:val="DefaultParagraphFont"/>
    <w:link w:val="BalloonText"/>
    <w:rsid w:val="00A64774"/>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5E8C5-FCA0-436B-BB98-3AD22D0F4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5993</Words>
  <Characters>34542</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2024-05-22T09:45:00Z</dcterms:created>
  <dcterms:modified xsi:type="dcterms:W3CDTF">2024-05-22T09:45:00Z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P9_TA(2024)0268_</vt:lpwstr>
  </property>
  <property fmtid="{D5CDD505-2E9C-101B-9397-08002B2CF9AE}" pid="4" name="&lt;Type&gt;">
    <vt:lpwstr>RR</vt:lpwstr>
  </property>
</Properties>
</file>