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4794" w:rsidTr="0010095E">
        <w:trPr>
          <w:trHeight w:hRule="exact" w:val="1418"/>
        </w:trPr>
        <w:tc>
          <w:tcPr>
            <w:tcW w:w="6804" w:type="dxa"/>
            <w:shd w:val="clear" w:color="auto" w:fill="auto"/>
            <w:vAlign w:val="center"/>
          </w:tcPr>
          <w:p w:rsidR="00751A4A" w:rsidRPr="00A94794" w:rsidRDefault="00E42824" w:rsidP="0010095E">
            <w:pPr>
              <w:pStyle w:val="EPName"/>
            </w:pPr>
            <w:r w:rsidRPr="00A94794">
              <w:t>Evropski parlament</w:t>
            </w:r>
          </w:p>
          <w:p w:rsidR="00751A4A" w:rsidRPr="00A94794" w:rsidRDefault="00817416" w:rsidP="00756632">
            <w:pPr>
              <w:pStyle w:val="EPTerm"/>
              <w:rPr>
                <w:rStyle w:val="HideTWBExt"/>
                <w:noProof w:val="0"/>
                <w:vanish w:val="0"/>
                <w:color w:val="auto"/>
              </w:rPr>
            </w:pPr>
            <w:r w:rsidRPr="00A94794">
              <w:t>2019-2024</w:t>
            </w:r>
          </w:p>
        </w:tc>
        <w:tc>
          <w:tcPr>
            <w:tcW w:w="2268" w:type="dxa"/>
            <w:shd w:val="clear" w:color="auto" w:fill="auto"/>
          </w:tcPr>
          <w:p w:rsidR="00751A4A" w:rsidRPr="00A94794" w:rsidRDefault="00187494" w:rsidP="0010095E">
            <w:pPr>
              <w:pStyle w:val="EPLogo"/>
            </w:pPr>
            <w:r w:rsidRPr="00A9479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94794" w:rsidRDefault="00D058B8" w:rsidP="004C5D52">
      <w:pPr>
        <w:pStyle w:val="LineTop"/>
      </w:pPr>
    </w:p>
    <w:p w:rsidR="00680577" w:rsidRPr="00A94794" w:rsidRDefault="00E42824" w:rsidP="00680577">
      <w:pPr>
        <w:pStyle w:val="EPBodyTA1"/>
      </w:pPr>
      <w:r w:rsidRPr="00A94794">
        <w:t>SPREJETA BESEDILA</w:t>
      </w:r>
    </w:p>
    <w:p w:rsidR="00D058B8" w:rsidRPr="00A94794" w:rsidRDefault="00D058B8" w:rsidP="00D058B8">
      <w:pPr>
        <w:pStyle w:val="LineBottom"/>
      </w:pPr>
    </w:p>
    <w:p w:rsidR="00E42824" w:rsidRPr="00A94794" w:rsidRDefault="00E42824" w:rsidP="00A94794">
      <w:pPr>
        <w:pStyle w:val="ATHeading1"/>
      </w:pPr>
      <w:bookmarkStart w:id="0" w:name="TANumber"/>
      <w:r w:rsidRPr="00A94794">
        <w:t>P9_TA(2024)0</w:t>
      </w:r>
      <w:r w:rsidR="00A94794" w:rsidRPr="00A94794">
        <w:t>268</w:t>
      </w:r>
      <w:bookmarkEnd w:id="0"/>
    </w:p>
    <w:p w:rsidR="00E42824" w:rsidRPr="00A94794" w:rsidRDefault="00E42824" w:rsidP="00E42824">
      <w:pPr>
        <w:pStyle w:val="ATHeading2"/>
      </w:pPr>
      <w:bookmarkStart w:id="1" w:name="title"/>
      <w:r w:rsidRPr="00A94794">
        <w:t>Razrešnica za leto 2022: Agencija E</w:t>
      </w:r>
      <w:r w:rsidR="00322A09">
        <w:t>vropske unije za azil (pred 19.1.</w:t>
      </w:r>
      <w:r w:rsidRPr="00A94794">
        <w:t>2022 Evropski azilni podporni urad)</w:t>
      </w:r>
      <w:bookmarkEnd w:id="1"/>
    </w:p>
    <w:p w:rsidR="00E42824" w:rsidRPr="00A94794" w:rsidRDefault="00E42824" w:rsidP="00E42824">
      <w:pPr>
        <w:rPr>
          <w:i/>
          <w:vanish/>
        </w:rPr>
      </w:pPr>
      <w:r w:rsidRPr="00A94794">
        <w:rPr>
          <w:i/>
        </w:rPr>
        <w:fldChar w:fldCharType="begin"/>
      </w:r>
      <w:r w:rsidRPr="00A94794">
        <w:rPr>
          <w:i/>
        </w:rPr>
        <w:instrText xml:space="preserve"> TC"(</w:instrText>
      </w:r>
      <w:bookmarkStart w:id="2" w:name="DocNumber"/>
      <w:r w:rsidRPr="00A94794">
        <w:rPr>
          <w:i/>
        </w:rPr>
        <w:instrText>A9-0106/2024</w:instrText>
      </w:r>
      <w:bookmarkEnd w:id="2"/>
      <w:r w:rsidRPr="00A94794">
        <w:rPr>
          <w:i/>
        </w:rPr>
        <w:instrText xml:space="preserve"> - Poročevalec: Petri Sarvamaa)"\l3 \n&gt; \* MERGEFORMAT </w:instrText>
      </w:r>
      <w:r w:rsidRPr="00A94794">
        <w:rPr>
          <w:i/>
        </w:rPr>
        <w:fldChar w:fldCharType="end"/>
      </w:r>
    </w:p>
    <w:p w:rsidR="00E42824" w:rsidRPr="00A94794" w:rsidRDefault="00E42824" w:rsidP="00E42824">
      <w:pPr>
        <w:rPr>
          <w:vanish/>
        </w:rPr>
      </w:pPr>
      <w:bookmarkStart w:id="3" w:name="Commission"/>
      <w:r w:rsidRPr="00A94794">
        <w:rPr>
          <w:vanish/>
        </w:rPr>
        <w:t>Odbor za proračunski nadzor</w:t>
      </w:r>
      <w:bookmarkEnd w:id="3"/>
    </w:p>
    <w:p w:rsidR="00E42824" w:rsidRPr="00A94794" w:rsidRDefault="00E42824" w:rsidP="00E42824">
      <w:pPr>
        <w:rPr>
          <w:vanish/>
        </w:rPr>
      </w:pPr>
      <w:bookmarkStart w:id="4" w:name="PE"/>
      <w:r w:rsidRPr="00A94794">
        <w:rPr>
          <w:vanish/>
        </w:rPr>
        <w:t>PE753.532</w:t>
      </w:r>
      <w:bookmarkEnd w:id="4"/>
    </w:p>
    <w:p w:rsidR="00E42824" w:rsidRPr="00A94794" w:rsidRDefault="00E42824" w:rsidP="00E42824">
      <w:pPr>
        <w:pStyle w:val="ATHeading3"/>
      </w:pPr>
      <w:bookmarkStart w:id="5" w:name="Sujet"/>
      <w:r w:rsidRPr="00A94794">
        <w:t>1. Sklep Evropskega parlamenta z dne 11. aprila 2024 o razrešnici glede izvrševanja proračuna Agencije Evropske unije za azil (pred 19. januarjem 2022 Evropski azilni podporni urad) za proračunsko leto 2022</w:t>
      </w:r>
      <w:bookmarkEnd w:id="5"/>
      <w:r w:rsidRPr="00A94794">
        <w:t xml:space="preserve"> </w:t>
      </w:r>
      <w:bookmarkStart w:id="6" w:name="References"/>
      <w:r w:rsidRPr="00A94794">
        <w:t>(2023/2164(DEC))</w:t>
      </w:r>
      <w:bookmarkEnd w:id="6"/>
    </w:p>
    <w:p w:rsidR="003D46E8" w:rsidRPr="00A94794" w:rsidRDefault="003D46E8" w:rsidP="003D46E8">
      <w:pPr>
        <w:pStyle w:val="EPComma"/>
      </w:pPr>
      <w:bookmarkStart w:id="7" w:name="TextBodyBegin"/>
      <w:bookmarkEnd w:id="7"/>
      <w:r w:rsidRPr="00A94794">
        <w:rPr>
          <w:i/>
        </w:rPr>
        <w:t>Evropski parlament</w:t>
      </w:r>
      <w:r w:rsidRPr="00A94794">
        <w:t>,</w:t>
      </w:r>
    </w:p>
    <w:p w:rsidR="003D46E8" w:rsidRPr="00A94794" w:rsidRDefault="003D46E8" w:rsidP="003D46E8">
      <w:pPr>
        <w:pStyle w:val="NormalHanging12a"/>
      </w:pPr>
      <w:r w:rsidRPr="00A94794">
        <w:t>–</w:t>
      </w:r>
      <w:r w:rsidRPr="00A94794">
        <w:tab/>
        <w:t>ob upoštevanju končnega zaključnega računa Agencije Evropske unije za azil za proračunsko leto 2022,</w:t>
      </w:r>
    </w:p>
    <w:p w:rsidR="003D46E8" w:rsidRPr="00A94794" w:rsidRDefault="003D46E8" w:rsidP="003D46E8">
      <w:pPr>
        <w:pStyle w:val="NormalHanging12a"/>
      </w:pPr>
      <w:r w:rsidRPr="00A94794">
        <w:t>–</w:t>
      </w:r>
      <w:r w:rsidRPr="00A94794">
        <w:tab/>
        <w:t>ob upoštevanju letnega poročila Računskega sodišča o agencijah EU za proračunsko leto 2022, skupaj z odgovori agencij</w:t>
      </w:r>
      <w:r w:rsidRPr="00A94794">
        <w:rPr>
          <w:rStyle w:val="FootnoteReference"/>
        </w:rPr>
        <w:footnoteReference w:id="1"/>
      </w:r>
      <w:r w:rsidRPr="00A94794">
        <w:t>,</w:t>
      </w:r>
    </w:p>
    <w:p w:rsidR="003D46E8" w:rsidRPr="00A94794" w:rsidRDefault="003D46E8" w:rsidP="003D46E8">
      <w:pPr>
        <w:pStyle w:val="NormalHanging12a"/>
      </w:pPr>
      <w:r w:rsidRPr="00A94794">
        <w:t>–</w:t>
      </w:r>
      <w:r w:rsidRPr="00A94794">
        <w:tab/>
        <w:t>ob upoštevanju izjave o zanesljivosti</w:t>
      </w:r>
      <w:r w:rsidRPr="00A94794">
        <w:rPr>
          <w:rStyle w:val="FootnoteReference"/>
        </w:rPr>
        <w:footnoteReference w:id="2"/>
      </w:r>
      <w:r w:rsidRPr="00A94794">
        <w:t xml:space="preserve"> računovodskih izkazov ter zakonitosti in pravilnosti z njimi povezanih transakcij, ki jo je za proračunsko leto 2022 v skladu s členom 287 Pogodbe o delovanju Evropske unije pripravilo Računsko sodišče,</w:t>
      </w:r>
    </w:p>
    <w:p w:rsidR="003D46E8" w:rsidRPr="00A94794" w:rsidRDefault="003D46E8" w:rsidP="00873C8B">
      <w:pPr>
        <w:pStyle w:val="NormalHanging12a"/>
      </w:pPr>
      <w:r w:rsidRPr="00A94794">
        <w:t>–</w:t>
      </w:r>
      <w:r w:rsidRPr="00A94794">
        <w:tab/>
        <w:t>ob upoštevanju priporočila Sveta z dne 22. februarja 2024 o podelitvi razrešnice agenciji glede izvrševanja proračuna za proračunsko leto 2022 (</w:t>
      </w:r>
      <w:r w:rsidR="00873C8B" w:rsidRPr="00A94794">
        <w:t>06180</w:t>
      </w:r>
      <w:r w:rsidRPr="00A94794">
        <w:t>/2024 – C9</w:t>
      </w:r>
      <w:r w:rsidRPr="00A94794">
        <w:noBreakHyphen/>
      </w:r>
      <w:r w:rsidR="00873C8B" w:rsidRPr="00A94794">
        <w:t>0102</w:t>
      </w:r>
      <w:r w:rsidRPr="00A94794">
        <w:t>/2024),</w:t>
      </w:r>
    </w:p>
    <w:p w:rsidR="003D46E8" w:rsidRPr="00A94794" w:rsidRDefault="003D46E8" w:rsidP="003D46E8">
      <w:pPr>
        <w:pStyle w:val="NormalHanging12a"/>
      </w:pPr>
      <w:r w:rsidRPr="00A94794">
        <w:t>–</w:t>
      </w:r>
      <w:r w:rsidRPr="00A94794">
        <w:tab/>
        <w:t>ob upoštevanju člena 319 Pogodbe o delovanju Evropske unije,</w:t>
      </w:r>
    </w:p>
    <w:p w:rsidR="003D46E8" w:rsidRPr="00A94794" w:rsidRDefault="003D46E8" w:rsidP="003D46E8">
      <w:pPr>
        <w:pStyle w:val="NormalHanging12a"/>
      </w:pPr>
      <w:r w:rsidRPr="00A94794">
        <w:t>–</w:t>
      </w:r>
      <w:r w:rsidRPr="00A94794">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A94794">
        <w:rPr>
          <w:rStyle w:val="FootnoteReference"/>
        </w:rPr>
        <w:footnoteReference w:id="3"/>
      </w:r>
      <w:r w:rsidRPr="00A94794">
        <w:t xml:space="preserve"> in zlasti člena 70,</w:t>
      </w:r>
    </w:p>
    <w:p w:rsidR="003D46E8" w:rsidRPr="00A94794" w:rsidRDefault="00322A09" w:rsidP="003D46E8">
      <w:pPr>
        <w:pStyle w:val="NormalHanging12a"/>
      </w:pPr>
      <w:r>
        <w:t>–</w:t>
      </w:r>
      <w:r>
        <w:tab/>
        <w:t>ob upoštevanju Uredbe (EU</w:t>
      </w:r>
      <w:r w:rsidR="003D46E8" w:rsidRPr="00A94794">
        <w:t xml:space="preserve">) št. 439/2010 Evropskega parlamenta in Sveta z dne </w:t>
      </w:r>
      <w:r w:rsidR="003D46E8" w:rsidRPr="00A94794">
        <w:lastRenderedPageBreak/>
        <w:t>19. maja 2010 o ustanovitvi Evropskega azilnega podpornega urada</w:t>
      </w:r>
      <w:r w:rsidR="003D46E8" w:rsidRPr="00A94794">
        <w:rPr>
          <w:rStyle w:val="FootnoteReference"/>
        </w:rPr>
        <w:footnoteReference w:id="4"/>
      </w:r>
      <w:r w:rsidR="003D46E8" w:rsidRPr="00A94794">
        <w:t xml:space="preserve"> in zlasti člena 36,</w:t>
      </w:r>
    </w:p>
    <w:p w:rsidR="003D46E8" w:rsidRPr="00A94794" w:rsidRDefault="003D46E8" w:rsidP="003D46E8">
      <w:pPr>
        <w:pStyle w:val="NormalHanging12a"/>
      </w:pPr>
      <w:r w:rsidRPr="00A94794">
        <w:t>–</w:t>
      </w:r>
      <w:r w:rsidRPr="00A94794">
        <w:tab/>
        <w:t>ob upoštevanju Uredbe (EU) 2021/2303 Evropskega parlamenta in Sveta z dne 15. decembra 2021 o Agenciji Evropske unije za azil in razveljavitvi Uredbe (EU) št. 439/2010</w:t>
      </w:r>
      <w:r w:rsidRPr="00A94794">
        <w:rPr>
          <w:rStyle w:val="FootnoteReference"/>
        </w:rPr>
        <w:footnoteReference w:id="5"/>
      </w:r>
      <w:r w:rsidRPr="00A94794">
        <w:t xml:space="preserve"> in zlasti člena 55,</w:t>
      </w:r>
    </w:p>
    <w:p w:rsidR="003D46E8" w:rsidRPr="00A94794" w:rsidRDefault="003D46E8" w:rsidP="003D46E8">
      <w:pPr>
        <w:pStyle w:val="NormalHanging12a"/>
      </w:pPr>
      <w:r w:rsidRPr="00A94794">
        <w:t>–</w:t>
      </w:r>
      <w:r w:rsidRPr="00A94794">
        <w:tab/>
        <w:t>ob upoštevanju Delegirane uredbe Komisije (EU) 2019/715 z dne 18. decembra 2018 o okvirni finančni uredbi za organe, ustanovljene na podlagi PDEU in Pogodbe Euratom, iz člena 70 Uredbe (EU, Euratom) 2018/1046 Evropskega parlamenta in Sveta</w:t>
      </w:r>
      <w:r w:rsidRPr="00A94794">
        <w:rPr>
          <w:rStyle w:val="FootnoteReference"/>
        </w:rPr>
        <w:footnoteReference w:id="6"/>
      </w:r>
      <w:r w:rsidRPr="00A94794">
        <w:t xml:space="preserve"> in zlasti člena 105,</w:t>
      </w:r>
    </w:p>
    <w:p w:rsidR="003D46E8" w:rsidRPr="00A94794" w:rsidRDefault="003D46E8" w:rsidP="003D46E8">
      <w:pPr>
        <w:pStyle w:val="NormalHanging12a"/>
      </w:pPr>
      <w:r w:rsidRPr="00A94794">
        <w:t>–</w:t>
      </w:r>
      <w:r w:rsidRPr="00A94794">
        <w:tab/>
        <w:t>ob upoštevanju člena 100 in Priloge V Poslovnika,</w:t>
      </w:r>
    </w:p>
    <w:p w:rsidR="003D46E8" w:rsidRPr="00A94794" w:rsidRDefault="003D46E8" w:rsidP="003D46E8">
      <w:pPr>
        <w:pStyle w:val="NormalHanging12a"/>
      </w:pPr>
      <w:r w:rsidRPr="00A94794">
        <w:t>–</w:t>
      </w:r>
      <w:r w:rsidRPr="00A94794">
        <w:tab/>
        <w:t>ob upoštevanju mnenja Odbora za državljanske svoboščine, pravosodje in notranje zadeve,</w:t>
      </w:r>
    </w:p>
    <w:p w:rsidR="003D46E8" w:rsidRPr="00A94794" w:rsidRDefault="003D46E8" w:rsidP="003D46E8">
      <w:pPr>
        <w:pStyle w:val="NormalHanging12a"/>
      </w:pPr>
      <w:r w:rsidRPr="00A94794">
        <w:t>–</w:t>
      </w:r>
      <w:r w:rsidRPr="00A94794">
        <w:tab/>
        <w:t>ob upoštevanju poročila Odbora za proračunski nadzor (A9</w:t>
      </w:r>
      <w:r w:rsidRPr="00A94794">
        <w:noBreakHyphen/>
        <w:t>0106/2024),</w:t>
      </w:r>
    </w:p>
    <w:p w:rsidR="003D46E8" w:rsidRPr="00A94794" w:rsidRDefault="003D46E8" w:rsidP="003D46E8">
      <w:pPr>
        <w:pStyle w:val="NormalHanging12a"/>
      </w:pPr>
      <w:r w:rsidRPr="00A94794">
        <w:t>1.</w:t>
      </w:r>
      <w:r w:rsidRPr="00A94794">
        <w:tab/>
        <w:t>podeli razrešnico izvršni direktorici Agencije Evropske unije za azil glede izvrševanja proračuna agencije za proračunsko leto 2022;</w:t>
      </w:r>
    </w:p>
    <w:p w:rsidR="003D46E8" w:rsidRPr="00A94794" w:rsidRDefault="003D46E8" w:rsidP="003D46E8">
      <w:pPr>
        <w:pStyle w:val="NormalHanging12a"/>
      </w:pPr>
      <w:r w:rsidRPr="00A94794">
        <w:t>2.</w:t>
      </w:r>
      <w:r w:rsidRPr="00A94794">
        <w:tab/>
        <w:t>navaja svoje pripombe v spodnji resoluciji;</w:t>
      </w:r>
    </w:p>
    <w:p w:rsidR="003D46E8" w:rsidRPr="00A94794" w:rsidRDefault="003D46E8" w:rsidP="003D46E8">
      <w:pPr>
        <w:pStyle w:val="NormalHanging12a"/>
      </w:pPr>
      <w:r w:rsidRPr="00A94794">
        <w:t>3.</w:t>
      </w:r>
      <w:r w:rsidRPr="00A94794">
        <w:tab/>
        <w:t xml:space="preserve">naroči svoji predsednici, naj ta sklep in resolucijo, ki je del sklepa, posreduje izvršni direktorici Agencije Evropske unije za azil, Svetu, Komisiji in Računskemu sodišču ter poskrbi za objavo v </w:t>
      </w:r>
      <w:r w:rsidRPr="00A94794">
        <w:rPr>
          <w:i/>
        </w:rPr>
        <w:t>Uradnem listu Evropske unije</w:t>
      </w:r>
      <w:r w:rsidRPr="00A94794">
        <w:t xml:space="preserve"> (serija L).</w:t>
      </w:r>
    </w:p>
    <w:p w:rsidR="003D46E8" w:rsidRPr="00A94794" w:rsidRDefault="003D46E8" w:rsidP="003D46E8"/>
    <w:p w:rsidR="003D46E8" w:rsidRPr="00A94794" w:rsidRDefault="003D46E8" w:rsidP="003D46E8">
      <w:pPr>
        <w:widowControl/>
        <w:rPr>
          <w:rFonts w:ascii="Arial" w:hAnsi="Arial" w:cs="Arial"/>
          <w:b/>
        </w:rPr>
        <w:sectPr w:rsidR="003D46E8" w:rsidRPr="00A94794" w:rsidSect="00E651C3">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3D46E8" w:rsidRPr="00A94794" w:rsidRDefault="00B20BCE" w:rsidP="00B20BCE">
      <w:pPr>
        <w:pStyle w:val="ATHeading3"/>
      </w:pPr>
      <w:r w:rsidRPr="00A94794">
        <w:lastRenderedPageBreak/>
        <w:t xml:space="preserve">2. Sklep Evropskega parlamenta z dne 11. aprila 2024 </w:t>
      </w:r>
      <w:r w:rsidR="003D46E8" w:rsidRPr="00A94794">
        <w:t>o zaključnem računu Agencije Evropske unije za azil (pred 19. januarjem 2022 Evropski azilni podporni urad) za proračunsko leto 2022</w:t>
      </w:r>
      <w:r w:rsidRPr="00A94794">
        <w:t xml:space="preserve"> </w:t>
      </w:r>
      <w:r w:rsidR="003D46E8" w:rsidRPr="00A94794">
        <w:t>(2023/2164(DEC))</w:t>
      </w:r>
    </w:p>
    <w:p w:rsidR="003D46E8" w:rsidRPr="00A94794" w:rsidRDefault="003D46E8" w:rsidP="003D46E8">
      <w:pPr>
        <w:pStyle w:val="EPComma"/>
      </w:pPr>
      <w:r w:rsidRPr="00A94794">
        <w:rPr>
          <w:i/>
        </w:rPr>
        <w:t>Evropski parlament</w:t>
      </w:r>
      <w:r w:rsidRPr="00A94794">
        <w:t>,</w:t>
      </w:r>
    </w:p>
    <w:p w:rsidR="003D46E8" w:rsidRPr="00A94794" w:rsidRDefault="003D46E8" w:rsidP="003D46E8">
      <w:pPr>
        <w:pStyle w:val="NormalHanging12a"/>
      </w:pPr>
      <w:r w:rsidRPr="00A94794">
        <w:t>–</w:t>
      </w:r>
      <w:r w:rsidRPr="00A94794">
        <w:tab/>
        <w:t>ob upoštevanju končnega zaključnega računa Agencije Evropske unije za azil za proračunsko leto 2022,</w:t>
      </w:r>
    </w:p>
    <w:p w:rsidR="003D46E8" w:rsidRPr="00A94794" w:rsidRDefault="003D46E8" w:rsidP="003D46E8">
      <w:pPr>
        <w:pStyle w:val="NormalHanging12a"/>
      </w:pPr>
      <w:r w:rsidRPr="00A94794">
        <w:t>–</w:t>
      </w:r>
      <w:r w:rsidRPr="00A94794">
        <w:tab/>
        <w:t>ob upoštevanju letnega poročila Računskega sodišča o agencijah EU za proračunsko leto 2022, skupaj z odgovori agencij</w:t>
      </w:r>
      <w:r w:rsidRPr="00A94794">
        <w:rPr>
          <w:rStyle w:val="FootnoteReference"/>
        </w:rPr>
        <w:footnoteReference w:id="7"/>
      </w:r>
      <w:r w:rsidRPr="00A94794">
        <w:t>,</w:t>
      </w:r>
    </w:p>
    <w:p w:rsidR="003D46E8" w:rsidRPr="00A94794" w:rsidRDefault="003D46E8" w:rsidP="003D46E8">
      <w:pPr>
        <w:pStyle w:val="NormalHanging12a"/>
      </w:pPr>
      <w:r w:rsidRPr="00A94794">
        <w:t>–</w:t>
      </w:r>
      <w:r w:rsidRPr="00A94794">
        <w:tab/>
        <w:t>ob upoštevanju izjave o zanesljivosti</w:t>
      </w:r>
      <w:r w:rsidRPr="00A94794">
        <w:rPr>
          <w:rStyle w:val="FootnoteReference"/>
        </w:rPr>
        <w:footnoteReference w:id="8"/>
      </w:r>
      <w:r w:rsidRPr="00A94794">
        <w:t xml:space="preserve"> računovodskih izkazov ter zakonitosti in pravilnosti z njimi povezanih transakcij, ki jo je za proračunsko leto 2022 v skladu s členom 287 Pogodbe o delovanju Evropske unije pripravilo Računsko sodišče,</w:t>
      </w:r>
    </w:p>
    <w:p w:rsidR="003D46E8" w:rsidRPr="00A94794" w:rsidRDefault="003D46E8" w:rsidP="00873C8B">
      <w:pPr>
        <w:pStyle w:val="NormalHanging12a"/>
      </w:pPr>
      <w:r w:rsidRPr="00A94794">
        <w:t>–</w:t>
      </w:r>
      <w:r w:rsidRPr="00A94794">
        <w:tab/>
        <w:t>ob upoštevanju priporočila Sveta z dne 22. februarja 2024 o podelitvi razrešnice agenciji glede izvrševanja proračuna za proračunsko leto 2022 (</w:t>
      </w:r>
      <w:r w:rsidR="00873C8B" w:rsidRPr="00A94794">
        <w:t>06180</w:t>
      </w:r>
      <w:r w:rsidRPr="00A94794">
        <w:t>/2024 – C9</w:t>
      </w:r>
      <w:r w:rsidRPr="00A94794">
        <w:noBreakHyphen/>
        <w:t>0</w:t>
      </w:r>
      <w:r w:rsidR="00873C8B" w:rsidRPr="00A94794">
        <w:t>102</w:t>
      </w:r>
      <w:r w:rsidRPr="00A94794">
        <w:t>/2024),</w:t>
      </w:r>
    </w:p>
    <w:p w:rsidR="003D46E8" w:rsidRPr="00A94794" w:rsidRDefault="003D46E8" w:rsidP="003D46E8">
      <w:pPr>
        <w:pStyle w:val="NormalHanging12a"/>
      </w:pPr>
      <w:r w:rsidRPr="00A94794">
        <w:t>–</w:t>
      </w:r>
      <w:r w:rsidRPr="00A94794">
        <w:tab/>
        <w:t>ob upoštevanju člena 319 Pogodbe o delovanju Evropske unije,</w:t>
      </w:r>
    </w:p>
    <w:p w:rsidR="003D46E8" w:rsidRPr="00A94794" w:rsidRDefault="003D46E8" w:rsidP="003D46E8">
      <w:pPr>
        <w:pStyle w:val="NormalHanging12a"/>
      </w:pPr>
      <w:r w:rsidRPr="00A94794">
        <w:t>–</w:t>
      </w:r>
      <w:r w:rsidRPr="00A94794">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A94794">
        <w:rPr>
          <w:rStyle w:val="FootnoteReference"/>
        </w:rPr>
        <w:footnoteReference w:id="9"/>
      </w:r>
      <w:r w:rsidRPr="00A94794">
        <w:t xml:space="preserve"> in zlasti člena 70,</w:t>
      </w:r>
    </w:p>
    <w:p w:rsidR="003D46E8" w:rsidRPr="00A94794" w:rsidRDefault="00322A09" w:rsidP="003D46E8">
      <w:pPr>
        <w:pStyle w:val="NormalHanging12a"/>
      </w:pPr>
      <w:r>
        <w:t>–</w:t>
      </w:r>
      <w:r>
        <w:tab/>
        <w:t>ob upoštevanju Uredbe (EU</w:t>
      </w:r>
      <w:bookmarkStart w:id="8" w:name="_GoBack"/>
      <w:bookmarkEnd w:id="8"/>
      <w:r w:rsidR="003D46E8" w:rsidRPr="00A94794">
        <w:t>) št. 439/2010 Evropskega parlamenta in Sveta z dne 19. maja 2010 o ustanovitvi Evropskega azilnega podpornega urada</w:t>
      </w:r>
      <w:r w:rsidR="003D46E8" w:rsidRPr="00A94794">
        <w:rPr>
          <w:rStyle w:val="FootnoteReference"/>
        </w:rPr>
        <w:footnoteReference w:id="10"/>
      </w:r>
      <w:r w:rsidR="003D46E8" w:rsidRPr="00A94794">
        <w:t xml:space="preserve"> in zlasti člena 36,</w:t>
      </w:r>
    </w:p>
    <w:p w:rsidR="003D46E8" w:rsidRPr="00A94794" w:rsidRDefault="003D46E8" w:rsidP="003D46E8">
      <w:pPr>
        <w:pStyle w:val="NormalHanging12a"/>
      </w:pPr>
      <w:r w:rsidRPr="00A94794">
        <w:t>–</w:t>
      </w:r>
      <w:r w:rsidRPr="00A94794">
        <w:tab/>
        <w:t>ob upoštevanju Uredbe (EU) 2021/2303 Evropskega parlamenta in Sveta z dne 15. decembra 2021 o Agenciji Evropske unije za azil in razveljavitvi Uredbe (EU) št. 439/2010</w:t>
      </w:r>
      <w:r w:rsidRPr="00A94794">
        <w:rPr>
          <w:rStyle w:val="FootnoteReference"/>
        </w:rPr>
        <w:footnoteReference w:id="11"/>
      </w:r>
      <w:r w:rsidRPr="00A94794">
        <w:t xml:space="preserve"> in zlasti člena 55,</w:t>
      </w:r>
    </w:p>
    <w:p w:rsidR="003D46E8" w:rsidRPr="00A94794" w:rsidRDefault="003D46E8" w:rsidP="003D46E8">
      <w:pPr>
        <w:pStyle w:val="NormalHanging12a"/>
      </w:pPr>
      <w:r w:rsidRPr="00A94794">
        <w:t>–</w:t>
      </w:r>
      <w:r w:rsidRPr="00A94794">
        <w:tab/>
        <w:t>ob upoštevanju Delegirane uredbe Komisije (EU) 2019/715 z dne 18. decembra 2018 o okvirni finančni uredbi za organe, ustanovljene na podlagi PDEU in Pogodbe Euratom, iz člena 70 Uredbe (EU, Euratom) 2018/1046 Evropskega parlamenta in Sveta</w:t>
      </w:r>
      <w:r w:rsidRPr="00A94794">
        <w:rPr>
          <w:rStyle w:val="FootnoteReference"/>
        </w:rPr>
        <w:footnoteReference w:id="12"/>
      </w:r>
      <w:r w:rsidRPr="00A94794">
        <w:t xml:space="preserve"> in zlasti člena 105,</w:t>
      </w:r>
    </w:p>
    <w:p w:rsidR="003D46E8" w:rsidRPr="00A94794" w:rsidRDefault="003D46E8" w:rsidP="003D46E8">
      <w:pPr>
        <w:pStyle w:val="NormalHanging12a"/>
      </w:pPr>
      <w:r w:rsidRPr="00A94794">
        <w:t>–</w:t>
      </w:r>
      <w:r w:rsidRPr="00A94794">
        <w:tab/>
        <w:t>ob upoštevanju člena 100 in Priloge V Poslovnika,</w:t>
      </w:r>
    </w:p>
    <w:p w:rsidR="003D46E8" w:rsidRPr="00A94794" w:rsidRDefault="003D46E8" w:rsidP="003D46E8">
      <w:pPr>
        <w:pStyle w:val="NormalHanging12a"/>
      </w:pPr>
      <w:r w:rsidRPr="00A94794">
        <w:t>–</w:t>
      </w:r>
      <w:r w:rsidRPr="00A94794">
        <w:tab/>
        <w:t>ob upoštevanju mnenja Odbora za državljanske svoboščine, pravosodje in notranje zadeve,</w:t>
      </w:r>
    </w:p>
    <w:p w:rsidR="003D46E8" w:rsidRPr="00A94794" w:rsidRDefault="003D46E8" w:rsidP="003D46E8">
      <w:pPr>
        <w:pStyle w:val="NormalHanging12a"/>
      </w:pPr>
      <w:r w:rsidRPr="00A94794">
        <w:t>–</w:t>
      </w:r>
      <w:r w:rsidRPr="00A94794">
        <w:tab/>
        <w:t>ob upoštevanju poročila Odbora za proračunski nadzor (A9</w:t>
      </w:r>
      <w:r w:rsidRPr="00A94794">
        <w:noBreakHyphen/>
        <w:t>0106/2024),</w:t>
      </w:r>
    </w:p>
    <w:p w:rsidR="003D46E8" w:rsidRPr="00A94794" w:rsidRDefault="003D46E8" w:rsidP="003D46E8">
      <w:pPr>
        <w:pStyle w:val="NormalHanging12a"/>
      </w:pPr>
      <w:r w:rsidRPr="00A94794">
        <w:t>1.</w:t>
      </w:r>
      <w:r w:rsidRPr="00A94794">
        <w:tab/>
        <w:t>odobri zaključni račun Agencije Evropske unije za azil za proračunsko leto 2022;</w:t>
      </w:r>
    </w:p>
    <w:p w:rsidR="003D46E8" w:rsidRPr="00A94794" w:rsidRDefault="003D46E8" w:rsidP="003D46E8">
      <w:pPr>
        <w:pStyle w:val="NormalHanging12a"/>
      </w:pPr>
      <w:r w:rsidRPr="00A94794">
        <w:t>2.</w:t>
      </w:r>
      <w:r w:rsidRPr="00A94794">
        <w:tab/>
        <w:t xml:space="preserve">naroči svoji predsednici, naj ta sklep posreduje izvršni direktorici Agencije Evropske unije za azil, Svetu, Komisiji in Računskemu sodišču ter poskrbi za objavo v </w:t>
      </w:r>
      <w:r w:rsidRPr="00A94794">
        <w:rPr>
          <w:i/>
        </w:rPr>
        <w:t>Uradnem listu Evropske unije</w:t>
      </w:r>
      <w:r w:rsidRPr="00A94794">
        <w:t xml:space="preserve"> (serija L).</w:t>
      </w:r>
    </w:p>
    <w:p w:rsidR="003D46E8" w:rsidRPr="00A94794" w:rsidRDefault="003D46E8" w:rsidP="003D46E8"/>
    <w:p w:rsidR="003D46E8" w:rsidRPr="00A94794" w:rsidRDefault="003D46E8" w:rsidP="003D46E8">
      <w:pPr>
        <w:widowControl/>
        <w:rPr>
          <w:rFonts w:ascii="Arial" w:hAnsi="Arial" w:cs="Arial"/>
          <w:b/>
        </w:rPr>
        <w:sectPr w:rsidR="003D46E8" w:rsidRPr="00A94794" w:rsidSect="00E651C3">
          <w:footnotePr>
            <w:numRestart w:val="eachPage"/>
          </w:footnotePr>
          <w:endnotePr>
            <w:numFmt w:val="decimal"/>
          </w:endnotePr>
          <w:pgSz w:w="11906" w:h="16838"/>
          <w:pgMar w:top="1134" w:right="1418" w:bottom="1418" w:left="1418" w:header="567" w:footer="567" w:gutter="0"/>
          <w:cols w:space="720"/>
          <w:docGrid w:linePitch="326"/>
        </w:sectPr>
      </w:pPr>
    </w:p>
    <w:p w:rsidR="003D46E8" w:rsidRPr="00A94794" w:rsidRDefault="00B20BCE" w:rsidP="00B20BCE">
      <w:pPr>
        <w:pStyle w:val="ATHeading3"/>
      </w:pPr>
      <w:r w:rsidRPr="00A94794">
        <w:t xml:space="preserve">3. Resolucija Evropskega parlamenta z dne 11. aprila 2024 </w:t>
      </w:r>
      <w:r w:rsidR="003D46E8" w:rsidRPr="00A94794">
        <w:t>s pripombami, ki so del sklepa o razrešnici glede izvrševanja proračuna Agencije Evropske unije za azil (pred 19. januarjem 2022 Evropski azilni podporni urad) za proračunsko leto 2022</w:t>
      </w:r>
      <w:r w:rsidRPr="00A94794">
        <w:t xml:space="preserve"> </w:t>
      </w:r>
      <w:r w:rsidR="003D46E8" w:rsidRPr="00A94794">
        <w:t>(2023/2164(DEC))</w:t>
      </w:r>
    </w:p>
    <w:p w:rsidR="003D46E8" w:rsidRPr="00A94794" w:rsidRDefault="003D46E8" w:rsidP="003D46E8">
      <w:pPr>
        <w:pStyle w:val="EPComma"/>
      </w:pPr>
      <w:r w:rsidRPr="00A94794">
        <w:rPr>
          <w:i/>
        </w:rPr>
        <w:t>Evropski parlament</w:t>
      </w:r>
      <w:r w:rsidRPr="00A94794">
        <w:t>,</w:t>
      </w:r>
    </w:p>
    <w:p w:rsidR="003D46E8" w:rsidRPr="00A94794" w:rsidRDefault="003D46E8" w:rsidP="003D46E8">
      <w:pPr>
        <w:pStyle w:val="NormalHanging12a"/>
      </w:pPr>
      <w:r w:rsidRPr="00A94794">
        <w:t>–</w:t>
      </w:r>
      <w:r w:rsidRPr="00A94794">
        <w:tab/>
        <w:t>ob upoštevanju sklepa o razrešnici glede izvrševanja proračuna Agencije Evropske unije za azil za proračunsko leto 2022,</w:t>
      </w:r>
    </w:p>
    <w:p w:rsidR="003D46E8" w:rsidRPr="00A94794" w:rsidRDefault="003D46E8" w:rsidP="003D46E8">
      <w:pPr>
        <w:pStyle w:val="NormalHanging12a"/>
      </w:pPr>
      <w:r w:rsidRPr="00A94794">
        <w:t>–</w:t>
      </w:r>
      <w:r w:rsidRPr="00A94794">
        <w:tab/>
        <w:t>ob upoštevanju člena 100 in Priloge V Poslovnika,</w:t>
      </w:r>
    </w:p>
    <w:p w:rsidR="003D46E8" w:rsidRPr="00A94794" w:rsidRDefault="003D46E8" w:rsidP="003D46E8">
      <w:pPr>
        <w:pStyle w:val="NormalHanging12a"/>
      </w:pPr>
      <w:r w:rsidRPr="00A94794">
        <w:t>–</w:t>
      </w:r>
      <w:r w:rsidRPr="00A94794">
        <w:tab/>
        <w:t>ob upoštevanju mnenja Odbora za državljanske svoboščine, pravosodje in notranje zadeve,</w:t>
      </w:r>
    </w:p>
    <w:p w:rsidR="003D46E8" w:rsidRPr="00A94794" w:rsidRDefault="003D46E8" w:rsidP="003D46E8">
      <w:pPr>
        <w:pStyle w:val="NormalHanging12a"/>
      </w:pPr>
      <w:r w:rsidRPr="00A94794">
        <w:t>–</w:t>
      </w:r>
      <w:r w:rsidRPr="00A94794">
        <w:tab/>
        <w:t>ob upoštevanju poročila Odbora za proračunski nadzor (A9</w:t>
      </w:r>
      <w:r w:rsidRPr="00A94794">
        <w:noBreakHyphen/>
        <w:t>0106/2024),</w:t>
      </w:r>
    </w:p>
    <w:p w:rsidR="003D46E8" w:rsidRPr="00A94794" w:rsidRDefault="003D46E8" w:rsidP="003D46E8">
      <w:pPr>
        <w:pStyle w:val="Normal12Hanging"/>
        <w:rPr>
          <w:color w:val="000000" w:themeColor="text1"/>
          <w:szCs w:val="24"/>
          <w:lang w:val="sl-SI"/>
        </w:rPr>
      </w:pPr>
      <w:r w:rsidRPr="00A94794">
        <w:rPr>
          <w:lang w:val="sl-SI"/>
        </w:rPr>
        <w:t>A.</w:t>
      </w:r>
      <w:r w:rsidRPr="00A94794">
        <w:rPr>
          <w:lang w:val="sl-SI"/>
        </w:rPr>
        <w:tab/>
      </w:r>
      <w:r w:rsidRPr="00A94794">
        <w:rPr>
          <w:color w:val="000000" w:themeColor="text1"/>
          <w:lang w:val="sl-SI"/>
        </w:rPr>
        <w:t>ker je iz poročila o prihodkih in odhodkih</w:t>
      </w:r>
      <w:r w:rsidRPr="00A94794">
        <w:rPr>
          <w:rStyle w:val="FootnoteReference"/>
          <w:color w:val="000000" w:themeColor="text1"/>
          <w:szCs w:val="24"/>
          <w:lang w:val="sl-SI"/>
        </w:rPr>
        <w:footnoteReference w:id="13"/>
      </w:r>
      <w:r w:rsidRPr="00A94794">
        <w:rPr>
          <w:color w:val="000000" w:themeColor="text1"/>
          <w:lang w:val="sl-SI"/>
        </w:rPr>
        <w:t>Agencije Evropske unije za azil (v nadaljnjem besedilu: agencija) razvidno, da je njen končni proračun v proračunskem letu 2022 znašal 186.842.192 EUR, kar je 12,46 % več kot leta 2021; ker proračun agencije izvira predvsem iz proračuna Unije;</w:t>
      </w:r>
    </w:p>
    <w:p w:rsidR="003D46E8" w:rsidRPr="00A94794" w:rsidRDefault="003D46E8" w:rsidP="003D46E8">
      <w:pPr>
        <w:pStyle w:val="Normal12Hanging"/>
        <w:rPr>
          <w:color w:val="000000" w:themeColor="text1"/>
          <w:szCs w:val="24"/>
          <w:lang w:val="sl-SI"/>
        </w:rPr>
      </w:pPr>
      <w:r w:rsidRPr="00A94794">
        <w:rPr>
          <w:color w:val="000000" w:themeColor="text1"/>
          <w:lang w:val="sl-SI"/>
        </w:rPr>
        <w:t>B.</w:t>
      </w:r>
      <w:r w:rsidRPr="00A94794">
        <w:rPr>
          <w:color w:val="000000" w:themeColor="text1"/>
          <w:lang w:val="sl-SI"/>
        </w:rPr>
        <w:tab/>
        <w:t>ker je agencija junija 2022 s Komisijo podpisala sporazum o prispevku za izvajanje faze III instrumenta za predpristopno pomoč (IPA), ki se nanaša na regionalno podporo EU sistemov upravljanja migracij na Zahodnem Balkanu, s poudarkom na zaščiti, faza III, pogodba 2 (v nadaljnjem besedilu: IPA III za Zahodni Balkan), v skupni vrednosti 6 milijonov EUR za obdobje izvajanja 47 mesecev;</w:t>
      </w:r>
    </w:p>
    <w:p w:rsidR="003D46E8" w:rsidRPr="00A94794" w:rsidRDefault="003D46E8" w:rsidP="003D46E8">
      <w:pPr>
        <w:pStyle w:val="Normal12Hanging"/>
        <w:rPr>
          <w:color w:val="000000" w:themeColor="text1"/>
          <w:szCs w:val="24"/>
          <w:lang w:val="sl-SI"/>
        </w:rPr>
      </w:pPr>
      <w:r w:rsidRPr="00A94794">
        <w:rPr>
          <w:color w:val="000000" w:themeColor="text1"/>
          <w:lang w:val="sl-SI"/>
        </w:rPr>
        <w:t>C.</w:t>
      </w:r>
      <w:r w:rsidRPr="00A94794">
        <w:rPr>
          <w:color w:val="000000" w:themeColor="text1"/>
          <w:lang w:val="sl-SI"/>
        </w:rPr>
        <w:tab/>
        <w:t>ker se je leta 2022 proračun agencije znatno povečal zaradi razširjenih nalog v skladu z Uredbo (EU) 2021/2303, katere namen je, da bi agencija postala središče strokovnega znanja na področju azila;</w:t>
      </w:r>
    </w:p>
    <w:p w:rsidR="003D46E8" w:rsidRPr="00A94794" w:rsidRDefault="003D46E8" w:rsidP="003D46E8">
      <w:pPr>
        <w:pStyle w:val="Normal12Hanging"/>
        <w:rPr>
          <w:color w:val="000000" w:themeColor="text1"/>
          <w:szCs w:val="24"/>
          <w:lang w:val="sl-SI"/>
        </w:rPr>
      </w:pPr>
      <w:r w:rsidRPr="00A94794">
        <w:rPr>
          <w:color w:val="000000" w:themeColor="text1"/>
          <w:lang w:val="sl-SI"/>
        </w:rPr>
        <w:t>D.</w:t>
      </w:r>
      <w:r w:rsidRPr="00A94794">
        <w:rPr>
          <w:color w:val="000000" w:themeColor="text1"/>
          <w:lang w:val="sl-SI"/>
        </w:rPr>
        <w:tab/>
        <w:t>ker je bilo leta 2022 v Uniji skoraj milijon prosilcev za azil, približno štirje milijoni pa so bili upravičeni do začasne zaščite;</w:t>
      </w:r>
    </w:p>
    <w:p w:rsidR="003D46E8" w:rsidRPr="00A94794" w:rsidRDefault="003D46E8" w:rsidP="003D46E8">
      <w:pPr>
        <w:spacing w:after="240"/>
        <w:ind w:left="567" w:hanging="567"/>
        <w:rPr>
          <w:color w:val="000000" w:themeColor="text1"/>
          <w:szCs w:val="24"/>
        </w:rPr>
      </w:pPr>
      <w:r w:rsidRPr="00A94794">
        <w:rPr>
          <w:color w:val="000000" w:themeColor="text1"/>
        </w:rPr>
        <w:t>E.</w:t>
      </w:r>
      <w:r w:rsidRPr="00A94794">
        <w:rPr>
          <w:color w:val="000000" w:themeColor="text1"/>
        </w:rPr>
        <w:tab/>
      </w:r>
      <w:r w:rsidRPr="00A94794">
        <w:t>ker Računsko sodišče v poročilu o zaključnem računu agencije za proračunsko leto 2022 (v nadaljnjem besedilu: poročilo Računskega sodišča) navaja, da je pridobilo sprejemljivo zagotovilo o zanesljivosti računovodskih izkazov agencije ter o zakonitosti in pravilnosti z njimi povezanih transakcij;</w:t>
      </w:r>
    </w:p>
    <w:p w:rsidR="003D46E8" w:rsidRPr="00A94794" w:rsidRDefault="003D46E8" w:rsidP="003D46E8">
      <w:pPr>
        <w:spacing w:after="240"/>
        <w:ind w:left="567" w:hanging="567"/>
        <w:rPr>
          <w:b/>
          <w:i/>
          <w:szCs w:val="24"/>
        </w:rPr>
      </w:pPr>
      <w:r w:rsidRPr="00A94794">
        <w:rPr>
          <w:b/>
          <w:i/>
        </w:rPr>
        <w:t>Upravljanje proračuna in finančno poslovodenje</w:t>
      </w:r>
    </w:p>
    <w:p w:rsidR="003D46E8" w:rsidRPr="00A94794" w:rsidRDefault="003D46E8" w:rsidP="003D46E8">
      <w:pPr>
        <w:pStyle w:val="NormalHanging12a"/>
        <w:rPr>
          <w:szCs w:val="24"/>
        </w:rPr>
      </w:pPr>
      <w:r w:rsidRPr="00A94794">
        <w:t>1.</w:t>
      </w:r>
      <w:r w:rsidRPr="00A94794">
        <w:tab/>
        <w:t>ugotavlja, da je zaradi proračunskega spremljanja v proračunskem letu 2022 stopnja izvrševanja odobritev za prevzem obveznosti v tekočem letu znašala 96,23 %, kar je nekoliko (0,44 %) manj kot leta 2021 (96,67 %); ugotavlja, da je stopnja izvrševanja plačil leta 2022 znašala 89,55 %, kar je 1,36 % manj kot leta 2021 (90,91 %); z zaskrbljenostjo ugotavlja, da je delež preklicanih sredstev (15 %), prenesenih iz leta 2021 v leto 2022, sorazmerno velik, zaradi česar ni bil dosežen letni ciljni delež 10 %;</w:t>
      </w:r>
    </w:p>
    <w:p w:rsidR="003D46E8" w:rsidRPr="00A94794" w:rsidRDefault="003D46E8" w:rsidP="003D46E8">
      <w:pPr>
        <w:pStyle w:val="NormalHanging12a"/>
        <w:rPr>
          <w:szCs w:val="24"/>
        </w:rPr>
      </w:pPr>
      <w:r w:rsidRPr="00A94794">
        <w:t>2.</w:t>
      </w:r>
      <w:r w:rsidRPr="00A94794">
        <w:tab/>
        <w:t xml:space="preserve">poudarja, da je upravni odbor agencije leta 2022 sprejel dve spremembi proračuna; v zvezi s tem ugotavlja, da je agencija izvedla medletno revizijo svojega proračuna za leto 2022, na podlagi katere je Komisijo zaprosila za dodatno subvencijo v višini 12 milijonov EUR za odobritve za prevzem obveznosti in 6 milijonov EUR za odobritve plačil, da bi lahko izpolnila dodatne naloge zaradi humanitarne krize, ki jo je povzročila nezakonita in neizzvana ruska invazija na Ukrajino; ugotavlja, da sta bila ta zneska vključena v prvo spremembo proračuna agencije septembra 2022; vendar obžaluje, da so bile v jesenski reviziji proračuna in načrtovanja agencije poudarjene nepredvidene zamude pri izvajanju operativnih načrtov, povezanih s krizo v Ukrajini, zaradi česar je upravni odbor septembra 2022 sprejel negativno (drugo) spremembo proračuna, s katero so se odobritve plačil zmanjšale za 12 milijonov EUR; nazadnje ugotavlja, da je agencija v spremembah proračuna upoštevala tudi prostovoljni prispevek Danske (drugi obrok v višini 94.063 EUR) za izvajanje načrta za sodelovanje med uradom EASO in Egiptom ter prvo predhodno financiranje (v višini 2.968.129 EUR) za instrument IPA III za </w:t>
      </w:r>
      <w:r w:rsidRPr="00A94794">
        <w:rPr>
          <w:color w:val="000000" w:themeColor="text1"/>
        </w:rPr>
        <w:t>Zahodni Balkan</w:t>
      </w:r>
      <w:r w:rsidRPr="00A94794">
        <w:t>;</w:t>
      </w:r>
    </w:p>
    <w:p w:rsidR="003D46E8" w:rsidRPr="00A94794" w:rsidRDefault="003D46E8" w:rsidP="003D46E8">
      <w:pPr>
        <w:pStyle w:val="NormalHanging12a"/>
        <w:rPr>
          <w:szCs w:val="24"/>
        </w:rPr>
      </w:pPr>
      <w:r w:rsidRPr="00A94794">
        <w:t>3.</w:t>
      </w:r>
      <w:r w:rsidRPr="00A94794">
        <w:tab/>
        <w:t>je seznanjen z ugotovitvijo iz poročila Računskega sodišča glede prispevkov pridruženih schengenskih držav v proračun agencije, in sicer da so sporazumi, ki so sklenjeni med Unijo in temi državami ter so pravna podlaga za izračun teh prispevkov, nejasni in dopuščajo različne razlage, zaradi česar je prispevek vsake pridružene schengenske države (v proračun agencije) nižji za približno 0,7 milijona EUR (7 %), uporablja pa se tudi formula za izračun, za katero Računsko sodišče meni, da je pomanjkljiva, ker je delež prispevka pomnožen z zneskom, ki vključuje le subvencijo iz proračuna Unije za dejavnosti agencije, po mnenju Računskega sodišča pa bi moral ta znesek vključevati tudi delež pridruženih schengenskih držav; poziva Komisijo, naj to vprašanje obravnava v prihodnjih pogajanjih s pridruženimi schengenskimi državami o novih sporazumih, ki bodo obsegali sodelovanje teh držav pri delu agencije, in poskrbi za večjo jasnost;</w:t>
      </w:r>
    </w:p>
    <w:p w:rsidR="003D46E8" w:rsidRPr="00A94794" w:rsidRDefault="003D46E8" w:rsidP="003D46E8">
      <w:pPr>
        <w:spacing w:after="240"/>
        <w:ind w:left="567" w:hanging="567"/>
        <w:rPr>
          <w:szCs w:val="24"/>
        </w:rPr>
      </w:pPr>
      <w:r w:rsidRPr="00A94794">
        <w:rPr>
          <w:b/>
          <w:i/>
        </w:rPr>
        <w:t>Uspešnost</w:t>
      </w:r>
    </w:p>
    <w:p w:rsidR="003D46E8" w:rsidRPr="00A94794" w:rsidRDefault="003D46E8" w:rsidP="003D46E8">
      <w:pPr>
        <w:pStyle w:val="NormalHanging12a"/>
        <w:rPr>
          <w:szCs w:val="24"/>
        </w:rPr>
      </w:pPr>
      <w:r w:rsidRPr="00A94794">
        <w:t>4.</w:t>
      </w:r>
      <w:r w:rsidRPr="00A94794">
        <w:tab/>
        <w:t>ugotavlja, da je bila uspešnost agencije v letu 2022 izmerjena glede na 204 letne cilje, od katerih je bilo 48 % preseženih, 26 % doseženih, 10 % skoraj doseženih, 12 % odloženih, 4 % pa niso bili relevantni;</w:t>
      </w:r>
    </w:p>
    <w:p w:rsidR="003D46E8" w:rsidRPr="00A94794" w:rsidRDefault="003D46E8" w:rsidP="003D46E8">
      <w:pPr>
        <w:pStyle w:val="NormalHanging12a"/>
        <w:rPr>
          <w:szCs w:val="24"/>
        </w:rPr>
      </w:pPr>
      <w:r w:rsidRPr="00A94794">
        <w:t>5.</w:t>
      </w:r>
      <w:r w:rsidRPr="00A94794">
        <w:tab/>
        <w:t>pozdravlja bistven napredek, ki ga je agencija leta 2022 dosegla pri celovitem izvajanju novih določb Uredbe (EU) 2021/2033; na podlagi poročila agencije o nadaljnjem ukrepanju glede razrešnice iz leta 2021 (v nadaljnjem besedilu: poročilo o nadaljnjem ukrepanju) predvsem ugotavlja, da je agencija ustanovila posvetovalni forum in rezervno skupino za azil, v kateri je bilo do sredine junija 2023 že 360 odobrenih strokovnjakov držav članic (od 500, kot jih je zahtevanih v navedeni uredbi), ter izvedla postopek zaposlitve uradnika za temeljne pravice, ki je mandat prevzel maja 2023, ter se posvetovala z deležniki o pripravi in sprejetju pritožbenega mehanizma; v zvezi z mehanizmom spremljanja ugotavlja, da se pripravljata metodologija in program, ki naj bi bila sprejeta v prvem četrtletju leta 2024, temu pa bo sledilo pilotno spremljanje;</w:t>
      </w:r>
    </w:p>
    <w:p w:rsidR="003D46E8" w:rsidRPr="00A94794" w:rsidRDefault="003D46E8" w:rsidP="003D46E8">
      <w:pPr>
        <w:pStyle w:val="NormalHanging12a"/>
        <w:rPr>
          <w:szCs w:val="24"/>
        </w:rPr>
      </w:pPr>
      <w:r w:rsidRPr="00A94794">
        <w:t>6.</w:t>
      </w:r>
      <w:r w:rsidRPr="00A94794">
        <w:tab/>
        <w:t>v zvezi s področjem dejavnosti, ki obsega napotitev uradnikov za zvezo v države članice in tretje države, ugotavlja, da je agencija zaradi omejenih človeških virov države članice razvrstila v skupine, pri čemer en uradnik za zvezo pokriva do štiri države članice, in da zaradi navedenih omejitev še ni pripravila časovnice za napotitev uradnikov za zvezo v tretje države; priznava, da agencija potrebuje dodatne vire, da bi na navedenem področju v celoti izpolnila zahteve Uredbe (EU) 2021/2303, ter ponovno poziva Komisijo, naj pri odločanju o prihodnjih kadrovskih načrtih bolj upošteva operativne potrebe agencije;</w:t>
      </w:r>
    </w:p>
    <w:p w:rsidR="003D46E8" w:rsidRPr="00A94794" w:rsidRDefault="003D46E8" w:rsidP="003D46E8">
      <w:pPr>
        <w:pStyle w:val="NormalHanging12a"/>
        <w:rPr>
          <w:szCs w:val="24"/>
        </w:rPr>
      </w:pPr>
      <w:r w:rsidRPr="00A94794">
        <w:t>7.</w:t>
      </w:r>
      <w:r w:rsidRPr="00A94794">
        <w:tab/>
        <w:t>priznava, da je agencija leta 2022 zaradi ruske invazije na Ukrajino dobila nove naloge in se morala spopasti z več izzivi; glede na to ugotavlja, da je agencija na zahtevo ustreznih nacionalnih organov svoje operacije razširila na šest dodatnih držav članic, tako da ima operativne načrte za skupno 14 držav članic; izraža pohvalo agenciji, ker je navedenim državam članicam pomagala tudi pri izvrševanju direktive o začasni zaščiti; ugotavlja tudi, da je agencija podprla program za prostovoljno premestitev, ki je beguncem iz Ukrajine pomagal pri preselitvi v Unijo in prošnji za začasno zaščito, usposabljala nacionalne uprave glede direktive o začasni zaščiti, pripravila komunikacijske izdelke, specifične za državo (brošure, zloženke in plakate), s prilagojenimi informacijami o začasni zaščiti, povečala obseg izvajanja analiz stanja ter prvič napotila osebje v državo, ki ni članica Unije (Moldavijo); pozdravlja tudi tesno sodelovanje agencije pri zunanji razsežnosti skupnega evropskega azilnega sistema (CEAS), saj podpira preselitev 2585 oseb v državah EU+ s pomočjo za 13 misij za izbor in tri misije pred odhodom;</w:t>
      </w:r>
    </w:p>
    <w:p w:rsidR="003D46E8" w:rsidRPr="00A94794" w:rsidRDefault="003D46E8" w:rsidP="003D46E8">
      <w:pPr>
        <w:pStyle w:val="NormalHanging12a"/>
      </w:pPr>
      <w:r w:rsidRPr="00A94794">
        <w:t>8.</w:t>
      </w:r>
      <w:r w:rsidRPr="00A94794">
        <w:tab/>
        <w:t>med dosežki agencije za leto 2022 poudarja, da je pripravila približno 3000 strani dokumentov z informacijami o izvornih državah, obravnavala več kot 1000 posameznih zdravstvenih zahtevkov, povezanih z dejavnostmi agencije na področju zdravstvenih informacij o izvornih državah, izvedla usposabljanja za skupno rekordnih 13.000 udeležencev ter objavila in/ali posodobila svoje smernice za posamezne države (Somalijo, Afganistan in Irak); izraža pohvalo agenciji tudi za pomoč državam Zahodnega Balkana s krepitvijo institucionalnih zmogljivosti, usposabljanjem in mentorstvom na delovnem mestu o temeljnih azilnih postopkih v Albaniji, Bosni in Hercegovini, Kosovu, Črni gori, Severni Makedoniji in Srbiji;</w:t>
      </w:r>
    </w:p>
    <w:p w:rsidR="003D46E8" w:rsidRPr="00A94794" w:rsidRDefault="003D46E8" w:rsidP="003D46E8">
      <w:pPr>
        <w:pStyle w:val="NormalHanging12a"/>
        <w:rPr>
          <w:b/>
          <w:i/>
        </w:rPr>
      </w:pPr>
      <w:r w:rsidRPr="00A94794">
        <w:rPr>
          <w:b/>
          <w:i/>
        </w:rPr>
        <w:t>Povečanje učinkovitosti</w:t>
      </w:r>
    </w:p>
    <w:p w:rsidR="003D46E8" w:rsidRPr="00A94794" w:rsidRDefault="003D46E8" w:rsidP="003D46E8">
      <w:pPr>
        <w:pStyle w:val="NormalHanging12a"/>
      </w:pPr>
      <w:r w:rsidRPr="00A94794">
        <w:t>9.</w:t>
      </w:r>
      <w:r w:rsidRPr="00A94794">
        <w:tab/>
        <w:t>ugotavlja, da je agencija sodelovala z več agencijami za pravosodje in notranje zadeve (npr. Frontexom, eu-LISA, FRA, CEPOL), med drugim v zvezi s proizvodi za spremljanje razmer, podporo pri reševanju operativnih izzivov (vključno z napotitvami osebja), učenjem in izmenjavo informacij ter usposabljanjem in krepitvijo zmogljivosti; poudarja, da je sodelovanje pomembno za ustrezno razporejanje virov; poleg tega ugotavlja, da je agencija eu-LISA na podlagi sporazuma o ravni storitve gostiteljica lokacije ponovne vzpostavitve delovanja za logično infrastrukturo in komunikacije IKT agencije; spodbuja agencijo, naj v svojem novem mandatu še naprej išče načine za izmenjavo dobre prakse in priložnosti, da bi z drugimi agencijami delila vire in nadalje razvijala sinergijo na področjih skupnega interesa ter tako izboljšala učinkovitost;</w:t>
      </w:r>
    </w:p>
    <w:p w:rsidR="003D46E8" w:rsidRPr="00A94794" w:rsidRDefault="003D46E8" w:rsidP="003D46E8">
      <w:pPr>
        <w:pStyle w:val="NormalHanging12a"/>
      </w:pPr>
      <w:r w:rsidRPr="00A94794">
        <w:t>10.</w:t>
      </w:r>
      <w:r w:rsidRPr="00A94794">
        <w:tab/>
        <w:t>pozdravlja ukrepe, ki jih je agencija sprejela leta 2022 za povečanje učinkovitosti in nadaljnjo poenostavitev, kot so zmanjšanje števila postopkovnih korakov, avtomatizacija ponavljajočih se nalog ter uvedba organizacijskega modela za izvajanje horizontalnih storitev, ki upravno znanje in izkušnje približuje uporabi na daljavo, na lokaciji ali hibridno, kar je koristno pri delovanju v državah na področjih, kot so finančni začetek transakcij, podpora IKT, pravna podpora in upravljanje objektov; izraža pohvalo agenciji, da je bila z enakimi viri kot leta 2021 bolj učinkovita pri zagotavljanju varnosti osebja v številnejših državnih operacijah; ugotavlja tudi, da je agencija izvedla več ukrepov, namenjenih izboljšanju učinkovitosti na področjih kibernetske varnosti (na primer z avtomatiziranim potekom dela pri odzivanju na incidente), javnega naročanja (z določitvijo točk za stike za najpogosteje nabavljeno blago in storitve, da bi se povečala kakovost postopkov in zmanjšale zamude ter da bi bila pomoč na voljo od zgodnjih faz javnega naročanja), IKT (z obveščanjem uporabnika o stanju prošnje prek enotne referenčne točke) in človeških virov (z zagonom prvih modulov SYSPER, med drugim o identiteti, organizaciji, skrbniku, osebnih podatkih in upravljanju časa, ter sistema prijavljanja kadrovskih težav za podporne storitve za vse osebje agencije); poziva agencijo, naj v celoti izkoristi orodje Komisije za upravljanje javnih naročil; v skladu s konsolidiranim poročilom o dejavnostih za leto 2022 ugotavlja, da se je delež virov, dodeljenih operativnim dejavnostim agencije, ki je leta 2022 znašal 79,13 %, ponovno povečal (v primerjavi z 72,14 % leta 2021 in 68,68 % leta 2020);</w:t>
      </w:r>
    </w:p>
    <w:p w:rsidR="003D46E8" w:rsidRPr="00A94794" w:rsidRDefault="003D46E8" w:rsidP="003D46E8">
      <w:pPr>
        <w:pStyle w:val="NormalHanging12a"/>
      </w:pPr>
      <w:r w:rsidRPr="00A94794">
        <w:t>11.</w:t>
      </w:r>
      <w:r w:rsidRPr="00A94794">
        <w:tab/>
        <w:t>na podlagi poročila Računskega sodišča ugotavlja, da agencije ni med agencijami, ki so pripravile poslovne načrte za izboljšavo energetske učinkovitosti in podnebne nevtralnosti svojih dejavnosti, ali agencijami, ki so v svoja letna poročila o dejavnostih vključile eno od oblik okoljskega poročanja, niti med agencijami, ki so bile registrirane v sistem EMAS; kljub temu na podlagi odgovorov agencije na pisna vprašanja Parlamenta poudarja, da je leta 2022 začela prvo fazo priprave na zasnovo in izvajanje sistema okoljskega upravljanja in izvedla pripravljalne ukrepe za naslednje faze; spodbuja agencijo, naj se še naprej vključuje v dejavnosti oblikovanja zmogljivosti ter sodeluje z drugimi agencijami in institucijami Unije, da bi pospešila postopek pridobitve certifikata EMAS; poudarja, da agencija vključuje okoljske vidike v tehnične specifikacije ali merila za oddajo, med drugim za gradbene pogodbe, storitve v menzi in storitve čiščenja; poziva agencijo, naj razmisli tudi o razvoju politike zelenega javnega naročanja;</w:t>
      </w:r>
      <w:r w:rsidRPr="00A94794">
        <w:rPr>
          <w:b/>
          <w:i/>
        </w:rPr>
        <w:t> </w:t>
      </w:r>
      <w:r w:rsidRPr="00A94794">
        <w:t>spodbuja jo, naj razmisli o uvedbi vmesnih trajnostnih in energetsko učinkovitih rešitev za svojo infrastrukturo in notranje procese, kot je večja uporaba digitalnih orodij in upravljanje dokumentov;</w:t>
      </w:r>
    </w:p>
    <w:p w:rsidR="003D46E8" w:rsidRPr="00A94794" w:rsidRDefault="003D46E8" w:rsidP="003D46E8">
      <w:pPr>
        <w:spacing w:after="240"/>
        <w:ind w:left="567" w:hanging="567"/>
        <w:rPr>
          <w:b/>
          <w:i/>
          <w:szCs w:val="24"/>
        </w:rPr>
      </w:pPr>
      <w:r w:rsidRPr="00A94794">
        <w:rPr>
          <w:b/>
          <w:i/>
        </w:rPr>
        <w:t>Kadrovska politika</w:t>
      </w:r>
    </w:p>
    <w:p w:rsidR="003D46E8" w:rsidRPr="00A94794" w:rsidRDefault="003D46E8" w:rsidP="003D46E8">
      <w:pPr>
        <w:pStyle w:val="NormalHanging12a"/>
      </w:pPr>
      <w:r w:rsidRPr="00A94794">
        <w:t>12.</w:t>
      </w:r>
      <w:r w:rsidRPr="00A94794">
        <w:tab/>
        <w:t>je seznanjen s porazdelitvijo po spolu na agenciji, in sicer je v višjem in srednjem vodstvu devet moških (69 %) in štiri ženske (31 %) (enaka porazdelitev kot leta 2021), v upravnem odboru 27 moških (48 %) in 29 žensk (52 %) (boljša porazdelitev kot leta 2021), v celotnem osebju pa 203 moški (39 %) in 316 žensk (61 %) (enaka porazdelitev kot leta 2021); opozarja, kako pomembno je zagotoviti uravnoteženo zastopanost spolov, in agencijo poziva, naj ta vidik v prihodnje upošteva pri zaposlovanju novih uslužbencev ter imenovanjih v višjem in srednjem vodstvu; z zadovoljstvom opaža prizadevanja agencije, da bi v svojo prihodnjo kadrovsko strategijo vključila ukrepe, s katerimi bo dala prednost spodbujanju zastopanosti spolov in raznolikosti, ter spodbudila programe za razvoj vodstvenih sposobnosti, prilagojene zaposlenim z vodstvenimi ambicijami; poziva agencijo, naj organu za podelitev razrešnice poroča o izpolnjevanju te zaveze;</w:t>
      </w:r>
    </w:p>
    <w:p w:rsidR="003D46E8" w:rsidRPr="00A94794" w:rsidRDefault="003D46E8" w:rsidP="003D46E8">
      <w:pPr>
        <w:pStyle w:val="NormalHanging12a"/>
        <w:rPr>
          <w:szCs w:val="24"/>
        </w:rPr>
      </w:pPr>
      <w:r w:rsidRPr="00A94794">
        <w:t>13.</w:t>
      </w:r>
      <w:r w:rsidRPr="00A94794">
        <w:tab/>
        <w:t>ugotavlja, da je bil kadrovski načrt na dan 31. decembra 2022 uresničen 90-odstotno (87 % leta 2021), saj je bilo na 371 delovnih mestih za začasne uslužbence, odobrenih v proračunu Unije, zaposlenih 333 začasnih uslužbencev (leta 2021 je bilo odobrenih 366 delovnih mest); pozdravlja ponovno povečanje stopnje zasedenosti delovnih mest; obžaluje povečanje stopnje fluktuacije zaposlenih na agenciji s 4,1 % leta 2021 na 8,2 % leta 2022; ugotavlja tudi, da je za agencijo v letu 2022 delalo 184 pogodbenih uslužbencev in 10 napotenih nacionalnih strokovnjakov; poudarja, da je Komisija zaradi vojne v Ukrajini in izvrševanja direktive o začasni zaščiti agenciji odobrila 90 kratkotrajnih delovnih mest za pogodbene uslužbence, in sicer za dvoletno obdobje; opaža, da je agencija leta 2022 objavila 29 prostih delovnih mest in izdala 138 ponudb za zaposlitev za začasne in pogodbene uslužbence;</w:t>
      </w:r>
    </w:p>
    <w:p w:rsidR="003D46E8" w:rsidRPr="00A94794" w:rsidRDefault="003D46E8" w:rsidP="003D46E8">
      <w:pPr>
        <w:pStyle w:val="NormalHanging12a"/>
      </w:pPr>
      <w:r w:rsidRPr="00A94794">
        <w:t>14.</w:t>
      </w:r>
      <w:r w:rsidRPr="00A94794">
        <w:tab/>
        <w:t xml:space="preserve">pozdravlja politiko agencije glede zaščite dostojanstva oseb ter preprečevanja psihološkega in spolnega nadlegovanja, upoštevanje pravil Komisije o izvajanju upravnih poizvedb in disciplinskih postopkov ter notranje smernice o prošnjah za pomoč na podlagi člena 24 kadrovskih predpisov Unije; iz odgovorov agencije na pisna vprašanja Parlamenta ugotavlja, da je agencija leta 2022 prejela tri prijave nadlegovanja, od katerih sta bili dve zavrnjeni, ker ni bilo dokazov </w:t>
      </w:r>
      <w:r w:rsidRPr="00A94794">
        <w:rPr>
          <w:i/>
        </w:rPr>
        <w:t>prima facie</w:t>
      </w:r>
      <w:r w:rsidRPr="00A94794">
        <w:t xml:space="preserve"> o nadlegovanju, in zaključeni brez nadaljnjega ukrepanja, v zvezi s tretjo prijavo pa je bila sprožena upravna preiskava; poziva agencijo, naj organ za podelitev razrešnice redno obvešča o rezultatih navedene preiskave; z zadovoljstvom ugotavlja, da je agencija po priporočilu službe Komisije za notranjo revizijo aprila 2023 sprejela smernice o upravnih preiskavah in disciplinskih postopkih; poudarja, kako pomembno je vzpostaviti trdne okvire za preprečevanje nadlegovanja, zlasti v zelo obremenjenih in zahtevnih delovnih okoljih; poziva agencijo, naj uvede program usposabljanja na tem področju tako za novo kot za obstoječe osebje;</w:t>
      </w:r>
    </w:p>
    <w:p w:rsidR="003D46E8" w:rsidRPr="00A94794" w:rsidRDefault="003D46E8" w:rsidP="003D46E8">
      <w:pPr>
        <w:pStyle w:val="NormalHanging12a"/>
      </w:pPr>
      <w:r w:rsidRPr="00A94794">
        <w:t>15.</w:t>
      </w:r>
      <w:r w:rsidRPr="00A94794">
        <w:tab/>
        <w:t>na podlagi nadaljnjega ukrepanja agencije po horizontalnih pripombah Parlamenta k postopku razrešnice iz leta 2021 ter poročila agencije o nadaljnjem ukrepanju ugotavlja, da je agencija v zadnjih letih (od leta 2019) pri obravnavi primerov domnevnega nadlegovanja (tj. prošenj za pomoč na podlagi člena 24 kadrovskih predpisov Unije) uporabljala storitve zunanje odvetniške pisarne (specializirane za pravo javnih uslužbencev Unije); v zvezi s tem opaža, da pravna služba agencije opravi oceno, da bi ugotovila, ali je treba zaprositi za podporo ali nasvet zunanje odvetniške pisarne, navedena enota pa v vseh primerih vodi ustrezen postopek in sodeluje z oddelkom agencije za človeške vire;</w:t>
      </w:r>
    </w:p>
    <w:p w:rsidR="003D46E8" w:rsidRPr="00A94794" w:rsidRDefault="003D46E8" w:rsidP="003D46E8">
      <w:pPr>
        <w:pStyle w:val="NormalHanging12a"/>
      </w:pPr>
      <w:r w:rsidRPr="00A94794">
        <w:t>16.</w:t>
      </w:r>
      <w:r w:rsidRPr="00A94794">
        <w:tab/>
        <w:t>opozarja na ugotovitev Računskega sodišča, da je bilo leta 2020 na agenciji 16 prostih vodstvenih delovnih mest, od katerih je bilo deset mest več kot eno leto zasedeno z vršilci dolžnosti, ter na druge težave iz kadrovskega načrta agencije, kot so primeri, v katerih vršilci dolžnosti vodij zasedajo dve delovni mesti; na podlagi poročila agencije o nadaljnjem ukrepanju pozdravlja naknadne blažilne ukrepe, ki jih je sprejela zaradi skladnosti s členom 7(2) kadrovskih predpisov Unije, in sicer da je število začasnih zapolnitev vodstvenih delovnih mest, daljših od enega leta, najprej zmanjšala na dve konec leta 2022, leta 2023 pa jih je v celoti odpravila, pri čemer noben član osebja na začasnem vodstvenem delovnem mestu ni več dlje kot eno leto; pozdravlja prizadevanje agencije, da prednostno obravnava zaposlovanje na vodstvenih delovnih mestih; pozdravlja napredek agencije, ki ga je v letih 2022 in 2023 dosegla v zvezi s postopki zaposlovanja na različnih srednjih in višjih vodstvenih delovnih mestih, vključno z delovnim mestom namestnika izvršnega direktorja, pri čemer sta glede na poročilo agencije o nadaljnjem ukrepanju dva izbirna postopka zaključena, devet pa se jih še izvaja ali ni zaključenih; iz spletnega mesta agencije nazadnje ugotavlja, da je 15. januarja 2024 vodja upravnega središča agencije začasni vodja, vodja središča agencije za institucionalne in horizontalne zadeve pa vršilec dolžnosti; ugotavlja, da izbirni postopek za vodjo upravnega centra še poteka in naj bi se zaključil v prvem četrtletju 2024; ugotavlja tudi, da izbirni postopek za vodjo centra za institucionalne in horizontalne zadeve še poteka in naj bi se zaključil v prvem četrtletju 2024; poziva agencijo, naj organ za podelitev razrešnice redno obvešča o končnih rezultatih vseh teh postopkov;</w:t>
      </w:r>
    </w:p>
    <w:p w:rsidR="003D46E8" w:rsidRPr="00A94794" w:rsidRDefault="003D46E8" w:rsidP="003D46E8">
      <w:pPr>
        <w:pStyle w:val="NormalHanging12a"/>
        <w:rPr>
          <w:szCs w:val="24"/>
        </w:rPr>
      </w:pPr>
      <w:r w:rsidRPr="00A94794">
        <w:t>17.</w:t>
      </w:r>
      <w:r w:rsidRPr="00A94794">
        <w:tab/>
        <w:t>poudarja, da so bili blažilni ukrepi, ki jih je agencija sprejela zaradi skladnosti s členom 7(2) kadrovskih predpisov Unije, zbiranje informacij, ki ga je oktobra 2022 izvedla služba za notranjo revizijo, terensko delo Računskega sodišča zaradi revizije proračunskega leta 2022, ustrezne pripombe Parlamenta, ki jih je v svoji resoluciji za leto 2021 naslovil na agencijo, ter (tekoča) preiskava, ki jo je 24. novembra 2022 začel Evropski urad za boj proti goljufijam (OLAF), tudi posledica anonimnega elektronskega sporočila s številnimi obtožbami, med drugim o nepravilnostih v zvezi z uslužbenci v celotnem višjem vodstvu agencije; poziva agencijo, naj pri tekoči preiskavi tesno sodeluje z uradom OLAF; na podlagi zaključkov Računskega sodišča iz konsolidiranega letnega poročila o dejavnostih za leto 2022 ugotavlja, da je bil izračun nadomestil za odobreno začasno zasedbo vodstvenih delovnih mest zakonit in pravilen, začasna zasedba delovnih mest, daljša od enega leta, pa ni bila v skladu s pravili, vendar plačila pri tem niso bila nepravilna; poziva agencijo, naj organ za podelitev razrešnice obvešča o napredku pri preiskavi in njenih fazah;</w:t>
      </w:r>
    </w:p>
    <w:p w:rsidR="003D46E8" w:rsidRPr="00A94794" w:rsidRDefault="003D46E8" w:rsidP="003D46E8">
      <w:pPr>
        <w:pStyle w:val="NormalHanging12a"/>
      </w:pPr>
      <w:r w:rsidRPr="00A94794">
        <w:t>18.</w:t>
      </w:r>
      <w:r w:rsidRPr="00A94794">
        <w:tab/>
        <w:t>je zaskrbljen zaradi notranjega upravljanja in postopkov agencije, saj je urad OLAF leta 2022 začel eno preiskavo o politiki upravljanja in zaposlovanja, ki naj bi vključevala nepotizem, pa tudi preiskavo v zvezi z nespoštovanjem človekovih pravic; ponovno poziva agencijo, naj v celoti sodeluje s preiskovalnim organom in pravočasno obvesti organ za podelitev razrešnice o rezultatih in popravnih ukrepih;</w:t>
      </w:r>
    </w:p>
    <w:p w:rsidR="003D46E8" w:rsidRPr="00A94794" w:rsidRDefault="003D46E8" w:rsidP="003D46E8">
      <w:pPr>
        <w:spacing w:after="240"/>
        <w:ind w:left="567" w:hanging="567"/>
      </w:pPr>
      <w:r w:rsidRPr="00A94794">
        <w:t>19.</w:t>
      </w:r>
      <w:r w:rsidRPr="00A94794">
        <w:tab/>
        <w:t>opozarja, da je urad OLAF leta 2018 zaključil še eno preiskavo, njegove ugotovitve pa so bile med drugim povezane s slabim upravljanjem človeških virov in odstopom takratnega izvršnega direktorja agencije, upravni odbor agencije pa je sprejel upravljavski akcijski načrt, namenjen notranji in zunanji povrnitvi zaupanja, okrepitvi upravljavske strukture in ponovni krepitvi notranjih zmogljivosti; ugotavlja, da je Računsko sodišče v svojem letnem poročilu zaključilo in obravnavalo ugotovitev v zvezi z velikim številom nezasedenih vodstvenih delovnih mest ter vprašanji, povezanimi s prekarnostjo na ravni vodstvenih položajev, ki bi lahko oslabila vodenje agencije in njeno strateško kontinuiteto; priznava, da v skladu s členom 41(1)(t) uredbe o agenciji upravni odbor sprejema vse odločitve o vzpostavitvi notranjih struktur agencije, medtem ko Komisija kot članica upravnega odbora agencije redno nadzoruje reorganizacije agencije; opaža, da so kljub reorganizacijam v zadnjih letih še vedno težave, kot je navedeno v anonimnem pismu iz januarja 2023; je seznanjen z ugotovitvami Računskega sodišča za proračunsko leto 2022, ki temeljijo na popravnih ukrepih, ki jih je sprejela agencija; v zvezi s tem Komisijo poziva, naj poišče rešitve za neodvisno oceno nedavnih reorganizacij agencije in pričakuje da bo tekoča revizija upravljanja s človeškimi viri, ki jo opravlja Služba za notranjo revizijo podala ustrezno oceno, v kolikšni meri sta sedanji organigram agencije in porazdelitev odgovornosti med položaji srednjega in višjega vodstva izpostavljena tveganjem neučinkovitosti, slabega upravljanja človeških virov in nezadostne preglednosti (vključno z upravnim odborom agencije);</w:t>
      </w:r>
    </w:p>
    <w:p w:rsidR="003D46E8" w:rsidRPr="00A94794" w:rsidRDefault="003D46E8" w:rsidP="003D46E8">
      <w:pPr>
        <w:pStyle w:val="NormalHanging12a"/>
        <w:rPr>
          <w:szCs w:val="24"/>
        </w:rPr>
      </w:pPr>
      <w:r w:rsidRPr="00A94794">
        <w:t>20.</w:t>
      </w:r>
      <w:r w:rsidRPr="00A94794">
        <w:tab/>
        <w:t>z zaskrbljenostjo ugotavlja, da agencija še ni sprejela listine o raznolikosti in vključevanju ter ni poročala o ukrepih, sprejetih za vključevanje invalidov; opozarja, da Listina Evropske unije o temeljnih pravicah prepoveduje diskriminacijo zaradi invalidnosti in priznava pravico invalidov do ukrepov za njihovo samostojnost, socialno in poklicno vključenost ter sodelovanje v življenju skupnosti; vendar upošteva zavezo agencije, da bo na teh področjih sprejela ukrepe, ki bodo izvedeni po sprejetju prihodnje kadrovske strategije; ugotavlja tudi, da je agencija sprejela pobude in uvedla različne ukrepe za izboljšanje dobrega počutja svojega osebja na delovnem mestu ter usklajevanja poklicnega in zasebnega življenja, in sicer ciljno usmerjene tečaje usposabljanja, sporazume o ravni storitve z izvajalci varstva otrok in šolami, službo za psihološko in socialno podporo, kampanje ozaveščanja ter prostočasne dejavnosti;</w:t>
      </w:r>
    </w:p>
    <w:p w:rsidR="003D46E8" w:rsidRPr="00A94794" w:rsidRDefault="003D46E8" w:rsidP="003D46E8">
      <w:pPr>
        <w:pStyle w:val="NormalHanging12a"/>
        <w:rPr>
          <w:b/>
          <w:i/>
          <w:szCs w:val="24"/>
        </w:rPr>
      </w:pPr>
      <w:r w:rsidRPr="00A94794">
        <w:rPr>
          <w:b/>
          <w:i/>
        </w:rPr>
        <w:t>Javno naročanje</w:t>
      </w:r>
    </w:p>
    <w:p w:rsidR="003D46E8" w:rsidRPr="00A94794" w:rsidRDefault="003D46E8" w:rsidP="003D46E8">
      <w:pPr>
        <w:pStyle w:val="NormalHanging12a"/>
        <w:rPr>
          <w:szCs w:val="24"/>
        </w:rPr>
      </w:pPr>
      <w:r w:rsidRPr="00A94794">
        <w:t>21.</w:t>
      </w:r>
      <w:r w:rsidRPr="00A94794">
        <w:tab/>
        <w:t>opozarja na ugotovitve Računskega sodišča za proračunski leti 2017 in 2020, ki kažejo, da so bili postopki oddaje javnega naročila za najete prostore na Lezbosu in v Rimu nepravilni zaradi nezadostne konkurence in nespoštovanja načela gospodarnosti; na podlagi poročila Računskega sodišča ugotavlja, da so nepravilna tudi vsa plačila na podlagi teh postopkov, vključno s tem povezanimi plačili v višini 281.095 EUR, izvedenimi leta 2022; na podlagi poročila Računskega sodišča z zadovoljstvom ugotavlja, da je agencija sprejela popravljalne ukrepe, v skladu s katerimi sta 30. aprila 2023 in 31. julija 2023 prenehali veljati najemni pogodbi za prostore na Lezbosu in v Rimu; na podlagi konsolidiranega letnega poročila o dejavnostih za leto 2022 ugotavlja, da se v sodelovanju z grškimi oblastmi išče primerna rešitev za najem prostorov na Lezbosu;</w:t>
      </w:r>
    </w:p>
    <w:p w:rsidR="003D46E8" w:rsidRPr="00A94794" w:rsidRDefault="003D46E8" w:rsidP="003D46E8">
      <w:pPr>
        <w:pStyle w:val="NormalHanging12a"/>
        <w:rPr>
          <w:szCs w:val="24"/>
        </w:rPr>
      </w:pPr>
      <w:r w:rsidRPr="00A94794">
        <w:t>22.</w:t>
      </w:r>
      <w:r w:rsidRPr="00A94794">
        <w:tab/>
        <w:t>je seznanjen z ugotovitvijo iz poročila Računskega sodišča, da je agencija opremo IT nabavila iz spletnega kataloga ponudnika in ne iz predhodno odobrenega cenika, vključenega v finančne in tehnične ponudbe, zaradi česar je bila nabavna cena za 44 % (kar ustreza znesku v višini 49.224 EUR, ki je po mnenju Računskega sodišča nepravilen) višja, kot bi bila, če bi temeljila na predhodno odobrenem ceniku; na podlagi odgovora agencije ugotavlja, da je odločitev o nakupu te opreme temeljila na operativnih potrebah in nujnosti, nanjo pa je vplivala tudi omejena tržna ponudba opreme IT, ter da so bile sprejete ustrezne kontrole, ki dajejo razumno zagotovilo, da bodo cene nakupa nadomestnih delov iz spletnega kataloga omejene na zneske, ki so bili dogovorjeni v prvotni ponudbi izvajalca;</w:t>
      </w:r>
    </w:p>
    <w:p w:rsidR="003D46E8" w:rsidRPr="00A94794" w:rsidRDefault="003D46E8" w:rsidP="003D46E8">
      <w:pPr>
        <w:spacing w:after="240"/>
        <w:ind w:left="567" w:hanging="567"/>
        <w:rPr>
          <w:szCs w:val="24"/>
        </w:rPr>
      </w:pPr>
      <w:r w:rsidRPr="00A94794">
        <w:rPr>
          <w:b/>
          <w:i/>
        </w:rPr>
        <w:t>Preprečevanje in obvladovanje nasprotij interesov ter preglednost</w:t>
      </w:r>
    </w:p>
    <w:p w:rsidR="003D46E8" w:rsidRPr="00A94794" w:rsidRDefault="003D46E8" w:rsidP="003D46E8">
      <w:pPr>
        <w:pStyle w:val="NormalHanging12a"/>
        <w:rPr>
          <w:szCs w:val="24"/>
        </w:rPr>
      </w:pPr>
      <w:r w:rsidRPr="00A94794">
        <w:t>23.</w:t>
      </w:r>
      <w:r w:rsidRPr="00A94794">
        <w:tab/>
        <w:t>pozdravlja napredek agencije v letu 2022 pri obvladovanju in preprečevanju nasprotij interesov ter v zvezi z etičnimi smernicami, saj je bil na podlagi pripravljalnega dela januarja 2023 sprejet sklep, ki velja za člane upravnega odbora agencije ter organizacije in pristojne organe, ki so člani posvetovalnega foruma agencije, in dva sklepa, ki veljata za osebje agencije; pozdravlja imenovanje korespondenta agencije za etiko in zavezo agencije, da bo v vabila na srečanja z zunanjimi udeleženci vključila standardna besedila izjav o nasprotjih interesov; z zadovoljstvom opaža, da je agencija pripravila smernice za pravila o dejavnostih po koncu zaposlitve in postopke, ki se uporabljajo za osebje, ki zapušča agencijo;</w:t>
      </w:r>
    </w:p>
    <w:p w:rsidR="003D46E8" w:rsidRPr="00A94794" w:rsidRDefault="003D46E8" w:rsidP="003D46E8">
      <w:pPr>
        <w:pStyle w:val="NormalHanging12a"/>
        <w:rPr>
          <w:szCs w:val="24"/>
        </w:rPr>
      </w:pPr>
      <w:r w:rsidRPr="00A94794">
        <w:t>24.</w:t>
      </w:r>
      <w:r w:rsidRPr="00A94794">
        <w:tab/>
        <w:t xml:space="preserve">je seznanjen s tem, da so na spletnem mestu objavljene izjave o interesih in življenjepisi članov upravnega odbora agencije, pa tudi vodstvenega osebja agencije; vendar ugotavlja, da na spletnem mestu agencije ni življenjepisov notranjih in zunanjih strokovnjakov; na podlagi odgovorov agencije na pisna vprašanja Parlamenta ugotavlja, da leta 2022 na ravni agencije ni bil odprt ali zaključen in ni potekal noben primer nasprotja interesov ali žvižgaštva; izraža pohvalo agenciji, ker je prek svojega posvetovalnega foruma vzdrževala tesen dialog z ustreznimi organizacijami civilne družbe, ki delujejo na področju azila, pri čemer je bil ta forum junija 2022 ponovno sklican (116 članov) z novim sklopom pravil, ki izhajajo iz </w:t>
      </w:r>
      <w:r w:rsidRPr="00A94794">
        <w:rPr>
          <w:color w:val="000000" w:themeColor="text1"/>
        </w:rPr>
        <w:t>Uredbe (EU) 2021/2303;</w:t>
      </w:r>
    </w:p>
    <w:p w:rsidR="003D46E8" w:rsidRPr="00A94794" w:rsidRDefault="003D46E8" w:rsidP="003D46E8">
      <w:pPr>
        <w:spacing w:after="240"/>
        <w:ind w:left="567" w:hanging="567"/>
        <w:rPr>
          <w:b/>
          <w:i/>
          <w:szCs w:val="24"/>
        </w:rPr>
      </w:pPr>
      <w:r w:rsidRPr="00A94794">
        <w:rPr>
          <w:b/>
          <w:i/>
        </w:rPr>
        <w:t>Notranja kontrola</w:t>
      </w:r>
    </w:p>
    <w:p w:rsidR="003D46E8" w:rsidRPr="00A94794" w:rsidRDefault="003D46E8" w:rsidP="003D46E8">
      <w:pPr>
        <w:pStyle w:val="NormalHanging12a"/>
        <w:rPr>
          <w:szCs w:val="24"/>
        </w:rPr>
      </w:pPr>
      <w:r w:rsidRPr="00A94794">
        <w:t>25.</w:t>
      </w:r>
      <w:r w:rsidRPr="00A94794">
        <w:tab/>
        <w:t>je seznanjen z ugotovitvijo iz poročila Računskega sodišča, da so bili trije primeri nadaljnjih prenosov pooblastil, ki bi jih bilo treba aprila 2021 ponovno potrditi, ponovno potrjeni šele februarja 2022, ko je bilo stanje popravljeno, torej je agencija kršila svoja notranja pravila, v katerih je določeno, da je treba nadaljnje prenose pooblastil finančnega organa podaljšati takoj, ko je imenovan nov odredbodajalec na podlagi prenosa pooblastil;</w:t>
      </w:r>
    </w:p>
    <w:p w:rsidR="003D46E8" w:rsidRPr="00A94794" w:rsidRDefault="003D46E8" w:rsidP="003D46E8">
      <w:pPr>
        <w:pStyle w:val="NormalHanging12a"/>
        <w:rPr>
          <w:szCs w:val="24"/>
        </w:rPr>
      </w:pPr>
      <w:r w:rsidRPr="00A94794">
        <w:t>26.</w:t>
      </w:r>
      <w:r w:rsidRPr="00A94794">
        <w:tab/>
        <w:t>pozdravlja napredek agencije pri obravnavanju priporočil, ki so ostala odprta iz prejšnjih revizij, ki sta jih izvedla služba za notranjo revizijo in Računsko sodišče; na podlagi konsolidiranega letnega poročila o dejavnostih za leto 2022 ugotavlja, da se nekatera priporočila v povezavi z revizijo službe za notranjo revizijo iz leta 2020 („Upravljanje človeških virov in etika v EASO“) in leta 2021 („Upravljanje IT in projektov IT“), še izvajajo ali so pri tem nastale velike zamude; na podlagi poročila Računskega sodišča ugotavlja tudi, da so odprta še tri priporočila iz preteklih revizij, ki jih je opravilo Računsko sodišče: dve priporočili v zvezi z najemnima pogodbama za prostore na Lezbosu in v Rimu, za kateri agencija pričakuje, da jih bo Računsko sodišče upoštevalo kot rešeni leta 2024, potem ko so bila leta 2023 izvedena zadnja s tem povezana (nepravilna) plačila, ter eno priporočilo v zvezi z vzpostavitvijo uspešnih finančnih naknadnih kontrol v agenciji; v zvezi s tem agencijo poziva, naj pospeši izvajanje nedokončanih popravljalnih ukrepov in organ za podelitev razrešnice obvešča o napredku, doseženem v zvezi s tem;</w:t>
      </w:r>
    </w:p>
    <w:p w:rsidR="003D46E8" w:rsidRPr="00A94794" w:rsidRDefault="003D46E8" w:rsidP="003D46E8">
      <w:pPr>
        <w:pStyle w:val="NormalHanging12a"/>
        <w:rPr>
          <w:szCs w:val="24"/>
        </w:rPr>
      </w:pPr>
      <w:r w:rsidRPr="00A94794">
        <w:t>27.</w:t>
      </w:r>
      <w:r w:rsidRPr="00A94794">
        <w:tab/>
        <w:t>ugotavlja, da je agencija opravila samooceno svojega sistema notranje kontrole za leto 2022 in ugotovila, da vse vzpostavljene kontrole delujejo po pričakovanjih, pri čemer je deset načel popolnoma učinkovitih in sedem učinkovitih, na ravni komponent „kontrolno okolje“, „kontrolne dejavnosti“ in „dejavnosti spremljanja“ pa je potrebnih še nekaj izboljšav; poudarja tudi, da je bila leta 2022 na podlagi vzorčnih transakcij in postopkov javnega naročanja, ki so obsegali dve proračunski leti (2020 in 2021), vzpostavljena strategija, ki temelji na tveganju, za naknadne finančne kontrole; na podlagi konsolidiranega letnega poročila o dejavnostih za leto 2022 ugotavlja, da je bilo v rezultate teh kontrol vključenih 44 ugotovitev in predlaganih 122 popravljalnih ukrepov; upošteva, da je agencija v okviru izvajanja sistema notranje kontrole za leto 2022 v prvem četrtletju leta 2023 opravila kontrole stanja glede izvedbe teh 122 (predhodno dogovorjenih) popravljalnih ukrepov, od katerih so zadevni lastniki podjetij pravočasno in ustrezno izvedli le 45 popravljalnih ukrepov (40 %); poziva agencijo, naj obravnava vse neizvedene popravljalne ukrepe in organ za podelitev razrešnice obvešča o napredku, doseženem v zvezi s tem; z zadovoljstvom ugotavlja, da agencija pregledno predstavlja (Priloga IX h konsolidiranemu letnemu poročilu o dejavnostih za leto 2022) podrobnosti o ugotovljenih pomanjkljivostih in dogovorjenih popravljalnih ukrepih, ki izhajajo iz različnih virov, ter njihovo stanje (upravljanje izjem in primeri neskladnosti, merila za spremljanje notranjih kontrol, sistemi notranje kontrole, finančne predhodne in naknadne kontrole, revizijska poročila, obvladovanje tveganja itd.);</w:t>
      </w:r>
    </w:p>
    <w:p w:rsidR="003D46E8" w:rsidRPr="00A94794" w:rsidRDefault="003D46E8" w:rsidP="003D46E8">
      <w:pPr>
        <w:pStyle w:val="NormalHanging12a"/>
        <w:rPr>
          <w:szCs w:val="24"/>
        </w:rPr>
      </w:pPr>
      <w:r w:rsidRPr="00A94794">
        <w:t>28.</w:t>
      </w:r>
      <w:r w:rsidRPr="00A94794">
        <w:tab/>
        <w:t>opozarja, da je agencija julija 2020 sprejela strategijo za boj proti goljufijam za obdobje 2020–2022, pri čemer je vzpostavila 25 prednostnih ukrepov, ki se spremljajo z več kontrolnimi dejavnostmi; z zadovoljstvom ugotavlja, da je bilo leta 2022 izvedenih 93 % kontrolnih dejavnosti, povezanih z izvajanjem navedene strategije; pozdravlja prizadevanja agencije za ozaveščanje o zadevah, povezanih z bojem proti goljufijam, pri čemer se je 56,7 % statutarnih uslužbencev agencije udeležilo usposabljanj o preprečevanju goljufij in prepoznavanju tveganj goljufije; z zadovoljstvom ugotavlja, da agencija v zvezi s svojo strategijo za boj proti goljufijam pregledno predstavlja (Priloga XII h konsolidiranemu letnemu poročilu o dejavnostih za leto 2022) podrobnosti o kontrolnih dejavnostih in njihovo stanje;</w:t>
      </w:r>
    </w:p>
    <w:p w:rsidR="003D46E8" w:rsidRPr="00A94794" w:rsidRDefault="003D46E8" w:rsidP="003D46E8">
      <w:pPr>
        <w:spacing w:after="240"/>
        <w:ind w:left="567" w:hanging="567"/>
        <w:rPr>
          <w:b/>
          <w:i/>
          <w:szCs w:val="24"/>
        </w:rPr>
      </w:pPr>
      <w:r w:rsidRPr="00A94794">
        <w:rPr>
          <w:b/>
          <w:i/>
        </w:rPr>
        <w:t>Druge pripombe</w:t>
      </w:r>
    </w:p>
    <w:p w:rsidR="003D46E8" w:rsidRPr="00A94794" w:rsidRDefault="003D46E8" w:rsidP="003D46E8">
      <w:pPr>
        <w:spacing w:after="240"/>
        <w:ind w:left="567" w:hanging="567"/>
        <w:rPr>
          <w:szCs w:val="24"/>
        </w:rPr>
      </w:pPr>
      <w:r w:rsidRPr="00A94794">
        <w:t>29.</w:t>
      </w:r>
      <w:r w:rsidRPr="00A94794">
        <w:tab/>
        <w:t>ugotavlja, da je agencija sprejela različne ukrepe za povečanje svoje javne prepoznavnosti in prisotnosti na spletu, tako da je na primer objavila posodobljeno spletno mesto in prenovila poslovno grafično podobo, posodobila svoj portfelj družbenih medijev s poudarkom na avdiovizualnih formatih in v svojih prostorih gostila skupine študentov;</w:t>
      </w:r>
    </w:p>
    <w:p w:rsidR="003D46E8" w:rsidRPr="00A94794" w:rsidRDefault="003D46E8" w:rsidP="003D46E8">
      <w:pPr>
        <w:pStyle w:val="NormalHanging12a"/>
      </w:pPr>
      <w:r w:rsidRPr="00A94794">
        <w:t>30.</w:t>
      </w:r>
      <w:r w:rsidRPr="00A94794">
        <w:tab/>
        <w:t>opozarja na vlogo agencije pri zagotavljanju podpore pri obravnavi prošenj za mednarodno zaščito in pri usposabljanju uradnikov, odgovornih za obravnavo prošenj za azil; meni, da mora agencija še naprej nuditi podporo državam članicam in tretjim državam pri obravnavanju prošenj za azil in migracije; poziva, naj se proračun po potrebi osredotoči na dodatno zaposlovanje osebja, da bo lahko članicam pomagala pri pošteni in pravični obravnavi prošenj za azil za mednarodno zaščito, zlasti tolmačev in psihologov za pomoč prosilcem, ki sodijo med ranljive skupine;</w:t>
      </w:r>
    </w:p>
    <w:p w:rsidR="003D46E8" w:rsidRPr="00A94794" w:rsidRDefault="003D46E8" w:rsidP="003D46E8">
      <w:pPr>
        <w:pStyle w:val="NormalCenter12a"/>
      </w:pPr>
      <w:r w:rsidRPr="00A94794">
        <w:t>°</w:t>
      </w:r>
    </w:p>
    <w:p w:rsidR="003D46E8" w:rsidRPr="00A94794" w:rsidRDefault="003D46E8" w:rsidP="003D46E8">
      <w:pPr>
        <w:pStyle w:val="NormalCenter12a"/>
      </w:pPr>
      <w:r w:rsidRPr="00A94794">
        <w:t>°</w:t>
      </w:r>
      <w:r w:rsidRPr="00A94794">
        <w:tab/>
        <w:t>°</w:t>
      </w:r>
    </w:p>
    <w:p w:rsidR="00E365E1" w:rsidRPr="00A94794" w:rsidRDefault="003D46E8" w:rsidP="00B20BCE">
      <w:pPr>
        <w:ind w:left="567" w:hanging="567"/>
      </w:pPr>
      <w:r w:rsidRPr="00A94794">
        <w:t>31.</w:t>
      </w:r>
      <w:r w:rsidRPr="00A94794">
        <w:tab/>
        <w:t xml:space="preserve">sporoča, da so druge ugotovitve horizontalne narave, ki spremljajo sklep o razrešnici, zbrane v resoluciji z dne </w:t>
      </w:r>
      <w:r w:rsidR="00B20BCE" w:rsidRPr="00A94794">
        <w:t>11. aprila</w:t>
      </w:r>
      <w:r w:rsidRPr="00A94794">
        <w:rPr>
          <w:rStyle w:val="FootnoteReference"/>
        </w:rPr>
        <w:footnoteReference w:id="14"/>
      </w:r>
      <w:r w:rsidRPr="00A94794">
        <w:t xml:space="preserve"> 2024 o uspešnosti, finančnem poslovodenju in nadzoru agencij.</w:t>
      </w:r>
      <w:bookmarkStart w:id="9" w:name="TextBodyEnd"/>
      <w:bookmarkEnd w:id="9"/>
    </w:p>
    <w:sectPr w:rsidR="00E365E1" w:rsidRPr="00A94794" w:rsidSect="00E651C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824" w:rsidRPr="00E651C3" w:rsidRDefault="00E42824">
      <w:r w:rsidRPr="00E651C3">
        <w:separator/>
      </w:r>
    </w:p>
  </w:endnote>
  <w:endnote w:type="continuationSeparator" w:id="0">
    <w:p w:rsidR="00E42824" w:rsidRPr="00E651C3" w:rsidRDefault="00E42824">
      <w:r w:rsidRPr="00E651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6E8" w:rsidRPr="00E651C3" w:rsidRDefault="003D46E8" w:rsidP="00027ECD">
    <w:pPr>
      <w:pStyle w:val="EPFooter"/>
    </w:pPr>
    <w:r w:rsidRPr="00E651C3">
      <w:t>PE</w:t>
    </w:r>
    <w:r w:rsidRPr="00E651C3">
      <w:rPr>
        <w:rStyle w:val="HideTWBExt"/>
      </w:rPr>
      <w:t>&lt;NoPE&gt;</w:t>
    </w:r>
    <w:r w:rsidRPr="00E651C3">
      <w:t>753.532</w:t>
    </w:r>
    <w:r w:rsidRPr="00E651C3">
      <w:rPr>
        <w:rStyle w:val="HideTWBExt"/>
      </w:rPr>
      <w:t>&lt;/NoPE&gt;&lt;Version&gt;</w:t>
    </w:r>
    <w:r w:rsidRPr="00E651C3">
      <w:t>v03-00</w:t>
    </w:r>
    <w:r w:rsidRPr="00E651C3">
      <w:rPr>
        <w:rStyle w:val="HideTWBExt"/>
      </w:rPr>
      <w:t>&lt;/Version&gt;</w:t>
    </w:r>
    <w:r w:rsidRPr="00E651C3">
      <w:tab/>
    </w:r>
    <w:r w:rsidRPr="00E651C3">
      <w:fldChar w:fldCharType="begin"/>
    </w:r>
    <w:r w:rsidRPr="00E651C3">
      <w:instrText xml:space="preserve"> PAGE  \* MERGEFORMAT </w:instrText>
    </w:r>
    <w:r w:rsidRPr="00E651C3">
      <w:fldChar w:fldCharType="separate"/>
    </w:r>
    <w:r w:rsidR="00F330EB">
      <w:rPr>
        <w:noProof/>
      </w:rPr>
      <w:t>1</w:t>
    </w:r>
    <w:r w:rsidRPr="00E651C3">
      <w:fldChar w:fldCharType="end"/>
    </w:r>
    <w:r w:rsidRPr="00E651C3">
      <w:t>/</w:t>
    </w:r>
    <w:fldSimple w:instr=" NUMPAGES  \* MERGEFORMAT ">
      <w:r w:rsidR="00F330EB">
        <w:rPr>
          <w:noProof/>
        </w:rPr>
        <w:t>13</w:t>
      </w:r>
    </w:fldSimple>
    <w:r w:rsidRPr="00E651C3">
      <w:tab/>
    </w:r>
    <w:r w:rsidRPr="00E651C3">
      <w:rPr>
        <w:rStyle w:val="HideTWBExt"/>
      </w:rPr>
      <w:t>&lt;PathFdR&gt;</w:t>
    </w:r>
    <w:r w:rsidRPr="00E651C3">
      <w:t>RR\1299515SL.docx</w:t>
    </w:r>
    <w:r w:rsidRPr="00E651C3">
      <w:rPr>
        <w:rStyle w:val="HideTWBExt"/>
      </w:rPr>
      <w:t>&lt;/PathFdR&gt;</w:t>
    </w:r>
  </w:p>
  <w:p w:rsidR="003D46E8" w:rsidRPr="00E651C3" w:rsidRDefault="003D46E8" w:rsidP="00027ECD">
    <w:pPr>
      <w:pStyle w:val="EPFooter2"/>
    </w:pPr>
    <w:r w:rsidRPr="00E651C3">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6E8" w:rsidRPr="00E651C3" w:rsidRDefault="003D46E8" w:rsidP="00027ECD">
    <w:pPr>
      <w:pStyle w:val="EPFooter"/>
    </w:pPr>
    <w:r w:rsidRPr="00E651C3">
      <w:rPr>
        <w:rStyle w:val="HideTWBExt"/>
      </w:rPr>
      <w:t>&lt;PathFdR&gt;</w:t>
    </w:r>
    <w:r w:rsidRPr="00E651C3">
      <w:t>RR\1299515SL.docx</w:t>
    </w:r>
    <w:r w:rsidRPr="00E651C3">
      <w:rPr>
        <w:rStyle w:val="HideTWBExt"/>
      </w:rPr>
      <w:t>&lt;/PathFdR&gt;</w:t>
    </w:r>
    <w:r w:rsidRPr="00E651C3">
      <w:tab/>
    </w:r>
    <w:r w:rsidRPr="00E651C3">
      <w:tab/>
      <w:t>PE</w:t>
    </w:r>
    <w:r w:rsidRPr="00E651C3">
      <w:rPr>
        <w:rStyle w:val="HideTWBExt"/>
      </w:rPr>
      <w:t>&lt;NoPE&gt;</w:t>
    </w:r>
    <w:r w:rsidRPr="00E651C3">
      <w:t>753.532</w:t>
    </w:r>
    <w:r w:rsidRPr="00E651C3">
      <w:rPr>
        <w:rStyle w:val="HideTWBExt"/>
      </w:rPr>
      <w:t>&lt;/NoPE&gt;&lt;Version&gt;</w:t>
    </w:r>
    <w:r w:rsidRPr="00E651C3">
      <w:t>v03-00</w:t>
    </w:r>
    <w:r w:rsidRPr="00E651C3">
      <w:rPr>
        <w:rStyle w:val="HideTWBExt"/>
      </w:rPr>
      <w:t>&lt;/Version&gt;</w:t>
    </w:r>
  </w:p>
  <w:p w:rsidR="003D46E8" w:rsidRPr="00E651C3" w:rsidRDefault="003D46E8" w:rsidP="00027ECD">
    <w:pPr>
      <w:pStyle w:val="EPFooter2"/>
    </w:pPr>
    <w:r w:rsidRPr="00E651C3">
      <w:t>SL</w:t>
    </w:r>
    <w:r w:rsidRPr="00E651C3">
      <w:tab/>
    </w:r>
    <w:r w:rsidRPr="00E651C3">
      <w:rPr>
        <w:b w:val="0"/>
        <w:i/>
        <w:color w:val="C0C0C0"/>
        <w:sz w:val="22"/>
      </w:rPr>
      <w:t>Združena v raznolikosti</w:t>
    </w:r>
    <w:r w:rsidRPr="00E651C3">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51C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30EB" w:rsidRDefault="00064002" w:rsidP="00F330E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51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824" w:rsidRPr="00E651C3" w:rsidRDefault="00E42824">
      <w:r w:rsidRPr="00E651C3">
        <w:separator/>
      </w:r>
    </w:p>
  </w:footnote>
  <w:footnote w:type="continuationSeparator" w:id="0">
    <w:p w:rsidR="00E42824" w:rsidRPr="00E651C3" w:rsidRDefault="00E42824">
      <w:r w:rsidRPr="00E651C3">
        <w:continuationSeparator/>
      </w:r>
    </w:p>
  </w:footnote>
  <w:footnote w:id="1">
    <w:p w:rsidR="003D46E8" w:rsidRPr="00E651C3" w:rsidRDefault="003D46E8" w:rsidP="00E651C3">
      <w:pPr>
        <w:pStyle w:val="FootnoteText"/>
        <w:ind w:left="567" w:hanging="567"/>
        <w:rPr>
          <w:sz w:val="24"/>
          <w:lang w:val="sl-SI"/>
        </w:rPr>
      </w:pPr>
      <w:r w:rsidRPr="00E651C3">
        <w:rPr>
          <w:rStyle w:val="FootnoteReference"/>
          <w:sz w:val="24"/>
          <w:lang w:val="sl-SI"/>
        </w:rPr>
        <w:footnoteRef/>
      </w:r>
      <w:r w:rsidR="00E651C3" w:rsidRPr="00E651C3">
        <w:rPr>
          <w:sz w:val="24"/>
          <w:lang w:val="sl-SI"/>
        </w:rPr>
        <w:t xml:space="preserve"> </w:t>
      </w:r>
      <w:r w:rsidR="00E651C3" w:rsidRPr="00E651C3">
        <w:rPr>
          <w:sz w:val="24"/>
          <w:lang w:val="sl-SI"/>
        </w:rPr>
        <w:tab/>
      </w:r>
      <w:r w:rsidRPr="00E651C3">
        <w:rPr>
          <w:sz w:val="24"/>
          <w:lang w:val="sl-SI"/>
        </w:rPr>
        <w:t>UL C, C/2023/594, 27.10.2023.</w:t>
      </w:r>
    </w:p>
  </w:footnote>
  <w:footnote w:id="2">
    <w:p w:rsidR="003D46E8" w:rsidRPr="00E651C3" w:rsidRDefault="003D46E8" w:rsidP="00E651C3">
      <w:pPr>
        <w:pStyle w:val="FootnoteText"/>
        <w:ind w:left="567" w:hanging="567"/>
        <w:rPr>
          <w:sz w:val="24"/>
          <w:lang w:val="sl-SI"/>
        </w:rPr>
      </w:pPr>
      <w:r w:rsidRPr="00E651C3">
        <w:rPr>
          <w:rStyle w:val="FootnoteReference"/>
          <w:sz w:val="24"/>
          <w:lang w:val="sl-SI"/>
        </w:rPr>
        <w:footnoteRef/>
      </w:r>
      <w:r w:rsidR="00E651C3" w:rsidRPr="00E651C3">
        <w:rPr>
          <w:sz w:val="24"/>
          <w:lang w:val="sl-SI"/>
        </w:rPr>
        <w:t xml:space="preserve"> </w:t>
      </w:r>
      <w:r w:rsidR="00E651C3" w:rsidRPr="00E651C3">
        <w:rPr>
          <w:sz w:val="24"/>
          <w:lang w:val="sl-SI"/>
        </w:rPr>
        <w:tab/>
      </w:r>
      <w:r w:rsidRPr="00E651C3">
        <w:rPr>
          <w:sz w:val="24"/>
          <w:lang w:val="sl-SI"/>
        </w:rPr>
        <w:t>UL C, C/2023/112, 12.10.2023.</w:t>
      </w:r>
    </w:p>
  </w:footnote>
  <w:footnote w:id="3">
    <w:p w:rsidR="003D46E8" w:rsidRPr="00E651C3" w:rsidRDefault="003D46E8" w:rsidP="00E651C3">
      <w:pPr>
        <w:pStyle w:val="FootnoteText"/>
        <w:ind w:left="567" w:hanging="567"/>
        <w:rPr>
          <w:sz w:val="24"/>
          <w:lang w:val="sl-SI"/>
        </w:rPr>
      </w:pPr>
      <w:r w:rsidRPr="00E651C3">
        <w:rPr>
          <w:rStyle w:val="FootnoteReference"/>
          <w:sz w:val="24"/>
          <w:lang w:val="sl-SI"/>
        </w:rPr>
        <w:footnoteRef/>
      </w:r>
      <w:r w:rsidR="00E651C3" w:rsidRPr="00E651C3">
        <w:rPr>
          <w:sz w:val="24"/>
          <w:lang w:val="sl-SI"/>
        </w:rPr>
        <w:t xml:space="preserve"> </w:t>
      </w:r>
      <w:r w:rsidR="00E651C3" w:rsidRPr="00E651C3">
        <w:rPr>
          <w:sz w:val="24"/>
          <w:lang w:val="sl-SI"/>
        </w:rPr>
        <w:tab/>
      </w:r>
      <w:r w:rsidRPr="00E651C3">
        <w:rPr>
          <w:sz w:val="24"/>
          <w:lang w:val="sl-SI"/>
        </w:rPr>
        <w:t>UL L 193, 30.7.2018, str. 1.</w:t>
      </w:r>
    </w:p>
  </w:footnote>
  <w:footnote w:id="4">
    <w:p w:rsidR="003D46E8" w:rsidRPr="00E651C3" w:rsidRDefault="003D46E8" w:rsidP="00E651C3">
      <w:pPr>
        <w:pStyle w:val="FootnoteText"/>
        <w:ind w:left="567" w:hanging="567"/>
        <w:rPr>
          <w:sz w:val="24"/>
          <w:lang w:val="sl-SI"/>
        </w:rPr>
      </w:pPr>
      <w:r w:rsidRPr="00E651C3">
        <w:rPr>
          <w:rStyle w:val="FootnoteReference"/>
          <w:sz w:val="24"/>
          <w:lang w:val="sl-SI"/>
        </w:rPr>
        <w:footnoteRef/>
      </w:r>
      <w:r w:rsidR="00E651C3" w:rsidRPr="00E651C3">
        <w:rPr>
          <w:sz w:val="24"/>
          <w:lang w:val="sl-SI"/>
        </w:rPr>
        <w:t xml:space="preserve"> </w:t>
      </w:r>
      <w:r w:rsidR="00E651C3" w:rsidRPr="00E651C3">
        <w:rPr>
          <w:sz w:val="24"/>
          <w:lang w:val="sl-SI"/>
        </w:rPr>
        <w:tab/>
      </w:r>
      <w:r w:rsidRPr="00E651C3">
        <w:rPr>
          <w:sz w:val="24"/>
          <w:lang w:val="sl-SI"/>
        </w:rPr>
        <w:t>UL L 132, 29.5.2010, str. 11.</w:t>
      </w:r>
    </w:p>
  </w:footnote>
  <w:footnote w:id="5">
    <w:p w:rsidR="003D46E8" w:rsidRPr="00E651C3" w:rsidRDefault="003D46E8" w:rsidP="00E651C3">
      <w:pPr>
        <w:pStyle w:val="FootnoteText"/>
        <w:ind w:left="567" w:hanging="567"/>
        <w:rPr>
          <w:sz w:val="24"/>
          <w:szCs w:val="24"/>
          <w:lang w:val="sl-SI"/>
        </w:rPr>
      </w:pPr>
      <w:r w:rsidRPr="00E651C3">
        <w:rPr>
          <w:rStyle w:val="FootnoteReference"/>
          <w:sz w:val="24"/>
          <w:lang w:val="sl-SI"/>
        </w:rPr>
        <w:footnoteRef/>
      </w:r>
      <w:r w:rsidR="00E651C3" w:rsidRPr="00E651C3">
        <w:rPr>
          <w:sz w:val="24"/>
          <w:lang w:val="sl-SI"/>
        </w:rPr>
        <w:t xml:space="preserve"> </w:t>
      </w:r>
      <w:r w:rsidR="00E651C3" w:rsidRPr="00E651C3">
        <w:rPr>
          <w:sz w:val="24"/>
          <w:lang w:val="sl-SI"/>
        </w:rPr>
        <w:tab/>
      </w:r>
      <w:r w:rsidRPr="00E651C3">
        <w:rPr>
          <w:sz w:val="24"/>
          <w:lang w:val="sl-SI"/>
        </w:rPr>
        <w:t>UL L 468, 30.12.2021, str. 1.</w:t>
      </w:r>
    </w:p>
  </w:footnote>
  <w:footnote w:id="6">
    <w:p w:rsidR="003D46E8" w:rsidRPr="00E651C3" w:rsidRDefault="003D46E8" w:rsidP="00E651C3">
      <w:pPr>
        <w:pStyle w:val="FootnoteText"/>
        <w:ind w:left="567" w:hanging="567"/>
        <w:rPr>
          <w:sz w:val="24"/>
          <w:lang w:val="sl-SI"/>
        </w:rPr>
      </w:pPr>
      <w:r w:rsidRPr="00E651C3">
        <w:rPr>
          <w:rStyle w:val="FootnoteReference"/>
          <w:sz w:val="24"/>
          <w:lang w:val="sl-SI"/>
        </w:rPr>
        <w:footnoteRef/>
      </w:r>
      <w:r w:rsidR="00E651C3" w:rsidRPr="00E651C3">
        <w:rPr>
          <w:sz w:val="24"/>
          <w:lang w:val="sl-SI"/>
        </w:rPr>
        <w:t xml:space="preserve"> </w:t>
      </w:r>
      <w:r w:rsidR="00E651C3" w:rsidRPr="00E651C3">
        <w:rPr>
          <w:sz w:val="24"/>
          <w:lang w:val="sl-SI"/>
        </w:rPr>
        <w:tab/>
      </w:r>
      <w:r w:rsidRPr="00E651C3">
        <w:rPr>
          <w:sz w:val="24"/>
          <w:lang w:val="sl-SI"/>
        </w:rPr>
        <w:t>UL L 122, 10.5.2019, str. 1.</w:t>
      </w:r>
    </w:p>
  </w:footnote>
  <w:footnote w:id="7">
    <w:p w:rsidR="003D46E8" w:rsidRPr="00E651C3" w:rsidRDefault="003D46E8" w:rsidP="00E651C3">
      <w:pPr>
        <w:pStyle w:val="FootnoteText"/>
        <w:ind w:left="567" w:hanging="567"/>
        <w:rPr>
          <w:sz w:val="24"/>
          <w:lang w:val="sl-SI"/>
        </w:rPr>
      </w:pPr>
      <w:r w:rsidRPr="00E651C3">
        <w:rPr>
          <w:rStyle w:val="FootnoteReference"/>
          <w:sz w:val="24"/>
          <w:lang w:val="sl-SI"/>
        </w:rPr>
        <w:footnoteRef/>
      </w:r>
      <w:r w:rsidR="00E651C3" w:rsidRPr="00E651C3">
        <w:rPr>
          <w:sz w:val="24"/>
          <w:lang w:val="sl-SI"/>
        </w:rPr>
        <w:t xml:space="preserve"> </w:t>
      </w:r>
      <w:r w:rsidR="00E651C3" w:rsidRPr="00E651C3">
        <w:rPr>
          <w:sz w:val="24"/>
          <w:lang w:val="sl-SI"/>
        </w:rPr>
        <w:tab/>
      </w:r>
      <w:r w:rsidRPr="00E651C3">
        <w:rPr>
          <w:sz w:val="24"/>
          <w:lang w:val="sl-SI"/>
        </w:rPr>
        <w:t>UL C, C/2023/594, 27.10.2023.</w:t>
      </w:r>
    </w:p>
  </w:footnote>
  <w:footnote w:id="8">
    <w:p w:rsidR="003D46E8" w:rsidRPr="00E651C3" w:rsidRDefault="003D46E8" w:rsidP="00E651C3">
      <w:pPr>
        <w:pStyle w:val="FootnoteText"/>
        <w:ind w:left="567" w:hanging="567"/>
        <w:rPr>
          <w:sz w:val="24"/>
          <w:lang w:val="sl-SI"/>
        </w:rPr>
      </w:pPr>
      <w:r w:rsidRPr="00E651C3">
        <w:rPr>
          <w:rStyle w:val="FootnoteReference"/>
          <w:sz w:val="24"/>
          <w:lang w:val="sl-SI"/>
        </w:rPr>
        <w:footnoteRef/>
      </w:r>
      <w:r w:rsidR="00E651C3" w:rsidRPr="00E651C3">
        <w:rPr>
          <w:sz w:val="24"/>
          <w:lang w:val="sl-SI"/>
        </w:rPr>
        <w:t xml:space="preserve"> </w:t>
      </w:r>
      <w:r w:rsidR="00E651C3" w:rsidRPr="00E651C3">
        <w:rPr>
          <w:sz w:val="24"/>
          <w:lang w:val="sl-SI"/>
        </w:rPr>
        <w:tab/>
      </w:r>
      <w:r w:rsidRPr="00E651C3">
        <w:rPr>
          <w:sz w:val="24"/>
          <w:lang w:val="sl-SI"/>
        </w:rPr>
        <w:t>UL C, C/2023/112, 12.10.2023.</w:t>
      </w:r>
    </w:p>
  </w:footnote>
  <w:footnote w:id="9">
    <w:p w:rsidR="003D46E8" w:rsidRPr="00E651C3" w:rsidRDefault="003D46E8" w:rsidP="00E651C3">
      <w:pPr>
        <w:pStyle w:val="FootnoteText"/>
        <w:ind w:left="567" w:hanging="567"/>
        <w:rPr>
          <w:sz w:val="24"/>
          <w:lang w:val="sl-SI"/>
        </w:rPr>
      </w:pPr>
      <w:r w:rsidRPr="00E651C3">
        <w:rPr>
          <w:rStyle w:val="FootnoteReference"/>
          <w:sz w:val="24"/>
          <w:lang w:val="sl-SI"/>
        </w:rPr>
        <w:footnoteRef/>
      </w:r>
      <w:r w:rsidR="00E651C3" w:rsidRPr="00E651C3">
        <w:rPr>
          <w:sz w:val="24"/>
          <w:lang w:val="sl-SI"/>
        </w:rPr>
        <w:t xml:space="preserve"> </w:t>
      </w:r>
      <w:r w:rsidR="00E651C3" w:rsidRPr="00E651C3">
        <w:rPr>
          <w:sz w:val="24"/>
          <w:lang w:val="sl-SI"/>
        </w:rPr>
        <w:tab/>
      </w:r>
      <w:r w:rsidRPr="00E651C3">
        <w:rPr>
          <w:sz w:val="24"/>
          <w:lang w:val="sl-SI"/>
        </w:rPr>
        <w:t>UL L 193, 30.7.2018, str. 1.</w:t>
      </w:r>
    </w:p>
  </w:footnote>
  <w:footnote w:id="10">
    <w:p w:rsidR="003D46E8" w:rsidRPr="00E651C3" w:rsidRDefault="003D46E8" w:rsidP="00E651C3">
      <w:pPr>
        <w:pStyle w:val="FootnoteText"/>
        <w:ind w:left="567" w:hanging="567"/>
        <w:rPr>
          <w:sz w:val="24"/>
          <w:lang w:val="sl-SI"/>
        </w:rPr>
      </w:pPr>
      <w:r w:rsidRPr="00E651C3">
        <w:rPr>
          <w:rStyle w:val="FootnoteReference"/>
          <w:sz w:val="24"/>
          <w:lang w:val="sl-SI"/>
        </w:rPr>
        <w:footnoteRef/>
      </w:r>
      <w:r w:rsidR="00E651C3" w:rsidRPr="00E651C3">
        <w:rPr>
          <w:sz w:val="24"/>
          <w:lang w:val="sl-SI"/>
        </w:rPr>
        <w:t xml:space="preserve"> </w:t>
      </w:r>
      <w:r w:rsidR="00E651C3" w:rsidRPr="00E651C3">
        <w:rPr>
          <w:sz w:val="24"/>
          <w:lang w:val="sl-SI"/>
        </w:rPr>
        <w:tab/>
      </w:r>
      <w:r w:rsidRPr="00E651C3">
        <w:rPr>
          <w:sz w:val="24"/>
          <w:lang w:val="sl-SI"/>
        </w:rPr>
        <w:t>UL L 132, 29.5.2010, str. 11.</w:t>
      </w:r>
    </w:p>
  </w:footnote>
  <w:footnote w:id="11">
    <w:p w:rsidR="003D46E8" w:rsidRPr="00E651C3" w:rsidRDefault="003D46E8" w:rsidP="00E651C3">
      <w:pPr>
        <w:pStyle w:val="FootnoteText"/>
        <w:ind w:left="567" w:hanging="567"/>
        <w:rPr>
          <w:sz w:val="24"/>
          <w:lang w:val="sl-SI"/>
        </w:rPr>
      </w:pPr>
      <w:r w:rsidRPr="00E651C3">
        <w:rPr>
          <w:rStyle w:val="FootnoteReference"/>
          <w:sz w:val="24"/>
          <w:lang w:val="sl-SI"/>
        </w:rPr>
        <w:footnoteRef/>
      </w:r>
      <w:r w:rsidR="00E651C3" w:rsidRPr="00E651C3">
        <w:rPr>
          <w:sz w:val="24"/>
          <w:lang w:val="sl-SI"/>
        </w:rPr>
        <w:t xml:space="preserve"> </w:t>
      </w:r>
      <w:r w:rsidR="00E651C3" w:rsidRPr="00E651C3">
        <w:rPr>
          <w:sz w:val="24"/>
          <w:lang w:val="sl-SI"/>
        </w:rPr>
        <w:tab/>
      </w:r>
      <w:r w:rsidRPr="00E651C3">
        <w:rPr>
          <w:sz w:val="24"/>
          <w:lang w:val="sl-SI"/>
        </w:rPr>
        <w:t>UL L 468, 30.12.2021, str. 1.</w:t>
      </w:r>
    </w:p>
  </w:footnote>
  <w:footnote w:id="12">
    <w:p w:rsidR="003D46E8" w:rsidRPr="00E651C3" w:rsidRDefault="003D46E8" w:rsidP="00E651C3">
      <w:pPr>
        <w:pStyle w:val="FootnoteText"/>
        <w:ind w:left="567" w:hanging="567"/>
        <w:rPr>
          <w:sz w:val="24"/>
          <w:szCs w:val="24"/>
          <w:lang w:val="sl-SI"/>
        </w:rPr>
      </w:pPr>
      <w:r w:rsidRPr="00E651C3">
        <w:rPr>
          <w:rStyle w:val="FootnoteReference"/>
          <w:sz w:val="24"/>
          <w:lang w:val="sl-SI"/>
        </w:rPr>
        <w:footnoteRef/>
      </w:r>
      <w:r w:rsidR="00E651C3" w:rsidRPr="00E651C3">
        <w:rPr>
          <w:sz w:val="24"/>
          <w:lang w:val="sl-SI"/>
        </w:rPr>
        <w:t xml:space="preserve"> </w:t>
      </w:r>
      <w:r w:rsidR="00E651C3" w:rsidRPr="00E651C3">
        <w:rPr>
          <w:sz w:val="24"/>
          <w:lang w:val="sl-SI"/>
        </w:rPr>
        <w:tab/>
      </w:r>
      <w:r w:rsidRPr="00E651C3">
        <w:rPr>
          <w:sz w:val="24"/>
          <w:lang w:val="sl-SI"/>
        </w:rPr>
        <w:t>UL L 122, 10.5.2019, str. 1.</w:t>
      </w:r>
    </w:p>
  </w:footnote>
  <w:footnote w:id="13">
    <w:p w:rsidR="003D46E8" w:rsidRPr="00E651C3" w:rsidRDefault="003D46E8" w:rsidP="00E651C3">
      <w:pPr>
        <w:pStyle w:val="FootnoteText"/>
        <w:ind w:left="567" w:hanging="567"/>
        <w:rPr>
          <w:sz w:val="24"/>
          <w:lang w:val="sl-SI"/>
        </w:rPr>
      </w:pPr>
      <w:r w:rsidRPr="00E651C3">
        <w:rPr>
          <w:sz w:val="24"/>
          <w:vertAlign w:val="superscript"/>
          <w:lang w:val="sl-SI"/>
        </w:rPr>
        <w:footnoteRef/>
      </w:r>
      <w:r w:rsidR="00E651C3" w:rsidRPr="00E651C3">
        <w:rPr>
          <w:sz w:val="24"/>
          <w:lang w:val="sl-SI"/>
        </w:rPr>
        <w:t xml:space="preserve"> </w:t>
      </w:r>
      <w:r w:rsidR="00E651C3" w:rsidRPr="00E651C3">
        <w:rPr>
          <w:sz w:val="24"/>
          <w:lang w:val="sl-SI"/>
        </w:rPr>
        <w:tab/>
      </w:r>
      <w:r w:rsidRPr="00E651C3">
        <w:rPr>
          <w:sz w:val="24"/>
          <w:lang w:val="sl-SI"/>
        </w:rPr>
        <w:t>UL C 38, 31.1.2023, str. 180.</w:t>
      </w:r>
    </w:p>
  </w:footnote>
  <w:footnote w:id="14">
    <w:p w:rsidR="003D46E8" w:rsidRPr="00E651C3" w:rsidRDefault="003D46E8" w:rsidP="00A94794">
      <w:pPr>
        <w:pStyle w:val="FootnoteText"/>
        <w:ind w:left="567" w:hanging="567"/>
        <w:rPr>
          <w:sz w:val="24"/>
          <w:lang w:val="sl-SI"/>
        </w:rPr>
      </w:pPr>
      <w:r w:rsidRPr="00E651C3">
        <w:rPr>
          <w:rStyle w:val="FootnoteReference"/>
          <w:sz w:val="24"/>
          <w:lang w:val="sl-SI"/>
        </w:rPr>
        <w:footnoteRef/>
      </w:r>
      <w:r w:rsidR="00E651C3" w:rsidRPr="00E651C3">
        <w:rPr>
          <w:sz w:val="24"/>
          <w:lang w:val="sl-SI"/>
        </w:rPr>
        <w:t xml:space="preserve"> </w:t>
      </w:r>
      <w:r w:rsidR="00E651C3" w:rsidRPr="00E651C3">
        <w:rPr>
          <w:sz w:val="24"/>
          <w:lang w:val="sl-SI"/>
        </w:rPr>
        <w:tab/>
      </w:r>
      <w:r w:rsidRPr="00E651C3">
        <w:rPr>
          <w:sz w:val="24"/>
          <w:lang w:val="sl-SI"/>
        </w:rPr>
        <w:t>Sprejeta besedila, P9_TA(2024)0</w:t>
      </w:r>
      <w:r w:rsidR="00A94794">
        <w:rPr>
          <w:sz w:val="24"/>
          <w:lang w:val="sl-SI"/>
        </w:rPr>
        <w:t>280</w:t>
      </w:r>
      <w:r w:rsidRPr="00E651C3">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51C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51C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51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6/2024"/>
    <w:docVar w:name="dvlangue" w:val="SL"/>
    <w:docVar w:name="dvnumam" w:val="0"/>
    <w:docVar w:name="dvpe" w:val="753.532"/>
    <w:docVar w:name="dvrapporteur" w:val="Poročevalec: "/>
    <w:docVar w:name="dvtitre" w:val="1. Sklep Evropskega parlamenta z dne 11. aprila 2024 o razrešnici glede izvrševanja proračuna Agencije Evropske unije za azil (pred 19. januarjem 2022 Evropski azilni podporni urad) za proračunsko leto 2022(2023/2164(DEC))"/>
  </w:docVars>
  <w:rsids>
    <w:rsidRoot w:val="00E42824"/>
    <w:rsid w:val="00002272"/>
    <w:rsid w:val="00064002"/>
    <w:rsid w:val="000677B9"/>
    <w:rsid w:val="000831BA"/>
    <w:rsid w:val="000A42CC"/>
    <w:rsid w:val="000E7DD9"/>
    <w:rsid w:val="0010095E"/>
    <w:rsid w:val="00125B37"/>
    <w:rsid w:val="00187494"/>
    <w:rsid w:val="001F32AE"/>
    <w:rsid w:val="002767FF"/>
    <w:rsid w:val="002B18FE"/>
    <w:rsid w:val="002B5493"/>
    <w:rsid w:val="00322A09"/>
    <w:rsid w:val="00343214"/>
    <w:rsid w:val="00361C00"/>
    <w:rsid w:val="00395FA1"/>
    <w:rsid w:val="003D46E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3C8B"/>
    <w:rsid w:val="00881A7B"/>
    <w:rsid w:val="008840E5"/>
    <w:rsid w:val="00887B3E"/>
    <w:rsid w:val="008C2AC6"/>
    <w:rsid w:val="00930C23"/>
    <w:rsid w:val="0093193B"/>
    <w:rsid w:val="009509D8"/>
    <w:rsid w:val="00950B64"/>
    <w:rsid w:val="00981893"/>
    <w:rsid w:val="00A1687D"/>
    <w:rsid w:val="00A43E52"/>
    <w:rsid w:val="00A4678D"/>
    <w:rsid w:val="00A778C7"/>
    <w:rsid w:val="00A94794"/>
    <w:rsid w:val="00AB441E"/>
    <w:rsid w:val="00AB6293"/>
    <w:rsid w:val="00AE0928"/>
    <w:rsid w:val="00AF3B82"/>
    <w:rsid w:val="00B12E95"/>
    <w:rsid w:val="00B20BCE"/>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2824"/>
    <w:rsid w:val="00E651C3"/>
    <w:rsid w:val="00E820A4"/>
    <w:rsid w:val="00EB006A"/>
    <w:rsid w:val="00EB4772"/>
    <w:rsid w:val="00ED169E"/>
    <w:rsid w:val="00ED4235"/>
    <w:rsid w:val="00F04346"/>
    <w:rsid w:val="00F075DC"/>
    <w:rsid w:val="00F149E9"/>
    <w:rsid w:val="00F330E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4462C3"/>
  <w15:chartTrackingRefBased/>
  <w15:docId w15:val="{3947AFF7-1992-46BB-A10A-FB9300F62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D46E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D46E8"/>
    <w:pPr>
      <w:spacing w:before="480" w:after="240"/>
    </w:pPr>
  </w:style>
  <w:style w:type="paragraph" w:customStyle="1" w:styleId="PageHeading">
    <w:name w:val="PageHeading"/>
    <w:basedOn w:val="Normal"/>
    <w:rsid w:val="003D46E8"/>
    <w:pPr>
      <w:keepNext/>
      <w:spacing w:after="480"/>
      <w:jc w:val="center"/>
    </w:pPr>
    <w:rPr>
      <w:rFonts w:ascii="Arial" w:hAnsi="Arial" w:cs="Arial"/>
      <w:b/>
    </w:rPr>
  </w:style>
  <w:style w:type="paragraph" w:customStyle="1" w:styleId="NormalBold">
    <w:name w:val="NormalBold"/>
    <w:basedOn w:val="Normal"/>
    <w:rsid w:val="003D46E8"/>
    <w:rPr>
      <w:b/>
    </w:rPr>
  </w:style>
  <w:style w:type="paragraph" w:customStyle="1" w:styleId="NormalHanging12a">
    <w:name w:val="NormalHanging12a"/>
    <w:basedOn w:val="Normal"/>
    <w:link w:val="NormalHanging12aChar"/>
    <w:rsid w:val="003D46E8"/>
    <w:pPr>
      <w:spacing w:after="240"/>
      <w:ind w:left="567" w:hanging="567"/>
    </w:pPr>
  </w:style>
  <w:style w:type="paragraph" w:customStyle="1" w:styleId="NormalCenter12a">
    <w:name w:val="NormalCenter12a"/>
    <w:basedOn w:val="Normal"/>
    <w:rsid w:val="003D46E8"/>
    <w:pPr>
      <w:spacing w:after="240"/>
      <w:jc w:val="center"/>
    </w:pPr>
  </w:style>
  <w:style w:type="paragraph" w:styleId="Header">
    <w:name w:val="header"/>
    <w:basedOn w:val="Normal"/>
    <w:link w:val="HeaderChar"/>
    <w:rsid w:val="003D46E8"/>
    <w:pPr>
      <w:tabs>
        <w:tab w:val="center" w:pos="4513"/>
        <w:tab w:val="right" w:pos="9026"/>
      </w:tabs>
    </w:pPr>
  </w:style>
  <w:style w:type="character" w:customStyle="1" w:styleId="HeaderChar">
    <w:name w:val="Header Char"/>
    <w:basedOn w:val="DefaultParagraphFont"/>
    <w:link w:val="Header"/>
    <w:rsid w:val="003D46E8"/>
    <w:rPr>
      <w:sz w:val="24"/>
      <w:lang w:val="sl-SI"/>
    </w:rPr>
  </w:style>
  <w:style w:type="paragraph" w:customStyle="1" w:styleId="EPFooter">
    <w:name w:val="EPFooter"/>
    <w:basedOn w:val="Normal"/>
    <w:rsid w:val="003D46E8"/>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3D46E8"/>
    <w:rPr>
      <w:sz w:val="24"/>
      <w:lang w:val="sl-SI"/>
    </w:rPr>
  </w:style>
  <w:style w:type="character" w:customStyle="1" w:styleId="Normal12HangingChar">
    <w:name w:val="Normal12Hanging Char"/>
    <w:link w:val="Normal12Hanging"/>
    <w:locked/>
    <w:rsid w:val="003D46E8"/>
    <w:rPr>
      <w:sz w:val="24"/>
    </w:rPr>
  </w:style>
  <w:style w:type="paragraph" w:customStyle="1" w:styleId="Normal12Hanging">
    <w:name w:val="Normal12Hanging"/>
    <w:basedOn w:val="Normal"/>
    <w:link w:val="Normal12HangingChar"/>
    <w:rsid w:val="003D46E8"/>
    <w:pPr>
      <w:spacing w:after="240"/>
      <w:ind w:left="567" w:hanging="567"/>
    </w:pPr>
    <w:rPr>
      <w:lang w:val="en-GB"/>
    </w:rPr>
  </w:style>
  <w:style w:type="paragraph" w:styleId="Footer">
    <w:name w:val="footer"/>
    <w:basedOn w:val="Normal"/>
    <w:link w:val="FooterChar"/>
    <w:rsid w:val="00B20BCE"/>
    <w:pPr>
      <w:tabs>
        <w:tab w:val="center" w:pos="4513"/>
        <w:tab w:val="right" w:pos="9026"/>
      </w:tabs>
    </w:pPr>
  </w:style>
  <w:style w:type="character" w:customStyle="1" w:styleId="FooterChar">
    <w:name w:val="Footer Char"/>
    <w:basedOn w:val="DefaultParagraphFont"/>
    <w:link w:val="Footer"/>
    <w:rsid w:val="00B20BCE"/>
    <w:rPr>
      <w:sz w:val="24"/>
      <w:lang w:val="sl-SI"/>
    </w:rPr>
  </w:style>
  <w:style w:type="paragraph" w:styleId="BalloonText">
    <w:name w:val="Balloon Text"/>
    <w:basedOn w:val="Normal"/>
    <w:link w:val="BalloonTextChar"/>
    <w:rsid w:val="00873C8B"/>
    <w:rPr>
      <w:rFonts w:ascii="Segoe UI" w:hAnsi="Segoe UI" w:cs="Segoe UI"/>
      <w:sz w:val="18"/>
      <w:szCs w:val="18"/>
    </w:rPr>
  </w:style>
  <w:style w:type="character" w:customStyle="1" w:styleId="BalloonTextChar">
    <w:name w:val="Balloon Text Char"/>
    <w:basedOn w:val="DefaultParagraphFont"/>
    <w:link w:val="BalloonText"/>
    <w:rsid w:val="00873C8B"/>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2691F-20CF-4D1A-AEC1-38FDE39F7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5157</Words>
  <Characters>30423</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2024-05-21T12:29:00Z</dcterms:created>
  <dcterms:modified xsi:type="dcterms:W3CDTF">2024-05-21T12:29:00Z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P9_TA(2024)0268_</vt:lpwstr>
  </property>
  <property fmtid="{D5CDD505-2E9C-101B-9397-08002B2CF9AE}" pid="4" name="&lt;Type&gt;">
    <vt:lpwstr>RR</vt:lpwstr>
  </property>
</Properties>
</file>