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CF0" w:rsidTr="0010095E">
        <w:trPr>
          <w:trHeight w:hRule="exact" w:val="1418"/>
        </w:trPr>
        <w:tc>
          <w:tcPr>
            <w:tcW w:w="6804" w:type="dxa"/>
            <w:shd w:val="clear" w:color="auto" w:fill="auto"/>
            <w:vAlign w:val="center"/>
          </w:tcPr>
          <w:p w:rsidR="00751A4A" w:rsidRPr="001D6CF0" w:rsidRDefault="002C11FE" w:rsidP="0010095E">
            <w:pPr>
              <w:pStyle w:val="EPName"/>
            </w:pPr>
            <w:r w:rsidRPr="001D6CF0">
              <w:t>Europaparlamentet</w:t>
            </w:r>
          </w:p>
          <w:p w:rsidR="00751A4A" w:rsidRPr="001D6CF0" w:rsidRDefault="00817416" w:rsidP="00756632">
            <w:pPr>
              <w:pStyle w:val="EPTerm"/>
              <w:rPr>
                <w:rStyle w:val="HideTWBExt"/>
                <w:noProof w:val="0"/>
                <w:vanish w:val="0"/>
                <w:color w:val="auto"/>
              </w:rPr>
            </w:pPr>
            <w:r w:rsidRPr="001D6CF0">
              <w:t>2019-2024</w:t>
            </w:r>
          </w:p>
        </w:tc>
        <w:tc>
          <w:tcPr>
            <w:tcW w:w="2268" w:type="dxa"/>
            <w:shd w:val="clear" w:color="auto" w:fill="auto"/>
          </w:tcPr>
          <w:p w:rsidR="00751A4A" w:rsidRPr="001D6CF0" w:rsidRDefault="00187494" w:rsidP="0010095E">
            <w:pPr>
              <w:pStyle w:val="EPLogo"/>
            </w:pPr>
            <w:r w:rsidRPr="001D6C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6CF0" w:rsidRDefault="00D058B8" w:rsidP="004C5D52">
      <w:pPr>
        <w:pStyle w:val="LineTop"/>
      </w:pPr>
    </w:p>
    <w:p w:rsidR="00680577" w:rsidRPr="001D6CF0" w:rsidRDefault="002C11FE" w:rsidP="00680577">
      <w:pPr>
        <w:pStyle w:val="EPBodyTA1"/>
      </w:pPr>
      <w:r w:rsidRPr="001D6CF0">
        <w:t>ANTAGNA TEXTER</w:t>
      </w:r>
    </w:p>
    <w:p w:rsidR="00D058B8" w:rsidRPr="001D6CF0" w:rsidRDefault="00D058B8" w:rsidP="00D058B8">
      <w:pPr>
        <w:pStyle w:val="LineBottom"/>
      </w:pPr>
    </w:p>
    <w:p w:rsidR="002C11FE" w:rsidRPr="001D6CF0" w:rsidRDefault="002C11FE" w:rsidP="002C11FE">
      <w:pPr>
        <w:pStyle w:val="ATHeading1"/>
      </w:pPr>
      <w:bookmarkStart w:id="0" w:name="TANumber"/>
      <w:r w:rsidRPr="001D6CF0">
        <w:t>P9_TA(2024)0</w:t>
      </w:r>
      <w:bookmarkEnd w:id="0"/>
      <w:r w:rsidR="001D6CF0" w:rsidRPr="001D6CF0">
        <w:t>268</w:t>
      </w:r>
    </w:p>
    <w:p w:rsidR="002C11FE" w:rsidRPr="001D6CF0" w:rsidRDefault="002C11FE" w:rsidP="002C11FE">
      <w:pPr>
        <w:pStyle w:val="ATHeading2"/>
      </w:pPr>
      <w:bookmarkStart w:id="1" w:name="title"/>
      <w:r w:rsidRPr="001D6CF0">
        <w:t>Ansvarsfrihet 2022: Europeiska unionens asylbyrå (före 19.1.2022 Europeiska stödkontoret för asylfrågor)</w:t>
      </w:r>
      <w:bookmarkEnd w:id="1"/>
    </w:p>
    <w:p w:rsidR="002C11FE" w:rsidRPr="001D6CF0" w:rsidRDefault="002C11FE" w:rsidP="002C11FE">
      <w:pPr>
        <w:rPr>
          <w:i/>
          <w:vanish/>
        </w:rPr>
      </w:pPr>
      <w:r w:rsidRPr="001D6CF0">
        <w:rPr>
          <w:i/>
        </w:rPr>
        <w:fldChar w:fldCharType="begin"/>
      </w:r>
      <w:r w:rsidRPr="001D6CF0">
        <w:rPr>
          <w:i/>
        </w:rPr>
        <w:instrText xml:space="preserve"> TC"(</w:instrText>
      </w:r>
      <w:bookmarkStart w:id="2" w:name="DocNumber"/>
      <w:r w:rsidRPr="001D6CF0">
        <w:rPr>
          <w:i/>
        </w:rPr>
        <w:instrText>A9-0106/2024</w:instrText>
      </w:r>
      <w:bookmarkEnd w:id="2"/>
      <w:r w:rsidRPr="001D6CF0">
        <w:rPr>
          <w:i/>
        </w:rPr>
        <w:instrText xml:space="preserve"> - Föredragande: Petri Sarvamaa)"\l3 \n&gt; \* MERGEFORMAT </w:instrText>
      </w:r>
      <w:r w:rsidRPr="001D6CF0">
        <w:rPr>
          <w:i/>
        </w:rPr>
        <w:fldChar w:fldCharType="end"/>
      </w:r>
    </w:p>
    <w:p w:rsidR="002C11FE" w:rsidRPr="001D6CF0" w:rsidRDefault="002C11FE" w:rsidP="002C11FE">
      <w:pPr>
        <w:rPr>
          <w:vanish/>
        </w:rPr>
      </w:pPr>
      <w:bookmarkStart w:id="3" w:name="Commission"/>
      <w:r w:rsidRPr="001D6CF0">
        <w:rPr>
          <w:vanish/>
        </w:rPr>
        <w:t>Budgetkontrollutskottet</w:t>
      </w:r>
      <w:bookmarkEnd w:id="3"/>
    </w:p>
    <w:p w:rsidR="002C11FE" w:rsidRPr="001D6CF0" w:rsidRDefault="002C11FE" w:rsidP="002C11FE">
      <w:pPr>
        <w:rPr>
          <w:vanish/>
        </w:rPr>
      </w:pPr>
      <w:bookmarkStart w:id="4" w:name="PE"/>
      <w:r w:rsidRPr="001D6CF0">
        <w:rPr>
          <w:vanish/>
        </w:rPr>
        <w:t>PE753.532</w:t>
      </w:r>
      <w:bookmarkEnd w:id="4"/>
    </w:p>
    <w:p w:rsidR="002C11FE" w:rsidRPr="001D6CF0" w:rsidRDefault="00C0023F" w:rsidP="002C11FE">
      <w:pPr>
        <w:pStyle w:val="ATHeading3"/>
      </w:pPr>
      <w:bookmarkStart w:id="5" w:name="Sujet"/>
      <w:r w:rsidRPr="001D6CF0">
        <w:t>1. E</w:t>
      </w:r>
      <w:r w:rsidR="002C11FE" w:rsidRPr="001D6CF0">
        <w:t>uropa</w:t>
      </w:r>
      <w:r w:rsidRPr="001D6CF0">
        <w:t>parlamentets beslut av den 11 april</w:t>
      </w:r>
      <w:r w:rsidR="002C11FE" w:rsidRPr="001D6CF0">
        <w:t xml:space="preserve"> 2024 om ansvarsfrihet för genomförandet av budgeten för Europeiska unionens asylbyrå (före 19.1.2022: Europeiska stödkontoret för asylfrågor) för budgetåret 2022</w:t>
      </w:r>
      <w:bookmarkEnd w:id="5"/>
      <w:r w:rsidR="002C11FE" w:rsidRPr="001D6CF0">
        <w:t xml:space="preserve"> </w:t>
      </w:r>
      <w:bookmarkStart w:id="6" w:name="References"/>
      <w:r w:rsidR="002C11FE" w:rsidRPr="001D6CF0">
        <w:t>(2023/2164(DEC))</w:t>
      </w:r>
      <w:bookmarkEnd w:id="6"/>
    </w:p>
    <w:p w:rsidR="00CD0D7A" w:rsidRPr="001D6CF0" w:rsidRDefault="00CD0D7A" w:rsidP="00CD0D7A">
      <w:pPr>
        <w:pStyle w:val="EPComma"/>
        <w:widowControl/>
      </w:pPr>
      <w:r w:rsidRPr="001D6CF0">
        <w:rPr>
          <w:i/>
        </w:rPr>
        <w:t>Europaparlamentet fattar detta beslut</w:t>
      </w:r>
    </w:p>
    <w:p w:rsidR="00CD0D7A" w:rsidRPr="001D6CF0" w:rsidRDefault="00CD0D7A" w:rsidP="00CD0D7A">
      <w:pPr>
        <w:pStyle w:val="NormalHanging12a"/>
        <w:widowControl/>
      </w:pPr>
      <w:r w:rsidRPr="001D6CF0">
        <w:t>–</w:t>
      </w:r>
      <w:r w:rsidRPr="001D6CF0">
        <w:tab/>
        <w:t>med beaktande av den slutliga årsredovisningen för Europeiska unionens asylbyrå för budgetåret 2022,</w:t>
      </w:r>
    </w:p>
    <w:p w:rsidR="00CD0D7A" w:rsidRPr="001D6CF0" w:rsidRDefault="00CD0D7A" w:rsidP="00CD0D7A">
      <w:pPr>
        <w:pStyle w:val="NormalHanging12a"/>
        <w:widowControl/>
      </w:pPr>
      <w:r w:rsidRPr="001D6CF0">
        <w:t>–</w:t>
      </w:r>
      <w:r w:rsidRPr="001D6CF0">
        <w:tab/>
        <w:t>med beaktande av revisionsrättens årsrapport om EU:s byråer för budgetåret 2022, med byråernas svar</w:t>
      </w:r>
      <w:r w:rsidRPr="001D6CF0">
        <w:rPr>
          <w:rStyle w:val="FootnoteReference"/>
        </w:rPr>
        <w:footnoteReference w:id="1"/>
      </w:r>
      <w:r w:rsidRPr="001D6CF0">
        <w:t>,</w:t>
      </w:r>
    </w:p>
    <w:p w:rsidR="00CD0D7A" w:rsidRPr="001D6CF0" w:rsidRDefault="00CD0D7A" w:rsidP="00CD0D7A">
      <w:pPr>
        <w:pStyle w:val="NormalHanging12a"/>
        <w:widowControl/>
      </w:pPr>
      <w:r w:rsidRPr="001D6CF0">
        <w:t>–</w:t>
      </w:r>
      <w:r w:rsidRPr="001D6CF0">
        <w:tab/>
        <w:t>med beaktande av förklaringen om räkenskapernas tillförlitlighet och de underliggande transaktionernas laglighet och korrekthet</w:t>
      </w:r>
      <w:r w:rsidRPr="001D6CF0">
        <w:rPr>
          <w:rStyle w:val="FootnoteReference"/>
        </w:rPr>
        <w:footnoteReference w:id="2"/>
      </w:r>
      <w:r w:rsidRPr="001D6CF0">
        <w:t>, som avgetts av revisionsrätten för budgetåret 2022 i enlighet med artikel 287 i fördraget om Europeiska unionens funktionssätt,</w:t>
      </w:r>
    </w:p>
    <w:p w:rsidR="00CD0D7A" w:rsidRPr="001D6CF0" w:rsidRDefault="00CD0D7A" w:rsidP="00CD0D7A">
      <w:pPr>
        <w:pStyle w:val="NormalHanging12a"/>
        <w:widowControl/>
      </w:pPr>
      <w:r w:rsidRPr="001D6CF0">
        <w:t>–</w:t>
      </w:r>
      <w:r w:rsidRPr="001D6CF0">
        <w:tab/>
        <w:t>med beaktande av rådets rekommendation av den 22 februari 2024 om att bevilja byrån ansvarsfrihet för genomförandet av budgeten för budgetåret 2022 (</w:t>
      </w:r>
      <w:r w:rsidR="005C4CDC" w:rsidRPr="001D6CF0">
        <w:t>06180</w:t>
      </w:r>
      <w:r w:rsidRPr="001D6CF0">
        <w:t>/2024 – C9</w:t>
      </w:r>
      <w:r w:rsidRPr="001D6CF0">
        <w:noBreakHyphen/>
      </w:r>
      <w:r w:rsidR="005C4CDC" w:rsidRPr="001D6CF0">
        <w:t>0102</w:t>
      </w:r>
      <w:r w:rsidRPr="001D6CF0">
        <w:t>/2024),</w:t>
      </w:r>
    </w:p>
    <w:p w:rsidR="00CD0D7A" w:rsidRPr="001D6CF0" w:rsidRDefault="00CD0D7A" w:rsidP="00CD0D7A">
      <w:pPr>
        <w:pStyle w:val="NormalHanging12a"/>
        <w:widowControl/>
      </w:pPr>
      <w:r w:rsidRPr="001D6CF0">
        <w:t>–</w:t>
      </w:r>
      <w:r w:rsidRPr="001D6CF0">
        <w:tab/>
        <w:t>med beaktande av artikel 319 i fördraget om Europeiska unionens funktionssätt,</w:t>
      </w:r>
    </w:p>
    <w:p w:rsidR="00CD0D7A" w:rsidRPr="001D6CF0" w:rsidRDefault="00CD0D7A" w:rsidP="00CD0D7A">
      <w:pPr>
        <w:pStyle w:val="NormalHanging12a"/>
        <w:widowControl/>
      </w:pPr>
      <w:r w:rsidRPr="001D6CF0">
        <w:t>–</w:t>
      </w:r>
      <w:r w:rsidRPr="001D6CF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D6CF0">
        <w:rPr>
          <w:rStyle w:val="FootnoteReference"/>
        </w:rPr>
        <w:footnoteReference w:id="3"/>
      </w:r>
      <w:r w:rsidRPr="001D6CF0">
        <w:t>, särskilt artikel 70,</w:t>
      </w:r>
    </w:p>
    <w:p w:rsidR="00CD0D7A" w:rsidRPr="001D6CF0" w:rsidRDefault="00CD0D7A" w:rsidP="00CD0D7A">
      <w:pPr>
        <w:pStyle w:val="NormalHanging12a"/>
        <w:widowControl/>
      </w:pPr>
      <w:r w:rsidRPr="001D6CF0">
        <w:lastRenderedPageBreak/>
        <w:t>–</w:t>
      </w:r>
      <w:r w:rsidRPr="001D6CF0">
        <w:tab/>
        <w:t>med beaktande av Europaparlamentets och rådets förordning (EU) nr 439/2010 av den 19 maj 2010 om inrättande av ett europeiskt stödkontor för asylfrågor</w:t>
      </w:r>
      <w:r w:rsidRPr="001D6CF0">
        <w:rPr>
          <w:rStyle w:val="FootnoteReference"/>
        </w:rPr>
        <w:footnoteReference w:id="4"/>
      </w:r>
      <w:r w:rsidRPr="001D6CF0">
        <w:t>, särskilt artikel 36,</w:t>
      </w:r>
    </w:p>
    <w:p w:rsidR="00CD0D7A" w:rsidRPr="001D6CF0" w:rsidRDefault="00CD0D7A" w:rsidP="00CD0D7A">
      <w:pPr>
        <w:pStyle w:val="NormalHanging12a"/>
        <w:widowControl/>
      </w:pPr>
      <w:r w:rsidRPr="001D6CF0">
        <w:t>–</w:t>
      </w:r>
      <w:r w:rsidRPr="001D6CF0">
        <w:tab/>
        <w:t>med beaktande av Europaparlamentets och rådets förordning (EU) 2021/2303 av den 15 december 2021 om Europeiska unionens asylbyrå och om upphävande av förordning (EU) nr 439/2010</w:t>
      </w:r>
      <w:r w:rsidRPr="001D6CF0">
        <w:rPr>
          <w:rStyle w:val="FootnoteReference"/>
        </w:rPr>
        <w:footnoteReference w:id="5"/>
      </w:r>
      <w:r w:rsidRPr="001D6CF0">
        <w:t>, särskilt artikel 55,</w:t>
      </w:r>
    </w:p>
    <w:p w:rsidR="00CD0D7A" w:rsidRPr="001D6CF0" w:rsidRDefault="00CD0D7A" w:rsidP="00CD0D7A">
      <w:pPr>
        <w:pStyle w:val="NormalHanging12a"/>
        <w:widowControl/>
      </w:pPr>
      <w:r w:rsidRPr="001D6CF0">
        <w:t>–</w:t>
      </w:r>
      <w:r w:rsidRPr="001D6CF0">
        <w:tab/>
        <w:t>med beaktande av kommissionens delegerade förordning (EU) 2019/715 av den 18 december 2018 med rambudgetförordning för de organ som inrättats enligt EUF</w:t>
      </w:r>
      <w:r w:rsidRPr="001D6CF0">
        <w:noBreakHyphen/>
        <w:t>fördraget och Euratomfördraget och som avses i artikel 70 i Europaparlamentets och rådets förordning (EU, Euratom) 2018/1046</w:t>
      </w:r>
      <w:r w:rsidRPr="001D6CF0">
        <w:rPr>
          <w:rStyle w:val="FootnoteReference"/>
        </w:rPr>
        <w:footnoteReference w:id="6"/>
      </w:r>
      <w:r w:rsidRPr="001D6CF0">
        <w:t>, särskilt artikel 105,</w:t>
      </w:r>
    </w:p>
    <w:p w:rsidR="00CD0D7A" w:rsidRPr="001D6CF0" w:rsidRDefault="00CD0D7A" w:rsidP="00CD0D7A">
      <w:pPr>
        <w:pStyle w:val="NormalHanging12a"/>
        <w:widowControl/>
      </w:pPr>
      <w:r w:rsidRPr="001D6CF0">
        <w:t>–</w:t>
      </w:r>
      <w:r w:rsidRPr="001D6CF0">
        <w:tab/>
        <w:t>med beaktande av artikel 100 och bilaga V i arbetsordningen,</w:t>
      </w:r>
    </w:p>
    <w:p w:rsidR="00CD0D7A" w:rsidRPr="001D6CF0" w:rsidRDefault="00CD0D7A" w:rsidP="00CD0D7A">
      <w:pPr>
        <w:pStyle w:val="NormalHanging12a"/>
        <w:widowControl/>
      </w:pPr>
      <w:r w:rsidRPr="001D6CF0">
        <w:t>–</w:t>
      </w:r>
      <w:r w:rsidRPr="001D6CF0">
        <w:tab/>
        <w:t>med beaktande av yttrandet från utskottet för medborgerliga fri- och rättigheter samt rättsliga och inrikes frågor,</w:t>
      </w:r>
    </w:p>
    <w:p w:rsidR="00CD0D7A" w:rsidRPr="001D6CF0" w:rsidRDefault="00CD0D7A" w:rsidP="00CD0D7A">
      <w:pPr>
        <w:pStyle w:val="NormalHanging12a"/>
        <w:widowControl/>
      </w:pPr>
      <w:r w:rsidRPr="001D6CF0">
        <w:t>–</w:t>
      </w:r>
      <w:r w:rsidRPr="001D6CF0">
        <w:tab/>
        <w:t>med beaktande av betänkandet från budgetkontrollutskottet (A9-0106/2024).</w:t>
      </w:r>
    </w:p>
    <w:p w:rsidR="00CD0D7A" w:rsidRPr="001D6CF0" w:rsidRDefault="00CD0D7A" w:rsidP="00CD0D7A">
      <w:pPr>
        <w:pStyle w:val="NormalHanging12a"/>
        <w:widowControl/>
      </w:pPr>
      <w:r w:rsidRPr="001D6CF0">
        <w:t>1.</w:t>
      </w:r>
      <w:r w:rsidRPr="001D6CF0">
        <w:tab/>
        <w:t>Europaparlamentet beviljar verkställande direktören för Europeiska unionens asylbyrå ansvarsfrihet för genomförandet av byråns budget för budgetåret 2022.</w:t>
      </w:r>
    </w:p>
    <w:p w:rsidR="00CD0D7A" w:rsidRPr="001D6CF0" w:rsidRDefault="00CD0D7A" w:rsidP="00CD0D7A">
      <w:pPr>
        <w:pStyle w:val="NormalHanging12a"/>
        <w:widowControl/>
      </w:pPr>
      <w:r w:rsidRPr="001D6CF0">
        <w:t>2.</w:t>
      </w:r>
      <w:r w:rsidRPr="001D6CF0">
        <w:tab/>
        <w:t>Europaparlamentet redovisar sina iakttagelser i resolutionen nedan.</w:t>
      </w:r>
    </w:p>
    <w:p w:rsidR="00CD0D7A" w:rsidRPr="001D6CF0" w:rsidRDefault="00CD0D7A" w:rsidP="00CD0D7A">
      <w:pPr>
        <w:pStyle w:val="NormalHanging12a"/>
        <w:widowControl/>
      </w:pPr>
      <w:r w:rsidRPr="001D6CF0">
        <w:t>3.</w:t>
      </w:r>
      <w:r w:rsidRPr="001D6CF0">
        <w:tab/>
        <w:t>Europaparlamentet uppdrar åt talmannen att översända detta beslut och den resolution som utgör en del av beslutet till verkställande direktören för Europeiska unionens asylbyrå, rådet, kommissionen och revisionsrätten, och att se till att de offentliggörs i</w:t>
      </w:r>
      <w:r w:rsidRPr="001D6CF0">
        <w:rPr>
          <w:i/>
        </w:rPr>
        <w:t> Europeiska unionens officiella tidning</w:t>
      </w:r>
      <w:r w:rsidRPr="001D6CF0">
        <w:t xml:space="preserve"> (L-serien).</w:t>
      </w:r>
    </w:p>
    <w:p w:rsidR="00CD0D7A" w:rsidRPr="001D6CF0" w:rsidRDefault="00CD0D7A" w:rsidP="00CD0D7A">
      <w:pPr>
        <w:widowControl/>
      </w:pPr>
    </w:p>
    <w:p w:rsidR="00CD0D7A" w:rsidRPr="001D6CF0" w:rsidRDefault="00CD0D7A" w:rsidP="00CD0D7A">
      <w:pPr>
        <w:widowControl/>
        <w:rPr>
          <w:rFonts w:ascii="Arial" w:hAnsi="Arial" w:cs="Arial"/>
          <w:b/>
        </w:rPr>
        <w:sectPr w:rsidR="00CD0D7A" w:rsidRPr="001D6CF0" w:rsidSect="00B15CB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D0D7A" w:rsidRPr="001D6CF0" w:rsidRDefault="00C0023F" w:rsidP="00C0023F">
      <w:pPr>
        <w:pStyle w:val="ATHeading3"/>
      </w:pPr>
      <w:r w:rsidRPr="001D6CF0">
        <w:lastRenderedPageBreak/>
        <w:t xml:space="preserve">2. Europaparlamentets beslut av den 11 april 2024 </w:t>
      </w:r>
      <w:r w:rsidR="00CD0D7A" w:rsidRPr="001D6CF0">
        <w:t>om avslutande av räkenskaperna för Europeiska unionens asylbyrå (före 19.1.2022: Europeiska stödkontoret för asylfrågor) för budgetåret 2022</w:t>
      </w:r>
      <w:r w:rsidRPr="001D6CF0">
        <w:t xml:space="preserve"> </w:t>
      </w:r>
      <w:r w:rsidR="00CD0D7A" w:rsidRPr="001D6CF0">
        <w:t>(2023/2164(DEC))</w:t>
      </w:r>
    </w:p>
    <w:p w:rsidR="00CD0D7A" w:rsidRPr="001D6CF0" w:rsidRDefault="00CD0D7A" w:rsidP="00CD0D7A">
      <w:pPr>
        <w:pStyle w:val="EPComma"/>
        <w:widowControl/>
      </w:pPr>
      <w:r w:rsidRPr="001D6CF0">
        <w:rPr>
          <w:i/>
        </w:rPr>
        <w:t>Europaparlamentet fattar detta beslut</w:t>
      </w:r>
    </w:p>
    <w:p w:rsidR="00CD0D7A" w:rsidRPr="001D6CF0" w:rsidRDefault="00CD0D7A" w:rsidP="00CD0D7A">
      <w:pPr>
        <w:pStyle w:val="NormalHanging12a"/>
        <w:widowControl/>
      </w:pPr>
      <w:r w:rsidRPr="001D6CF0">
        <w:t>–</w:t>
      </w:r>
      <w:r w:rsidRPr="001D6CF0">
        <w:tab/>
        <w:t>med beaktande av den slutliga årsredovisningen för Europeiska unionens asylbyrå för budgetåret 2022,</w:t>
      </w:r>
    </w:p>
    <w:p w:rsidR="00CD0D7A" w:rsidRPr="001D6CF0" w:rsidRDefault="00CD0D7A" w:rsidP="00CD0D7A">
      <w:pPr>
        <w:pStyle w:val="NormalHanging12a"/>
        <w:widowControl/>
      </w:pPr>
      <w:r w:rsidRPr="001D6CF0">
        <w:t>–</w:t>
      </w:r>
      <w:r w:rsidRPr="001D6CF0">
        <w:tab/>
        <w:t>med beaktande av revisionsrättens årsrapport om EU:s byråer för budgetåret 2022, med byråernas svar</w:t>
      </w:r>
      <w:r w:rsidRPr="001D6CF0">
        <w:rPr>
          <w:rStyle w:val="FootnoteReference"/>
        </w:rPr>
        <w:footnoteReference w:id="7"/>
      </w:r>
      <w:r w:rsidRPr="001D6CF0">
        <w:t>,</w:t>
      </w:r>
    </w:p>
    <w:p w:rsidR="00CD0D7A" w:rsidRPr="001D6CF0" w:rsidRDefault="00CD0D7A" w:rsidP="00CD0D7A">
      <w:pPr>
        <w:pStyle w:val="NormalHanging12a"/>
        <w:widowControl/>
      </w:pPr>
      <w:r w:rsidRPr="001D6CF0">
        <w:t>–</w:t>
      </w:r>
      <w:r w:rsidRPr="001D6CF0">
        <w:tab/>
        <w:t>med beaktande av förklaringen om räkenskapernas tillförlitlighet och de underliggande transaktionernas laglighet och korrekthet</w:t>
      </w:r>
      <w:r w:rsidRPr="001D6CF0">
        <w:rPr>
          <w:rStyle w:val="FootnoteReference"/>
        </w:rPr>
        <w:footnoteReference w:id="8"/>
      </w:r>
      <w:r w:rsidRPr="001D6CF0">
        <w:t>, som avgetts av revisionsrätten för budgetåret 2022 i enlighet med artikel 287 i fördraget om Europeiska unionens funktionssätt,</w:t>
      </w:r>
    </w:p>
    <w:p w:rsidR="00CD0D7A" w:rsidRPr="001D6CF0" w:rsidRDefault="00CD0D7A" w:rsidP="00CD0D7A">
      <w:pPr>
        <w:pStyle w:val="NormalHanging12a"/>
        <w:widowControl/>
      </w:pPr>
      <w:r w:rsidRPr="001D6CF0">
        <w:t>–</w:t>
      </w:r>
      <w:r w:rsidRPr="001D6CF0">
        <w:tab/>
        <w:t>med beaktande av rådets rekommendation av den 22 februari 2024 om att bevilja byrån ansvarsfrihet för genomförandet av budgeten för budgetåret 2022 (</w:t>
      </w:r>
      <w:r w:rsidR="005C4CDC" w:rsidRPr="001D6CF0">
        <w:t>06180</w:t>
      </w:r>
      <w:r w:rsidRPr="001D6CF0">
        <w:t>/2024 – C9</w:t>
      </w:r>
      <w:r w:rsidRPr="001D6CF0">
        <w:noBreakHyphen/>
      </w:r>
      <w:r w:rsidR="005C4CDC" w:rsidRPr="001D6CF0">
        <w:t>0102</w:t>
      </w:r>
      <w:r w:rsidRPr="001D6CF0">
        <w:t>/2024),</w:t>
      </w:r>
    </w:p>
    <w:p w:rsidR="00CD0D7A" w:rsidRPr="001D6CF0" w:rsidRDefault="00CD0D7A" w:rsidP="00CD0D7A">
      <w:pPr>
        <w:pStyle w:val="NormalHanging12a"/>
        <w:widowControl/>
      </w:pPr>
      <w:r w:rsidRPr="001D6CF0">
        <w:t>–</w:t>
      </w:r>
      <w:r w:rsidRPr="001D6CF0">
        <w:tab/>
        <w:t>med beaktande av artikel 319 i fördraget om Europeiska unionens funktionssätt,</w:t>
      </w:r>
    </w:p>
    <w:p w:rsidR="00CD0D7A" w:rsidRPr="001D6CF0" w:rsidRDefault="00CD0D7A" w:rsidP="00CD0D7A">
      <w:pPr>
        <w:pStyle w:val="NormalHanging12a"/>
        <w:widowControl/>
      </w:pPr>
      <w:r w:rsidRPr="001D6CF0">
        <w:t>–</w:t>
      </w:r>
      <w:r w:rsidRPr="001D6CF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D6CF0">
        <w:rPr>
          <w:rStyle w:val="FootnoteReference"/>
        </w:rPr>
        <w:footnoteReference w:id="9"/>
      </w:r>
      <w:r w:rsidRPr="001D6CF0">
        <w:t>, särskilt artikel 70,</w:t>
      </w:r>
    </w:p>
    <w:p w:rsidR="00CD0D7A" w:rsidRPr="001D6CF0" w:rsidRDefault="00CD0D7A" w:rsidP="00CD0D7A">
      <w:pPr>
        <w:pStyle w:val="NormalHanging12a"/>
        <w:widowControl/>
      </w:pPr>
      <w:r w:rsidRPr="001D6CF0">
        <w:t>–</w:t>
      </w:r>
      <w:r w:rsidRPr="001D6CF0">
        <w:tab/>
        <w:t>med beaktande av Europaparlamentets och rådets förordning (EU) nr 439/2010 av den 19 maj 2010 om inrättande av ett europeiskt stödkontor för asylfrågor</w:t>
      </w:r>
      <w:r w:rsidRPr="001D6CF0">
        <w:rPr>
          <w:rStyle w:val="FootnoteReference"/>
        </w:rPr>
        <w:footnoteReference w:id="10"/>
      </w:r>
      <w:r w:rsidRPr="001D6CF0">
        <w:t>, särskilt artikel 36,</w:t>
      </w:r>
    </w:p>
    <w:p w:rsidR="00CD0D7A" w:rsidRPr="001D6CF0" w:rsidRDefault="00CD0D7A" w:rsidP="00CD0D7A">
      <w:pPr>
        <w:pStyle w:val="NormalHanging12a"/>
        <w:widowControl/>
      </w:pPr>
      <w:r w:rsidRPr="001D6CF0">
        <w:t>–</w:t>
      </w:r>
      <w:r w:rsidRPr="001D6CF0">
        <w:tab/>
        <w:t>med beaktande av Europaparlamentets och rådets förordning (EU) 2021/2303 av den 15 december 2021 om Europeiska unionens asylbyrå och om upphävande av förordning (EU) nr 439/2010</w:t>
      </w:r>
      <w:r w:rsidRPr="001D6CF0">
        <w:rPr>
          <w:rStyle w:val="FootnoteReference"/>
        </w:rPr>
        <w:footnoteReference w:id="11"/>
      </w:r>
      <w:r w:rsidRPr="001D6CF0">
        <w:t>, särskilt artikel 55,</w:t>
      </w:r>
    </w:p>
    <w:p w:rsidR="00CD0D7A" w:rsidRPr="001D6CF0" w:rsidRDefault="00CD0D7A" w:rsidP="00CD0D7A">
      <w:pPr>
        <w:pStyle w:val="NormalHanging12a"/>
        <w:widowControl/>
      </w:pPr>
      <w:r w:rsidRPr="001D6CF0">
        <w:t>–</w:t>
      </w:r>
      <w:r w:rsidRPr="001D6CF0">
        <w:tab/>
        <w:t>med beaktande av kommissionens delegerade förordning (EU) 2019/715 av den 18 december 2018 med rambudgetförordning för de organ som inrättats enligt EUF</w:t>
      </w:r>
      <w:r w:rsidRPr="001D6CF0">
        <w:noBreakHyphen/>
        <w:t>fördraget och Euratomfördraget och som avses i artikel 70 i Europaparlamentets och rådets förordning (EU, Euratom) 2018/1046</w:t>
      </w:r>
      <w:r w:rsidRPr="001D6CF0">
        <w:rPr>
          <w:rStyle w:val="FootnoteReference"/>
        </w:rPr>
        <w:footnoteReference w:id="12"/>
      </w:r>
      <w:r w:rsidRPr="001D6CF0">
        <w:t>, särskilt artikel 105,</w:t>
      </w:r>
    </w:p>
    <w:p w:rsidR="00CD0D7A" w:rsidRPr="001D6CF0" w:rsidRDefault="00CD0D7A" w:rsidP="00CD0D7A">
      <w:pPr>
        <w:pStyle w:val="NormalHanging12a"/>
        <w:widowControl/>
      </w:pPr>
      <w:r w:rsidRPr="001D6CF0">
        <w:t>–</w:t>
      </w:r>
      <w:r w:rsidRPr="001D6CF0">
        <w:tab/>
        <w:t>med beaktande av artikel 100 och bilaga V i arbetsordningen,</w:t>
      </w:r>
    </w:p>
    <w:p w:rsidR="00CD0D7A" w:rsidRPr="001D6CF0" w:rsidRDefault="00CD0D7A" w:rsidP="00CD0D7A">
      <w:pPr>
        <w:pStyle w:val="NormalHanging12a"/>
        <w:widowControl/>
      </w:pPr>
      <w:r w:rsidRPr="001D6CF0">
        <w:t>–</w:t>
      </w:r>
      <w:r w:rsidRPr="001D6CF0">
        <w:tab/>
        <w:t>med beaktande av yttrandet från utskottet för medborgerliga fri- och rättigheter samt rättsliga och inrikes frågor,</w:t>
      </w:r>
    </w:p>
    <w:p w:rsidR="00CD0D7A" w:rsidRPr="001D6CF0" w:rsidRDefault="00CD0D7A" w:rsidP="00CD0D7A">
      <w:pPr>
        <w:pStyle w:val="NormalHanging12a"/>
        <w:widowControl/>
      </w:pPr>
      <w:r w:rsidRPr="001D6CF0">
        <w:t>–</w:t>
      </w:r>
      <w:r w:rsidRPr="001D6CF0">
        <w:tab/>
        <w:t>med beaktande av betänkandet från budgetkontrollutskottet (A9-0106/2024).</w:t>
      </w:r>
    </w:p>
    <w:p w:rsidR="00CD0D7A" w:rsidRPr="001D6CF0" w:rsidRDefault="00CD0D7A" w:rsidP="00CD0D7A">
      <w:pPr>
        <w:pStyle w:val="NormalHanging12a"/>
        <w:widowControl/>
      </w:pPr>
      <w:r w:rsidRPr="001D6CF0">
        <w:t>1.</w:t>
      </w:r>
      <w:r w:rsidRPr="001D6CF0">
        <w:tab/>
        <w:t>Europaparlamentet godkänner avslutandet av räkenskaperna för Europeiska unionens asylbyrå för budgetåret 2022.</w:t>
      </w:r>
    </w:p>
    <w:p w:rsidR="00CD0D7A" w:rsidRPr="001D6CF0" w:rsidRDefault="00CD0D7A" w:rsidP="00CD0D7A">
      <w:pPr>
        <w:pStyle w:val="NormalHanging12a"/>
        <w:widowControl/>
      </w:pPr>
      <w:r w:rsidRPr="001D6CF0">
        <w:t>2.</w:t>
      </w:r>
      <w:r w:rsidRPr="001D6CF0">
        <w:tab/>
        <w:t xml:space="preserve">Europaparlamentet uppdrar åt talmannen att översända detta beslut till verkställande direktören för Europeiska unionens asylbyrå, rådet, kommissionen och revisionsrätten, och att se till att det offentliggörs i </w:t>
      </w:r>
      <w:r w:rsidRPr="001D6CF0">
        <w:rPr>
          <w:i/>
        </w:rPr>
        <w:t>Europeiska unionens officiella tidning</w:t>
      </w:r>
      <w:r w:rsidRPr="001D6CF0">
        <w:t xml:space="preserve"> (L-serien).</w:t>
      </w:r>
    </w:p>
    <w:p w:rsidR="00CD0D7A" w:rsidRPr="001D6CF0" w:rsidRDefault="00CD0D7A" w:rsidP="00CD0D7A">
      <w:pPr>
        <w:widowControl/>
      </w:pPr>
    </w:p>
    <w:p w:rsidR="00CD0D7A" w:rsidRPr="001D6CF0" w:rsidRDefault="00CD0D7A" w:rsidP="00CD0D7A">
      <w:pPr>
        <w:widowControl/>
        <w:rPr>
          <w:rFonts w:ascii="Arial" w:hAnsi="Arial" w:cs="Arial"/>
          <w:b/>
        </w:rPr>
        <w:sectPr w:rsidR="00CD0D7A" w:rsidRPr="001D6CF0" w:rsidSect="00B15CB0">
          <w:footnotePr>
            <w:numRestart w:val="eachPage"/>
          </w:footnotePr>
          <w:endnotePr>
            <w:numFmt w:val="decimal"/>
          </w:endnotePr>
          <w:pgSz w:w="11906" w:h="16838"/>
          <w:pgMar w:top="1134" w:right="1418" w:bottom="1418" w:left="1418" w:header="567" w:footer="567" w:gutter="0"/>
          <w:cols w:space="720"/>
          <w:docGrid w:linePitch="326"/>
        </w:sectPr>
      </w:pPr>
    </w:p>
    <w:p w:rsidR="00CD0D7A" w:rsidRPr="001D6CF0" w:rsidRDefault="00C0023F" w:rsidP="00C0023F">
      <w:pPr>
        <w:pStyle w:val="ATHeading3"/>
      </w:pPr>
      <w:r w:rsidRPr="001D6CF0">
        <w:t>3. Europaparlamentets resolution av den 11 april 2024</w:t>
      </w:r>
      <w:r w:rsidR="00CD0D7A" w:rsidRPr="001D6CF0">
        <w:t>med de iakttagelser som utgör en del av beslutet om ansvarsfrihet för genomförandet av budgeten för Europeiska unionens asylbyrå (före 19.1.2022: Europeiska stödkontoret för asylfrågor) för budgetåret 2022</w:t>
      </w:r>
      <w:r w:rsidRPr="001D6CF0">
        <w:t xml:space="preserve"> </w:t>
      </w:r>
      <w:r w:rsidR="00CD0D7A" w:rsidRPr="001D6CF0">
        <w:t>(2023/2164(DEC))</w:t>
      </w:r>
    </w:p>
    <w:p w:rsidR="00CD0D7A" w:rsidRPr="001D6CF0" w:rsidRDefault="00CD0D7A" w:rsidP="00CD0D7A">
      <w:pPr>
        <w:pStyle w:val="EPComma"/>
        <w:widowControl/>
      </w:pPr>
      <w:r w:rsidRPr="001D6CF0">
        <w:rPr>
          <w:i/>
        </w:rPr>
        <w:t>Europaparlamentet utfärdar denna resolution</w:t>
      </w:r>
    </w:p>
    <w:p w:rsidR="00CD0D7A" w:rsidRPr="001D6CF0" w:rsidRDefault="00CD0D7A" w:rsidP="00CD0D7A">
      <w:pPr>
        <w:pStyle w:val="NormalHanging12a"/>
        <w:widowControl/>
      </w:pPr>
      <w:r w:rsidRPr="001D6CF0">
        <w:t>–</w:t>
      </w:r>
      <w:r w:rsidRPr="001D6CF0">
        <w:tab/>
        <w:t>med beaktande av sitt beslut om ansvarsfrihet för genomförandet av budgeten för Europeiska unionens asylbyrå för budgetåret 2022,</w:t>
      </w:r>
    </w:p>
    <w:p w:rsidR="00CD0D7A" w:rsidRPr="001D6CF0" w:rsidRDefault="00CD0D7A" w:rsidP="00CD0D7A">
      <w:pPr>
        <w:pStyle w:val="NormalHanging12a"/>
        <w:widowControl/>
      </w:pPr>
      <w:r w:rsidRPr="001D6CF0">
        <w:t>–</w:t>
      </w:r>
      <w:r w:rsidRPr="001D6CF0">
        <w:tab/>
        <w:t>med beaktande av artikel 100 och bilaga V i arbetsordningen,</w:t>
      </w:r>
    </w:p>
    <w:p w:rsidR="00CD0D7A" w:rsidRPr="001D6CF0" w:rsidRDefault="00CD0D7A" w:rsidP="00CD0D7A">
      <w:pPr>
        <w:pStyle w:val="NormalHanging12a"/>
        <w:widowControl/>
      </w:pPr>
      <w:r w:rsidRPr="001D6CF0">
        <w:t>–</w:t>
      </w:r>
      <w:r w:rsidRPr="001D6CF0">
        <w:tab/>
        <w:t>med beaktande av yttrandet från utskottet för medborgerliga fri- och rättigheter samt rättsliga och inrikes frågor,</w:t>
      </w:r>
    </w:p>
    <w:p w:rsidR="00CD0D7A" w:rsidRPr="001D6CF0" w:rsidRDefault="00CD0D7A" w:rsidP="00CD0D7A">
      <w:pPr>
        <w:pStyle w:val="NormalHanging12a"/>
        <w:widowControl/>
      </w:pPr>
      <w:r w:rsidRPr="001D6CF0">
        <w:t>–</w:t>
      </w:r>
      <w:r w:rsidRPr="001D6CF0">
        <w:tab/>
        <w:t>med beaktande av betänkandet från budgetkontrollutskottet (A9-0106/2024), och av följande skäl:</w:t>
      </w:r>
    </w:p>
    <w:p w:rsidR="00CD0D7A" w:rsidRPr="001D6CF0" w:rsidRDefault="00CD0D7A" w:rsidP="00CD0D7A">
      <w:pPr>
        <w:pStyle w:val="Normal12Hanging"/>
        <w:widowControl/>
        <w:rPr>
          <w:color w:val="000000" w:themeColor="text1"/>
          <w:szCs w:val="24"/>
          <w:lang w:val="sv-SE"/>
        </w:rPr>
      </w:pPr>
      <w:r w:rsidRPr="001D6CF0">
        <w:rPr>
          <w:lang w:val="sv-SE"/>
        </w:rPr>
        <w:t>A.</w:t>
      </w:r>
      <w:r w:rsidRPr="001D6CF0">
        <w:rPr>
          <w:lang w:val="sv-SE"/>
        </w:rPr>
        <w:tab/>
      </w:r>
      <w:r w:rsidRPr="001D6CF0">
        <w:rPr>
          <w:color w:val="000000" w:themeColor="text1"/>
          <w:lang w:val="sv-SE"/>
        </w:rPr>
        <w:t>Enligt inkomst- och utgiftsberäkningen</w:t>
      </w:r>
      <w:r w:rsidRPr="001D6CF0">
        <w:rPr>
          <w:rStyle w:val="FootnoteReference"/>
          <w:color w:val="000000" w:themeColor="text1"/>
          <w:szCs w:val="24"/>
          <w:lang w:val="sv-SE"/>
        </w:rPr>
        <w:footnoteReference w:id="13"/>
      </w:r>
      <w:r w:rsidRPr="001D6CF0">
        <w:rPr>
          <w:color w:val="000000" w:themeColor="text1"/>
          <w:lang w:val="sv-SE"/>
        </w:rPr>
        <w:t xml:space="preserve"> för Europeiska unionens asylbyrå (</w:t>
      </w:r>
      <w:r w:rsidRPr="001D6CF0">
        <w:rPr>
          <w:i/>
          <w:color w:val="000000" w:themeColor="text1"/>
          <w:lang w:val="sv-SE"/>
        </w:rPr>
        <w:t>byrån</w:t>
      </w:r>
      <w:r w:rsidRPr="001D6CF0">
        <w:rPr>
          <w:color w:val="000000" w:themeColor="text1"/>
          <w:lang w:val="sv-SE"/>
        </w:rPr>
        <w:t>) uppgick den slutliga budgeten för budgetåret 2022 till 186 842 192 EUR, vilket innebär en ökning med 12,46 % jämfört med 2021. Byråns budget kommer i huvudsak från unionsbudgeten.</w:t>
      </w:r>
    </w:p>
    <w:p w:rsidR="00CD0D7A" w:rsidRPr="001D6CF0" w:rsidRDefault="00CD0D7A" w:rsidP="00CD0D7A">
      <w:pPr>
        <w:pStyle w:val="Normal12Hanging"/>
        <w:widowControl/>
        <w:rPr>
          <w:color w:val="000000" w:themeColor="text1"/>
          <w:szCs w:val="24"/>
          <w:lang w:val="sv-SE"/>
        </w:rPr>
      </w:pPr>
      <w:r w:rsidRPr="001D6CF0">
        <w:rPr>
          <w:color w:val="000000" w:themeColor="text1"/>
          <w:lang w:val="sv-SE"/>
        </w:rPr>
        <w:t>B.</w:t>
      </w:r>
      <w:r w:rsidRPr="001D6CF0">
        <w:rPr>
          <w:color w:val="000000" w:themeColor="text1"/>
          <w:lang w:val="sv-SE"/>
        </w:rPr>
        <w:tab/>
        <w:t xml:space="preserve">I juni 2022 undertecknade byrån en överenskommelse om medverkan med kommissionen för genomförandet av fas III av instrumentet för stöd inför anslutningen (IPA): EU:s regionala stöd till skyddsinriktad migrationshantering på västra Balkan; fas III, kontrakt 2 (nedan kallat </w:t>
      </w:r>
      <w:r w:rsidRPr="001D6CF0">
        <w:rPr>
          <w:i/>
          <w:color w:val="000000" w:themeColor="text1"/>
          <w:lang w:val="sv-SE"/>
        </w:rPr>
        <w:t>IPA III för västra Balkan</w:t>
      </w:r>
      <w:r w:rsidRPr="001D6CF0">
        <w:rPr>
          <w:color w:val="000000" w:themeColor="text1"/>
          <w:lang w:val="sv-SE"/>
        </w:rPr>
        <w:t>) till ett totalt värde av 6 miljoner EUR och en genomförandeperiod på 47 månader.</w:t>
      </w:r>
    </w:p>
    <w:p w:rsidR="00CD0D7A" w:rsidRPr="001D6CF0" w:rsidRDefault="00CD0D7A" w:rsidP="00CD0D7A">
      <w:pPr>
        <w:pStyle w:val="Normal12Hanging"/>
        <w:widowControl/>
        <w:rPr>
          <w:color w:val="000000" w:themeColor="text1"/>
          <w:szCs w:val="24"/>
          <w:lang w:val="sv-SE"/>
        </w:rPr>
      </w:pPr>
      <w:r w:rsidRPr="001D6CF0">
        <w:rPr>
          <w:color w:val="000000" w:themeColor="text1"/>
          <w:lang w:val="sv-SE"/>
        </w:rPr>
        <w:t>C.</w:t>
      </w:r>
      <w:r w:rsidRPr="001D6CF0">
        <w:rPr>
          <w:color w:val="000000" w:themeColor="text1"/>
          <w:lang w:val="sv-SE"/>
        </w:rPr>
        <w:tab/>
        <w:t>Under 2022 skedde en betydande ökning av byråns budget på grund av utökade uppgifter enligt förordning (EU) 2021/2303 i syfte att göra byrån till ett kompetenscentrum för asylfrågor.</w:t>
      </w:r>
    </w:p>
    <w:p w:rsidR="00CD0D7A" w:rsidRPr="001D6CF0" w:rsidRDefault="00CD0D7A" w:rsidP="00CD0D7A">
      <w:pPr>
        <w:pStyle w:val="Normal12Hanging"/>
        <w:widowControl/>
        <w:rPr>
          <w:color w:val="000000" w:themeColor="text1"/>
          <w:szCs w:val="24"/>
          <w:lang w:val="sv-SE"/>
        </w:rPr>
      </w:pPr>
      <w:r w:rsidRPr="001D6CF0">
        <w:rPr>
          <w:color w:val="000000" w:themeColor="text1"/>
          <w:lang w:val="sv-SE"/>
        </w:rPr>
        <w:t>D.</w:t>
      </w:r>
      <w:r w:rsidRPr="001D6CF0">
        <w:rPr>
          <w:color w:val="000000" w:themeColor="text1"/>
          <w:lang w:val="sv-SE"/>
        </w:rPr>
        <w:tab/>
        <w:t>I EU fanns det under 2022 nästan 1 miljon asylsökande och omkring 4 miljoner personer som beviljats tillfälligt skydd.</w:t>
      </w:r>
    </w:p>
    <w:p w:rsidR="00CD0D7A" w:rsidRPr="001D6CF0" w:rsidRDefault="00CD0D7A" w:rsidP="00CD0D7A">
      <w:pPr>
        <w:widowControl/>
        <w:spacing w:after="240"/>
        <w:ind w:left="567" w:hanging="567"/>
        <w:rPr>
          <w:color w:val="000000" w:themeColor="text1"/>
          <w:szCs w:val="24"/>
        </w:rPr>
      </w:pPr>
      <w:r w:rsidRPr="001D6CF0">
        <w:rPr>
          <w:color w:val="000000" w:themeColor="text1"/>
        </w:rPr>
        <w:t>E.</w:t>
      </w:r>
      <w:r w:rsidRPr="001D6CF0">
        <w:rPr>
          <w:color w:val="000000" w:themeColor="text1"/>
        </w:rPr>
        <w:tab/>
      </w:r>
      <w:r w:rsidRPr="001D6CF0">
        <w:t>Revisionsrätten fastställer i sin rapport om årsredovisningen för byrån för budgetåret 2022 att man har uppnått en rimlig säkerhet om att byråns årliga räkenskaper är tillförlitliga och att de underliggande transaktionerna är lagliga och korrekta.</w:t>
      </w:r>
    </w:p>
    <w:p w:rsidR="00CD0D7A" w:rsidRPr="001D6CF0" w:rsidRDefault="00CD0D7A" w:rsidP="00CD0D7A">
      <w:pPr>
        <w:widowControl/>
        <w:spacing w:after="240"/>
        <w:ind w:left="567" w:hanging="567"/>
        <w:rPr>
          <w:b/>
          <w:i/>
          <w:szCs w:val="24"/>
        </w:rPr>
      </w:pPr>
      <w:r w:rsidRPr="001D6CF0">
        <w:rPr>
          <w:b/>
          <w:i/>
        </w:rPr>
        <w:t>Budgetförvaltning och ekonomisk förvaltning</w:t>
      </w:r>
    </w:p>
    <w:p w:rsidR="00CD0D7A" w:rsidRPr="001D6CF0" w:rsidRDefault="00CD0D7A" w:rsidP="00CD0D7A">
      <w:pPr>
        <w:pStyle w:val="NormalHanging12a"/>
        <w:widowControl/>
        <w:rPr>
          <w:szCs w:val="24"/>
        </w:rPr>
      </w:pPr>
      <w:r w:rsidRPr="001D6CF0">
        <w:t>1.</w:t>
      </w:r>
      <w:r w:rsidRPr="001D6CF0">
        <w:tab/>
        <w:t>Europaparlamentet noterar att insatserna för budgetövervakning under budgetåret 2022 resulterade i en budgetgenomförandegrad av åtagandebemyndiganden under innevarande år på 96,23 %, vilket innebär en liten minskning med 0,44 % jämfört med 2021 (96,67 %). Parlamentet noterar att genomförandegraden för det innevarande årets betalningsbemyndiganden var 89,55 %, vilket innebär en minskning med 1,36 % jämfört med det föregående året 2021 (90,91 %). Parlamentet noterar med oro en relativt hög andel förfallna (15 %) anslag som förts över från 2021 till 2022, vilket innebär att byråns årliga mål på mindre än 10 % inte uppnås.</w:t>
      </w:r>
    </w:p>
    <w:p w:rsidR="00CD0D7A" w:rsidRPr="001D6CF0" w:rsidRDefault="00CD0D7A" w:rsidP="00CD0D7A">
      <w:pPr>
        <w:pStyle w:val="NormalHanging12a"/>
        <w:widowControl/>
        <w:rPr>
          <w:szCs w:val="24"/>
        </w:rPr>
      </w:pPr>
      <w:r w:rsidRPr="001D6CF0">
        <w:t>2.</w:t>
      </w:r>
      <w:r w:rsidRPr="001D6CF0">
        <w:tab/>
        <w:t>Europaparlamentet betonar att byråns styrelse under 2022 antog två budgetändringsförslag. Parlamentet noterar i detta sammanhang att byrån genomförde en halvårsöversyn av sin budget för 2022, där det fastställdes att byrån skulle be kommissionen om ett ytterligare bidrag på 12 miljoner EUR i åtagandebemyndiganden och 6 miljoner EUR i betalningsbemyndiganden för att hantera de ytterligare uppgifter som härrör från den humanitära kris som sattes i gång till följd av den olagliga och oprovocerade ryska invasionen av Ukraina. Parlamentet noterar att dessa belopp ingick i byråns första budgetändringsförslag, som antogs i september 2022. Parlamentet beklagar emellertid att byråns höstöversyn av budgeten och planeringen belyste oförutsedda förseningar i genomförandet av operativa planer av betydelse för krisen i Ukraina, vilket ledde till ett negativt (andra) budgetändringsförslag, som antogs av styrelsen i november 2022, vilket minskade betalningsbemyndigandena med 12 miljoner EUR. Parlamentet observerar slutligen att byråns budgetändringsförslag också återspeglade Danmarks frivilliga bidrag (andra delbetalningen på 94 063 EUR) till genomförandet av färdplanen för samarbete mellan Easo och Egypten och den första förfinansieringen (på 2 968 129 EUR) för IPA III för västra Balkan.</w:t>
      </w:r>
    </w:p>
    <w:p w:rsidR="00CD0D7A" w:rsidRPr="001D6CF0" w:rsidRDefault="00CD0D7A" w:rsidP="00CD0D7A">
      <w:pPr>
        <w:pStyle w:val="NormalHanging12a"/>
        <w:widowControl/>
        <w:rPr>
          <w:szCs w:val="24"/>
        </w:rPr>
      </w:pPr>
      <w:r w:rsidRPr="001D6CF0">
        <w:t>3.</w:t>
      </w:r>
      <w:r w:rsidRPr="001D6CF0">
        <w:tab/>
        <w:t>Europaparlamentet noterar iakttagelsen i revisionsrättens rapport om bidragen från Schengenassocierade länder till byråns budget, att de arrangemang som ingåtts mellan EU och dessa länder, och som utgör rättslig grund för beräkningen av dessa bidrag, är otydliga och möjliggör olika tolkningar, vilket leder till att bidrag från varje Schengenassocierat land (till byråns budget) motsvarar underbetalningar på cirka 0,7 miljoner EUR (7 %) till följd av användningen av en beräkningsformel som revisionsrätten anser vara felaktig eftersom bidragsandelen multipliceras med ett belopp som endast återspeglar EU-budgetens bidrag till byråns verksamhet, medan beloppet enligt revisionsrätten även bör inkludera de Schengenassocierade ländernas andel. Parlamentet uppmanar kommissionen att ta upp denna fråga i de kommande förhandlingarna med de Schengenassocierade länderna om nya avtal avseende de Schengenassocierade ländernas deltagande i byråns arbete, i syfte att säkerställa större tydlighet.</w:t>
      </w:r>
    </w:p>
    <w:p w:rsidR="00CD0D7A" w:rsidRPr="001D6CF0" w:rsidRDefault="00CD0D7A" w:rsidP="00CD0D7A">
      <w:pPr>
        <w:widowControl/>
        <w:spacing w:after="240"/>
        <w:ind w:left="567" w:hanging="567"/>
        <w:rPr>
          <w:szCs w:val="24"/>
        </w:rPr>
      </w:pPr>
      <w:r w:rsidRPr="001D6CF0">
        <w:rPr>
          <w:b/>
          <w:i/>
        </w:rPr>
        <w:t>Verksamhetsresultat</w:t>
      </w:r>
    </w:p>
    <w:p w:rsidR="00CD0D7A" w:rsidRPr="001D6CF0" w:rsidRDefault="00CD0D7A" w:rsidP="00CD0D7A">
      <w:pPr>
        <w:pStyle w:val="NormalHanging12a"/>
        <w:widowControl/>
        <w:rPr>
          <w:szCs w:val="24"/>
        </w:rPr>
      </w:pPr>
      <w:r w:rsidRPr="001D6CF0">
        <w:t>4.</w:t>
      </w:r>
      <w:r w:rsidRPr="001D6CF0">
        <w:tab/>
        <w:t>Europaparlamentet observerar att byråns resultat för 2022 mättes mot 204 årliga mål, varav 48 % överträffades, 26 % uppnåddes, 10 % nästan uppnåddes, 12 % försenades och 4 % inte var tillämpliga.</w:t>
      </w:r>
    </w:p>
    <w:p w:rsidR="00CD0D7A" w:rsidRPr="001D6CF0" w:rsidRDefault="00CD0D7A" w:rsidP="00CD0D7A">
      <w:pPr>
        <w:pStyle w:val="NormalHanging12a"/>
        <w:widowControl/>
        <w:rPr>
          <w:szCs w:val="24"/>
        </w:rPr>
      </w:pPr>
      <w:r w:rsidRPr="001D6CF0">
        <w:t>5.</w:t>
      </w:r>
      <w:r w:rsidRPr="001D6CF0">
        <w:tab/>
        <w:t>Europaparlamentet lovordar byrån för de betydande framsteg som gjorts under 2022 mot ett fullständigt genomförande av de nya bestämmelserna i förordning (EU) 2021/2033. Parlamentet noterar särskilt från byråns uppföljningsrapport för ansvarsfrihetsförfarandet för 2021 (</w:t>
      </w:r>
      <w:r w:rsidRPr="001D6CF0">
        <w:rPr>
          <w:i/>
        </w:rPr>
        <w:t>uppföljningsrapporten</w:t>
      </w:r>
      <w:r w:rsidRPr="001D6CF0">
        <w:t>) att byrån inrättade det rådgivande forumet och reserven för asylinsatser, som redan i mitten av juni 2023 bestod av 360 godkända experter från medlemsstaterna (av de 500 som krävs enligt den förordningen), att den genomförde rekryteringsprocessen för dess ombud för grundläggande rättigheter, som tillträdde i maj 2023, samt samråd med berörda parter i syfte att utarbeta och anta klagomålsmekanismen. Parlamentet observerar när det gäller övervakningsmekanismen att metoden och programmet håller på att utvecklas och att antagandet av den planeras till första kvartalet 2024, följt av ett pilotprojekt för övervakning.</w:t>
      </w:r>
    </w:p>
    <w:p w:rsidR="00CD0D7A" w:rsidRPr="001D6CF0" w:rsidRDefault="00CD0D7A" w:rsidP="00CD0D7A">
      <w:pPr>
        <w:pStyle w:val="NormalHanging12a"/>
        <w:widowControl/>
        <w:rPr>
          <w:szCs w:val="24"/>
        </w:rPr>
      </w:pPr>
      <w:r w:rsidRPr="001D6CF0">
        <w:t>6.</w:t>
      </w:r>
      <w:r w:rsidRPr="001D6CF0">
        <w:tab/>
        <w:t>Europaparlamentet noterar, när det gäller det verksamhetsområde som omfattar utplacering av sambandsmän i medlemsstater och tredjeländer, att personalbegränsningar ledde till att byrån slog ihop medlemsstater till kluster, där en sambandsman täcker upp till fyra medlemsstater, samt att det saknas en tidsplan för utplaceringen av sambandsmän i tredjeländer. Parlamentet konstaterar att byrån har behov av ytterligare resurser för att fullt ut kunna genomföra kraven i förordning (EU) 2021/2303 på detta område och upprepar sin uppmaning till kommissionen att bättre återspegla byråns operativa behov när den fattar beslut om framtida tjänsteförteckningar.</w:t>
      </w:r>
    </w:p>
    <w:p w:rsidR="00CD0D7A" w:rsidRPr="001D6CF0" w:rsidRDefault="00CD0D7A" w:rsidP="00CD0D7A">
      <w:pPr>
        <w:pStyle w:val="NormalHanging12a"/>
        <w:widowControl/>
        <w:rPr>
          <w:szCs w:val="24"/>
        </w:rPr>
      </w:pPr>
      <w:r w:rsidRPr="001D6CF0">
        <w:t>7.</w:t>
      </w:r>
      <w:r w:rsidRPr="001D6CF0">
        <w:tab/>
        <w:t>Europaparlamentet konstaterar att byrån under 2022 ställdes inför nya uppgifter och många utmaningar på grund av Rysslands olagliga invasion av Ukraina. Parlamentet noterar i detta sammanhang att byrån, på begäran av de relevanta nationella myndigheterna, utvidgade sin verksamhet till ytterligare sex medlemsstater, vilket ledde till operativa planer i totalt 14 medlemsstater. Parlamentet lovordar byrån för att även bistå dessa medlemsstater i genomförandet av direktivet om tillfälligt skydd. Parlamentet noterar vidare att byrån stödde ett frivilligt program för hjälp till personer som flyr från Ukraina att komma på plats i EU och ansöka om tillfälligt skydd, tillhandahöll utbildning om direktivet om tillfälligt skydd till nationella förvaltningar, utvecklade landsspecifika kommunikationsprodukter (broschyrer, informationsblad och affischer) med skräddarsydd information om tillfälligt skydd, ökade produktionen av lägesanalyser och för första gången utstationerade personal till ett land utanför EU (Moldavien). Parlamentet uppskattar vidare byråns starka engagemang i det gemensamma europeiska asylsystemets (Ceas) externa dimension till stöd för EU+</w:t>
      </w:r>
      <w:r w:rsidRPr="001D6CF0">
        <w:noBreakHyphen/>
        <w:t>ländernas vidarebosättning av 2 585 personer genom stöd till 13 urvalsuppdrag och tre uppdrag före avresan.</w:t>
      </w:r>
    </w:p>
    <w:p w:rsidR="00CD0D7A" w:rsidRPr="001D6CF0" w:rsidRDefault="00CD0D7A" w:rsidP="00CD0D7A">
      <w:pPr>
        <w:pStyle w:val="NormalHanging12a"/>
        <w:widowControl/>
      </w:pPr>
      <w:r w:rsidRPr="001D6CF0">
        <w:t>8.</w:t>
      </w:r>
      <w:r w:rsidRPr="001D6CF0">
        <w:tab/>
        <w:t>Europaparlamentet framhåller, bland andra resultat för 2022, att byrån producerade omkring 3 000 sidor information om ursprungsland (COI-produkter), hanterade över 1 000 enskilda medicinska förfrågningar kopplade till byråns verksamhet för medicinsk information om ursprungsland, genomförde utbildningar som nådde ett rekordstort antal, totalt 13 000 deltagare, och publicerade och/eller uppdaterade landvägledningar (om Somalia, Afghanistan och Irak). Parlamentet lovordar även byrån för att den bistått länderna på västra Balkan genom att tillhandahålla institutionell kapacitetsuppbyggnad, utbildning och handledning på arbetsplatsen avseende centrala asylförfaranden i Albanien, Bosnien och Hercegovina, Kosovo, Montenegro, Nordmakedonien och Serbien.</w:t>
      </w:r>
    </w:p>
    <w:p w:rsidR="00CD0D7A" w:rsidRPr="001D6CF0" w:rsidRDefault="00CD0D7A" w:rsidP="00CD0D7A">
      <w:pPr>
        <w:pStyle w:val="NormalHanging12a"/>
        <w:keepNext/>
        <w:keepLines/>
        <w:widowControl/>
        <w:rPr>
          <w:b/>
          <w:i/>
        </w:rPr>
      </w:pPr>
      <w:r w:rsidRPr="001D6CF0">
        <w:rPr>
          <w:b/>
          <w:i/>
        </w:rPr>
        <w:t>Effektivitet och vinster</w:t>
      </w:r>
    </w:p>
    <w:p w:rsidR="00CD0D7A" w:rsidRPr="001D6CF0" w:rsidRDefault="00CD0D7A" w:rsidP="00CD0D7A">
      <w:pPr>
        <w:pStyle w:val="NormalHanging12a"/>
        <w:keepNext/>
        <w:keepLines/>
        <w:widowControl/>
      </w:pPr>
      <w:r w:rsidRPr="001D6CF0">
        <w:t>9.</w:t>
      </w:r>
      <w:r w:rsidRPr="001D6CF0">
        <w:tab/>
        <w:t>Europaparlamentet noterar att byrån har samarbetat med flera byråer för rättsliga och inrikes frågor (t.ex. Frontex, eu-LISA, FRA och Cepol) avseende produkter för situationsmedvetenhet, stöd för att möta operativa utmaningar (inbegripet utplacerad personal), lärande och informationsutbyte samt utbildning och kapacitetsuppbyggnad, med mera. Parlamentet betonar vikten av samarbete för en korrekt resursallokering. Parlamentet noterar vidare att eu-Lisa, på grundval av ett servicenivåavtal, är värd för återställningsanläggningen för byråns IKT-logistik, infrastruktur och kommunikation. Parlamentet uppmuntrar byrån att fortsätta att utforska sätt att utbyta bästa praxis och möjligheter inom ramen för byråns nya mandat, i syfte att dela resurser och vidareutveckla synergier med andra byråer på områden av ömsesidigt intresse i syfte att förbättra effektiviteten.</w:t>
      </w:r>
    </w:p>
    <w:p w:rsidR="00CD0D7A" w:rsidRPr="001D6CF0" w:rsidRDefault="00CD0D7A" w:rsidP="00CD0D7A">
      <w:pPr>
        <w:pStyle w:val="NormalHanging12a"/>
        <w:widowControl/>
      </w:pPr>
      <w:r w:rsidRPr="001D6CF0">
        <w:t>10.</w:t>
      </w:r>
      <w:r w:rsidRPr="001D6CF0">
        <w:tab/>
        <w:t>Europaparlamentet välkomnar de åtgärder som byrån vidtog 2022 för att effektivisera och förenkla, såsom en minskning av förfarandestegen, automatisering av repetitiva uppgifter och utrullningen av en organisationsmodell för tillhandahållande av horisontella tjänster som för den administrativa expertisen närmare användningsstället genom närvaro på distans, på plats eller i hybridform, till gagn för landsoperationer på områden såsom finansiell initiering av transaktioner, IKT-stöd, rättsligt stöd och förvaltning av anläggningar. Parlamentet lovordar byråns ökade effektivitet när det gäller att garantera säkerheten för personalen i fler landsoperationer med hjälp av samma resurser som under 2021. Parlamentet noterar vidare att byrån genomförde flera åtgärder som syftade till att förbättra effektiviteten på områdena cybersäkerhet (genom t.ex. ett automatiserat arbetsflöde för incidenthantering), upphandling (genom att utse kontaktpunkter för de varor och tjänster som oftast köps in för att förbättra förfarandenas kvalitet och leveranstid och ge stöd i ett tidigt skede av upphandlingen), IKT (genom att ge användarna en enda referenspunkt avseende statusen för deras ärenden) och HR (genom att bland annat öppna de första Sysper-modulerna för identitet, organisation, karriär, personuppgifter och tidshantering, samt ett HR</w:t>
      </w:r>
      <w:r w:rsidRPr="001D6CF0">
        <w:noBreakHyphen/>
        <w:t>ärendesystem för stödtjänster för all personal vid byrån). Parlamentet uppmanar byrån att fullt ut genomföra kommissionens verktyg för förvaltning av offentlig upphandling. Parlamentet noterar från byråns konsoliderade verksamhetsrapport för 2022 en förnyad ökning av andelen resurser som anslagits till byråns operativa verksamhet motsvarande 79,13 % under 2022 (jämfört med 72,14 % under 2021 och 68,68 % under 2020).</w:t>
      </w:r>
    </w:p>
    <w:p w:rsidR="00CD0D7A" w:rsidRPr="001D6CF0" w:rsidRDefault="00CD0D7A" w:rsidP="00CD0D7A">
      <w:pPr>
        <w:pStyle w:val="NormalHanging12a"/>
        <w:widowControl/>
      </w:pPr>
      <w:r w:rsidRPr="001D6CF0">
        <w:t>11.</w:t>
      </w:r>
      <w:r w:rsidRPr="001D6CF0">
        <w:tab/>
        <w:t>Europaparlamentet beklagar utifrån revisionsrättens rapport att byrån inte hör till de byråer som har upprättat en verksamhetsplan för att förbättra energieffektiviteten och klimatneutraliteten i sin verksamhet, som har någon form av miljörapportering integrerad i sina årliga verksamhetsrapporter eller som har fått Emas-registrering. Parlamentet betonar dock från byråns svar på parlamentets skriftliga frågor att byrån under 2022 inledde en första fas i förberedelserna inför utformningen och genomförandet av ett miljöledningssystem och vidtog förberedande åtgärder för de efterföljande faserna. Parlamentet uppmuntrar byrån att fortsätta att delta i kapacitetsuppbyggande verksamhet samt att samarbeta med andra byråer och unionens institutioner i syfte att påskynda byråns Emas-certifieringsprocess. Parlamentet betonar att byrån har med miljöaspekter i de tekniska specifikationerna eller tilldelningskriterierna, t.ex. för byggnadskontrakt, personalmatsalstjänster och städtjänster. Parlamentet uppmanar byrån att också överväga att utveckla sin politik för miljöanpassad offentlig upphandling.</w:t>
      </w:r>
      <w:r w:rsidRPr="001D6CF0">
        <w:rPr>
          <w:b/>
          <w:i/>
        </w:rPr>
        <w:t> </w:t>
      </w:r>
      <w:r w:rsidRPr="001D6CF0">
        <w:t>Parlamentet uppmanar enträget byrån att överväga att genomföra provisoriska hållbara och energieffektiva lösningar för både sin infrastruktur och sina interna processer, såsom ökad användning av digitala verktyg och dokumenthantering.</w:t>
      </w:r>
    </w:p>
    <w:p w:rsidR="00CD0D7A" w:rsidRPr="001D6CF0" w:rsidRDefault="00CD0D7A" w:rsidP="00CD0D7A">
      <w:pPr>
        <w:widowControl/>
        <w:spacing w:after="240"/>
        <w:ind w:left="567" w:hanging="567"/>
        <w:rPr>
          <w:b/>
          <w:i/>
          <w:szCs w:val="24"/>
        </w:rPr>
      </w:pPr>
      <w:r w:rsidRPr="001D6CF0">
        <w:rPr>
          <w:b/>
          <w:i/>
        </w:rPr>
        <w:t>Personalpolitik</w:t>
      </w:r>
    </w:p>
    <w:p w:rsidR="00CD0D7A" w:rsidRPr="001D6CF0" w:rsidRDefault="00CD0D7A" w:rsidP="00CD0D7A">
      <w:pPr>
        <w:pStyle w:val="NormalHanging12a"/>
        <w:widowControl/>
      </w:pPr>
      <w:r w:rsidRPr="001D6CF0">
        <w:t>12.</w:t>
      </w:r>
      <w:r w:rsidRPr="001D6CF0">
        <w:tab/>
        <w:t>Europaparlamentet noterar byråns könsfördelning, med 9 män (69 %) och 4 kvinnor (31 %) på högre chefs- och mellanchefsnivå (samma fördelning som 2021), med 27 män (48 %) och 29 kvinnor (52 %) i styrelsen (en förbättrad fördelning jämfört med 2021) och med 203 män (39 %) och 316 kvinnor (61 %) för personalen totalt sett (samma fördelning som 2021). Parlamentet påminner om vikten av att säkerställa en jämn könsfördelning bland personalen och uppmanar centrumet att ta hänsyn till denna aspekt när det gäller framtida rekrytering av personal och utnämningar på högre chefsnivå och mellanchefsnivå. Parlamentet observerar med tillfredsställelse byråns åtagande att i sin kommande personalstrategi inkludera åtgärder för att prioritera främjandet av könsbalans och mångfald inom byrån samt främja program för ledarskapsutveckling som är skräddarsydda för blivande chefer. Parlamentet uppmanar myndigheten att rapportera till den ansvarsfrihetsbeviljande myndigheten om genomförandet av detta åtagande.</w:t>
      </w:r>
    </w:p>
    <w:p w:rsidR="00CD0D7A" w:rsidRPr="001D6CF0" w:rsidRDefault="00CD0D7A" w:rsidP="00CD0D7A">
      <w:pPr>
        <w:pStyle w:val="NormalHanging12a"/>
        <w:widowControl/>
        <w:rPr>
          <w:szCs w:val="24"/>
        </w:rPr>
      </w:pPr>
      <w:r w:rsidRPr="001D6CF0">
        <w:t>13.</w:t>
      </w:r>
      <w:r w:rsidRPr="001D6CF0">
        <w:tab/>
        <w:t>Europaparlamentet noterar att 90 % av tjänsterna i tjänsteförteckningen var tillsatta den 31 december 2022 (87 % för 2021), och att 333 av de 371 tjänsterna för tillfälligt anställda som får tillsättas enligt unionsbudgeten hade tillsatts (jämfört med 366 tillåtna tjänster 2021). Parlamentet välkomnar att andelen tillsatta tjänster inom byrån återigen ökat. Parlamentet beklagar att byråns personalomsättningshastighet ökade från 4,1 % 2021 till 8,2 % 2022. Parlamentet noterar dessutom att 184 kontraktsanställda och 10 utstationerade nationella experter arbetade för byrån 2022. Parlamentet betonar att kommissionen mot bakgrund av kriget i Ukraina och genomförandet av direktivet om tillfälligt skydd beviljade byrån 90 korttidstjänster för kontraktsanställda för en tvåårsperiod. Parlamentet observerar att byrån under 2022 publicerade 29 lediga tjänster och utfärdade 138 anställningserbjudanden för tillfälligt anställda och kontraktsanställda.</w:t>
      </w:r>
    </w:p>
    <w:p w:rsidR="00CD0D7A" w:rsidRPr="001D6CF0" w:rsidRDefault="00CD0D7A" w:rsidP="00CD0D7A">
      <w:pPr>
        <w:pStyle w:val="NormalHanging12a"/>
        <w:widowControl/>
      </w:pPr>
      <w:r w:rsidRPr="001D6CF0">
        <w:t>14.</w:t>
      </w:r>
      <w:r w:rsidRPr="001D6CF0">
        <w:tab/>
        <w:t xml:space="preserve">Europaparlamentet välkomnar byråns policy för skydd av individens värdighet och förebyggande av psykologiska och sexuella trakasserier, genomförandet av kommissionens regler om genomförande av administrativa utredningar och disciplinära förfaranden och den interna vägledningen om begäranden om bistånd enligt artikel 24 i EU:s tjänsteföreskrifter. Parlamentet noterar från byråns svar på parlamentets skriftliga frågor att byrån under 2022 tog emot tre anmälningar om trakasserier, varav två avslogs eftersom inga </w:t>
      </w:r>
      <w:r w:rsidRPr="001D6CF0">
        <w:rPr>
          <w:i/>
          <w:iCs/>
        </w:rPr>
        <w:t>prima facie</w:t>
      </w:r>
      <w:r w:rsidRPr="001D6CF0">
        <w:t>-bevis för trakasserier lades fram och avslutades utan ytterligare åtgärder, medan en administrativ utredning inleddes i det tredje fallet. Parlamentet uppmanar byrån att hålla den ansvarsfrihetsbeviljande myndigheten informerad om resultatet av denna utredning. Parlamentet noterar med tillfredsställelse att byrån, efter en rekommendation från kommissionens tjänst för internrevision (IAS), i april 2023 antog riktlinjerna för administrativa utredningar och disciplinära förfaranden. Parlamentet betonar vikten av att ha robusta ramar för bekämpning av trakasserier, särskilt i mycket stressande och krävande arbetsmiljöer. Parlamentet uppmanar byrån att införa ett utbildningsprogram på detta område, både för nyanställda och för befintlig personal.</w:t>
      </w:r>
    </w:p>
    <w:p w:rsidR="00CD0D7A" w:rsidRPr="001D6CF0" w:rsidRDefault="00CD0D7A" w:rsidP="00CD0D7A">
      <w:pPr>
        <w:pStyle w:val="NormalHanging12a"/>
        <w:widowControl/>
      </w:pPr>
      <w:r w:rsidRPr="001D6CF0">
        <w:t>15.</w:t>
      </w:r>
      <w:r w:rsidRPr="001D6CF0">
        <w:tab/>
        <w:t>Europaparlamentet noterar från byråns uppföljning av parlamentets övergripande iakttagelser i samband med ansvarsfrihetsförfarandet för 2021, samt från byråns uppföljningsrapport, att byrån under de senaste åren (från och med 2019) har använt sig av en extern advokatbyrå (specialiserad på regelverket för EU:s personal) när den hanterar fall av påstådda trakasserier (dvs. begäranden om bistånd enligt artikel 24 i EU:s tjänsteföreskrifter). Parlamentet observerar i detta sammanhang att byråns rättsliga enhet gör en bedömning för att fastställa var det finns ett behov av att begära stöd eller rådgivning från en extern advokatbyrå och att enheten sköter det relevanta förfarandet och samarbetar med byråns personalenhet i alla dessa fall.</w:t>
      </w:r>
    </w:p>
    <w:p w:rsidR="00CD0D7A" w:rsidRPr="001D6CF0" w:rsidRDefault="00CD0D7A" w:rsidP="00CD0D7A">
      <w:pPr>
        <w:pStyle w:val="NormalHanging12a"/>
        <w:widowControl/>
      </w:pPr>
      <w:r w:rsidRPr="001D6CF0">
        <w:t>16.</w:t>
      </w:r>
      <w:r w:rsidRPr="001D6CF0">
        <w:tab/>
        <w:t xml:space="preserve">Europaparlamentet påminner om revisionsrättens iakttagelse att byrån under 2020 hade 16 lediga chefstjänster, varav 10 var tillsatta på tillförordnad basis i mer än ett år, samt andra problem, såsom att tillförordnade chefer innehar två tjänster, i byråns tjänsteförteckning. Parlamentet noterar med tillfredsställelse från byråns uppföljningsrapport de riskreducerande åtgärder som den vidtog för att följa artikel 7.2 EU:s tjänsteföreskrifter, först genom att minska antalet tillfälliga chefstjänster som överstiger ett år till två i slutet av 2022, och sedan, från och med 2023 helt och hållet ta bort dem, så att ingen i personalen har en tillfällig chefstjänst längre än ett år. Parlamentet välkomnar byråns åtagande att prioritera rekrytering till chefstjänster. Parlamentet lovordar byrån för de framsteg som gjorts under 2022 och 2023 när det gäller rekryteringsförfaranden för olika chefstjänster på mellannivå och högre nivå, däribland den vice verkställande direktören, och enligt byråns uppföljningsrapport har två urvalsförfaranden slutförts, medan nio urvalsförfaranden pågår eller inte har slutförts. Parlamentet observerar slutligen från byråns webbplats att chefen för byråns administrativa centrum den 15 januari 2024 hade beteckningen </w:t>
      </w:r>
      <w:r w:rsidRPr="001D6CF0">
        <w:rPr>
          <w:i/>
        </w:rPr>
        <w:t>ad interim</w:t>
      </w:r>
      <w:r w:rsidRPr="001D6CF0">
        <w:t>, medan chefen för byråns centrum för institutionella och horisontella frågor var tillförordnad (</w:t>
      </w:r>
      <w:r w:rsidRPr="001D6CF0">
        <w:rPr>
          <w:i/>
        </w:rPr>
        <w:t>acting</w:t>
      </w:r>
      <w:r w:rsidRPr="001D6CF0">
        <w:t>). Parlamentet noterar att rekryteringsprocessen för chefen för det administrativa centrumet pågår och förväntas vara klar under första kvartalet 2024. Parlamentet noterar vidare att rekryteringsprocessen för chefen för centrumet för institutionella och horisontella frågor pågår och förväntas vara klar under första kvartalet 2024. Parlamentet uppmanar byrån att hålla den ansvarsfrihetsbeviljande myndigheten informerad om resultatet av alla dessa förfaranden.</w:t>
      </w:r>
    </w:p>
    <w:p w:rsidR="00CD0D7A" w:rsidRPr="001D6CF0" w:rsidRDefault="00CD0D7A" w:rsidP="00CD0D7A">
      <w:pPr>
        <w:pStyle w:val="NormalHanging12a"/>
        <w:widowControl/>
        <w:rPr>
          <w:szCs w:val="24"/>
        </w:rPr>
      </w:pPr>
      <w:r w:rsidRPr="001D6CF0">
        <w:t>17.</w:t>
      </w:r>
      <w:r w:rsidRPr="001D6CF0">
        <w:tab/>
        <w:t>Europaparlamentet betonar att de riskreducerande åtgärder som byrån vidtagit för att följa artikel 7.2 i EU:s tjänsteföreskrifter, internrevisionstjänstens undersökningsuppdrag från oktober 2022, revisionsrättens fältarbete för revisionen av budgetåret 2022, parlamentets relevanta iakttagelser till byrån i parlamentets resolution om ansvarsfrihet för 2021 samt den (pågående) utredning som inleddes av Europeiska byrån för bedrägeribekämpning (Olaf) den 24 november 2022 också kom till som en följd av ett anonymt e-postmeddelande med en mängd anklagelser om bland annat personalrelaterade oriktigheter som orsakats av byråns hela högsta ledning. Parlamentet uppmanar byrån att samarbeta fullt ut med Olaf i den pågående utredningen. Parlamentet noterar från byråns konsoliderade verksamhetsrapport för 2022 revisionsrättens slutsatser att beräkningen av ersättningar för placering i lönegrad för tillfällig tillsättning av chefstjänster var laglig och korrekt, medan den tillfälliga tillsättningen av tjänster som överstiger ett år stred mot regelverket, dock utan att detta ledde till oriktiga betalningar. Parlamentet uppmanar byrån att informera den ansvarsfrihetsbeviljande myndigheten om hur utredningen fortlöper.</w:t>
      </w:r>
    </w:p>
    <w:p w:rsidR="00CD0D7A" w:rsidRPr="001D6CF0" w:rsidRDefault="00CD0D7A" w:rsidP="00CD0D7A">
      <w:pPr>
        <w:pStyle w:val="NormalHanging12a"/>
        <w:widowControl/>
      </w:pPr>
      <w:r w:rsidRPr="001D6CF0">
        <w:t>18.</w:t>
      </w:r>
      <w:r w:rsidRPr="001D6CF0">
        <w:tab/>
        <w:t>Europaparlamentet är bekymrat över byråns interna styrningsförfaranden mot bakgrund av att Olaf under 2022 inledde en utredning om styrnings- och personalpolicyerna vilka påstås innehålla inslag av nepotism, samt ytterligare en utredning avseende bristen på respekt för mänskliga rättigheter. Parlamentet upprepar sin uppmaning till byrån att fullt ut samarbeta med utredningsorganet och i god tid informera den ansvarsfrihetsbeviljande myndigheten om resultat och avhjälpande åtgärder.</w:t>
      </w:r>
    </w:p>
    <w:p w:rsidR="00CD0D7A" w:rsidRPr="001D6CF0" w:rsidRDefault="00CD0D7A" w:rsidP="00CD0D7A">
      <w:pPr>
        <w:widowControl/>
        <w:spacing w:after="240"/>
        <w:ind w:left="567" w:hanging="567"/>
      </w:pPr>
      <w:r w:rsidRPr="001D6CF0">
        <w:t>19.</w:t>
      </w:r>
      <w:r w:rsidRPr="001D6CF0">
        <w:tab/>
        <w:t>Europaparlamentet påminner om att Olaf under 2018 avslutade en annan utredning som utmynnade i slutsatser om t.ex. dålig förvaltning av personalresurser, att byråns verkställande direktör avgått vid den tidpunkten och att byråns styrelse antagit en handlingsplan för styrning som syftade till att återställa förtroendet internt och externt, stärka styrningsstrukturen och återuppbygga den interna kapaciteten. Parlamentet observerar att revisionsrätten i sin årsrapport ansåg sin iakttagelse om det stora antalet vakanta chefsposter samt att bristen på chefsnivå kan inverka negativt på byråns ledarskap och försvaga den strategiska kontinuiteten, som avslutad och avhjälpt. Parlamentet påminner i detta sammanhang om att styrelsen enligt artikel 41.1 t i EUAA</w:t>
      </w:r>
      <w:r w:rsidRPr="001D6CF0">
        <w:noBreakHyphen/>
        <w:t>förordningen ska fatta alla beslut som rör inrättandet av byråns interna strukturer, medan kommissionen som medlem av byråns styrelse regelbundet ska se över byråns omorganisationer. Parlamentet observerar att det trots de omorganisationer som byrån genomfört under de senaste åren fortfarande verkar finnas problem, vilket påpekas i den anonyma skrivelsen från januari 2023. Parlamentet noterar revisionsrättens slutsatser för budgetåret 2022 på grundval av de korrigerande åtgärder som byrån vidtagit. Parlamentet uppmanar i detta sammanhang kommissionen att identifiera lösningar för genomförandet av en oberoende bedömning av byråns senaste omorganisationer och förväntar sig att internrevisionstjänstens pågående revisionen av personalförvaltningen kommer att ge en lämplig utvärdering av i vilken utsträckning byråns nuvarande organisationsplan och ansvarsfördelningen mellan byråns chefer på mellannivå och högre chefsnivå är utsatt för risker för ineffektivitet, dålig förvaltning av personalresurser eller brist på transparens (även gentemot byråns styrelse) med mera.</w:t>
      </w:r>
    </w:p>
    <w:p w:rsidR="00CD0D7A" w:rsidRPr="001D6CF0" w:rsidRDefault="00CD0D7A" w:rsidP="00CD0D7A">
      <w:pPr>
        <w:pStyle w:val="NormalHanging12a"/>
        <w:widowControl/>
        <w:rPr>
          <w:szCs w:val="24"/>
        </w:rPr>
      </w:pPr>
      <w:r w:rsidRPr="001D6CF0">
        <w:t>20.</w:t>
      </w:r>
      <w:r w:rsidRPr="001D6CF0">
        <w:tab/>
        <w:t>Europaparlamentet noterar med oro att byrån inte har antagit stadgan om mångfald och inkludering och inte heller rapporterat om åtgärder som vidtagits för att integrera personer med funktionshinder. Parlamentet påminner om att EU-stadgan om de grundläggande rättigheterna förbjuder diskriminering på grund av funktionshinder och erkänner rätten för personer med funktionshinder att få del av åtgärder som syftar till att säkerställa deras oberoende, sociala och yrkesmässiga integrering och deltagande i samhällslivet. Parlamentet noterar dock byråns åtagande att vidta åtgärder på dessa områden genom insatser som kommer att genomföras när den kommande personalstrategin har antagits. Parlamentet observerar vidare att byrån har tagit initiativ och vidtagit olika åtgärder för att förbättra personalens välbefinnande på arbetsplatsen och balansen mellan arbete och privatliv, såsom riktade utbildningskurser, servicenivåavtal med barnomsorgsleverantörer och skolor, en tjänst för psykologiskt och socialt stöd, informationskampanjer samt fritidsaktiviteter.</w:t>
      </w:r>
    </w:p>
    <w:p w:rsidR="00CD0D7A" w:rsidRPr="001D6CF0" w:rsidRDefault="00CD0D7A" w:rsidP="00CD0D7A">
      <w:pPr>
        <w:pStyle w:val="NormalHanging12a"/>
        <w:keepNext/>
        <w:keepLines/>
        <w:widowControl/>
        <w:rPr>
          <w:b/>
          <w:i/>
          <w:szCs w:val="24"/>
        </w:rPr>
      </w:pPr>
      <w:r w:rsidRPr="001D6CF0">
        <w:rPr>
          <w:b/>
          <w:i/>
        </w:rPr>
        <w:t>Upphandling</w:t>
      </w:r>
    </w:p>
    <w:p w:rsidR="00CD0D7A" w:rsidRPr="001D6CF0" w:rsidRDefault="00CD0D7A" w:rsidP="00CD0D7A">
      <w:pPr>
        <w:pStyle w:val="NormalHanging12a"/>
        <w:widowControl/>
        <w:rPr>
          <w:szCs w:val="24"/>
        </w:rPr>
      </w:pPr>
      <w:r w:rsidRPr="001D6CF0">
        <w:t>21.</w:t>
      </w:r>
      <w:r w:rsidRPr="001D6CF0">
        <w:tab/>
        <w:t>Europaparlamentet påminner om revisionsrättens iakttagelser för budgetåren 2017 och 2020 enligt vilka upphandlingsförfarandena för hyrda lokaler i Lesbos och Rom var oriktiga på grund av otillräcklig konkurrens och bristande efterlevnad av principen om sparsamhet. Parlamentet noterar från revisionsrättens rapport att alla efterföljande betalningar som gjorts i samband med dessa förfaranden är oriktiga, inklusive tillhörande betalningar på 281 095 EUR som gjordes 2022. Parlamentet noterar med tillfredsställelse från revisionsrättens rapport de korrigerande åtgärder som byrån vidtagit, genom vilka hyresavtalen för lokalerna i Lesbos och Rom löpte ut den 30 april 2023 respektive den 31 juli 2023. Parlamentet noterar från byråns konsoliderade verksamhetsrapport för 2022 att en hållbar lösning för hyran på Lesbos söks i samarbete med de grekiska myndigheterna.</w:t>
      </w:r>
    </w:p>
    <w:p w:rsidR="00CD0D7A" w:rsidRPr="001D6CF0" w:rsidRDefault="00CD0D7A" w:rsidP="00CD0D7A">
      <w:pPr>
        <w:pStyle w:val="NormalHanging12a"/>
        <w:widowControl/>
        <w:rPr>
          <w:szCs w:val="24"/>
        </w:rPr>
      </w:pPr>
      <w:r w:rsidRPr="001D6CF0">
        <w:t>22.</w:t>
      </w:r>
      <w:r w:rsidRPr="001D6CF0">
        <w:tab/>
        <w:t>Europaparlamentet noterar iakttagelsen i revisionsrättens rapport att byrån hade köpt it</w:t>
      </w:r>
      <w:r w:rsidRPr="001D6CF0">
        <w:noBreakHyphen/>
        <w:t>utrustning från en leverantörs online-katalog i stället för från den förhandsgodkända prislista som ingick i de finansiella och tekniska anbuden, vilket ledde till ett inköpspris som var 44 % (motsvarande det belopp på 49 224 EUR som revisionsrätten ansåg vara oriktigt) dyrare än vad den skulle ha varit om det hade baserats på den förhandsgodkända prislistan. Parlamentet noterar från byråns svar att beslutet att köpa dessa artiklar avgjordes av de operativa behoven och brådskan samt av den begränsade tillgången på it-utrustning på marknaden, och lämpliga kontroller har angetts för att ge rimliga garantier för att inköp av ersättningsartiklar från online-katalogen kommer att begränsas till priset för motsvarande produkt enligt uppdragstagarens ursprungliga anbud.</w:t>
      </w:r>
    </w:p>
    <w:p w:rsidR="00CD0D7A" w:rsidRPr="001D6CF0" w:rsidRDefault="00CD0D7A" w:rsidP="00CD0D7A">
      <w:pPr>
        <w:widowControl/>
        <w:spacing w:after="240"/>
        <w:ind w:left="567" w:hanging="567"/>
        <w:rPr>
          <w:szCs w:val="24"/>
        </w:rPr>
      </w:pPr>
      <w:r w:rsidRPr="001D6CF0">
        <w:rPr>
          <w:b/>
          <w:i/>
        </w:rPr>
        <w:t>Förebyggande och hantering av intressekonflikter samt transparens</w:t>
      </w:r>
    </w:p>
    <w:p w:rsidR="00CD0D7A" w:rsidRPr="001D6CF0" w:rsidRDefault="00CD0D7A" w:rsidP="00CD0D7A">
      <w:pPr>
        <w:pStyle w:val="NormalHanging12a"/>
        <w:widowControl/>
        <w:rPr>
          <w:szCs w:val="24"/>
        </w:rPr>
      </w:pPr>
      <w:r w:rsidRPr="001D6CF0">
        <w:t>23.</w:t>
      </w:r>
      <w:r w:rsidRPr="001D6CF0">
        <w:tab/>
        <w:t>Europaparlamentet lovordar de framsteg som byrån gjort under 2022 på området hantering och förebyggande av intressekonflikter, och etisk vägledning genom förberedande arbete som ledde till antagandet i januari 2023 av ett beslut som var tillämpligt på byråns styrelseledamöter, samt på de organisationer och behöriga organ som är medlemmar i byråns rådgivande forum och två beslut som är tillämpliga på byråns personal. Parlamentet välkomnar utnämningen av byråns etikkorrespondent samt byråns åtagande att inkludera standardtexter om förklaringar om intressekonflikter i inbjudningarna till möten med externa deltagare. Parlamentet noterar med tillfredsställelse att byrån har tagit fram en vägledning om regler och förfaranden efter avslutad anställning för personal som lämnar byrån.</w:t>
      </w:r>
    </w:p>
    <w:p w:rsidR="00CD0D7A" w:rsidRPr="001D6CF0" w:rsidRDefault="00CD0D7A" w:rsidP="00CD0D7A">
      <w:pPr>
        <w:pStyle w:val="NormalHanging12a"/>
        <w:widowControl/>
        <w:rPr>
          <w:szCs w:val="24"/>
        </w:rPr>
      </w:pPr>
      <w:r w:rsidRPr="001D6CF0">
        <w:t>24.</w:t>
      </w:r>
      <w:r w:rsidRPr="001D6CF0">
        <w:tab/>
        <w:t>Europaparlamentet noterar att styrelseledamöternas intresseförklaringar och meritförteckningar offentliggörs på byråns webbplats, liksom intresseförklaringarna och meritförteckningarna för byråns ledningspersonal. Parlamentet observerar dock att interna och externa experters meritförteckningar inte finns tillgängliga på byråns webbplats. Parlamentet noterar från byråns svar på parlamentets skriftliga frågor att det under 2022 inte förekom några påbörjade, avslutade eller pågående fall av intressekonflikter eller visselblåsning på byråns nivå. Parlamentet lovordar byrån för att den upprätthåller en nära dialog med relevanta organisationer i det civila samhället som är verksamma på asylområdet genom byråns rådgivande forum, som återinrättades (116 medlemmar) i juni 2022 med en ny uppsättning regler som härrör från förordning (EU) 2021/2303.</w:t>
      </w:r>
    </w:p>
    <w:p w:rsidR="00CD0D7A" w:rsidRPr="001D6CF0" w:rsidRDefault="00CD0D7A" w:rsidP="00CD0D7A">
      <w:pPr>
        <w:widowControl/>
        <w:spacing w:after="240"/>
        <w:ind w:left="567" w:hanging="567"/>
        <w:rPr>
          <w:b/>
          <w:i/>
          <w:szCs w:val="24"/>
        </w:rPr>
      </w:pPr>
      <w:r w:rsidRPr="001D6CF0">
        <w:rPr>
          <w:b/>
          <w:i/>
        </w:rPr>
        <w:t>Internkontroll</w:t>
      </w:r>
    </w:p>
    <w:p w:rsidR="00CD0D7A" w:rsidRPr="001D6CF0" w:rsidRDefault="00CD0D7A" w:rsidP="00CD0D7A">
      <w:pPr>
        <w:pStyle w:val="NormalHanging12a"/>
        <w:widowControl/>
        <w:rPr>
          <w:szCs w:val="24"/>
        </w:rPr>
      </w:pPr>
      <w:r w:rsidRPr="001D6CF0">
        <w:t>25.</w:t>
      </w:r>
      <w:r w:rsidRPr="001D6CF0">
        <w:tab/>
        <w:t>Europaparlamentet noterar iakttagelsen i revisionsrättens rapport att tre fall av vidaredelegering som hade behövt bekräftas på nytt i april 2021 inte hade bekräftats förrän i februari 2022, när situationen korrigerades, och att byrån därför bröt mot sina interna regler enligt vilka vidaredelegering av finansiella befogenheter ska förnyas så snart en ny delegerad utanordnare har utsetts.</w:t>
      </w:r>
    </w:p>
    <w:p w:rsidR="00CD0D7A" w:rsidRPr="001D6CF0" w:rsidRDefault="00CD0D7A" w:rsidP="00CD0D7A">
      <w:pPr>
        <w:pStyle w:val="NormalHanging12a"/>
        <w:widowControl/>
        <w:rPr>
          <w:szCs w:val="24"/>
        </w:rPr>
      </w:pPr>
      <w:r w:rsidRPr="001D6CF0">
        <w:t>26.</w:t>
      </w:r>
      <w:r w:rsidRPr="001D6CF0">
        <w:tab/>
        <w:t>Europaparlamentet välkomnar de framsteg som byrån gjort när det gäller att ta itu med rekommendationerna från tidigare revisioner som utförts av tjänsten för internrevision (IAS) och revisionsrätten. Parlamentet noterar från byråns konsoliderade verksamhetsrapport för 2022 att vissa rekommendationer i samband med IAS revision från 2020 (personalförvaltning och etik vid Easo) och 2021 (it-förvaltning, it</w:t>
      </w:r>
      <w:r w:rsidRPr="001D6CF0">
        <w:noBreakHyphen/>
        <w:t>projektledning) fortfarande pågår eller försenats avsevärt. Parlamentet noterar vidare från revisionsrättens rapport att tre rekommendationer från tidigare revisioner som revisionsrätten genomfört fortfarande är oavslutade: två rekommendationer avseende hyresavtalen för lokalerna i Lesbos och Rom som byrån förväntar sig att få avslutade av revisionsrätten under 2024 eftersom de sista tillhörande (oriktiga) betalningarna gjordes 2023, och en rekommendation om byråns inrättande av effektiva finansiella efterhandskontroller. Parlamentet uppmanar i detta sammanhang byrån att skynda på genomförandet av de pågående korrigerande åtgärderna och hålla den ansvarsfrihetsbeviljande myndigheten informerad om de framsteg som gjorts i detta avseende.</w:t>
      </w:r>
    </w:p>
    <w:p w:rsidR="00CD0D7A" w:rsidRPr="001D6CF0" w:rsidRDefault="00CD0D7A" w:rsidP="00CD0D7A">
      <w:pPr>
        <w:pStyle w:val="NormalHanging12a"/>
        <w:widowControl/>
        <w:rPr>
          <w:szCs w:val="24"/>
        </w:rPr>
      </w:pPr>
      <w:r w:rsidRPr="001D6CF0">
        <w:t>27.</w:t>
      </w:r>
      <w:r w:rsidRPr="001D6CF0">
        <w:tab/>
        <w:t>Europaparlamentet noterar att byrån gjorde en självbedömning av sitt interna kontrollsystem (ICSA) för 2022 och drog slutsatsen att de övergripande kontrollerna fungerar som avsett, med 10 principer som är fullt effektiva och 7 som är effektiva, medan vissa förbättringar krävs när det gäller komponenterna kontrollmiljö, kontrollverksamhet och övervakningsverksamhet. Parlamentet betonar dessutom att en riskbaserad strategi för finansiella efterhandskontroller genomfördes 2022 på grundval av utvalda transaktioner och upphandlingar som omfattade två budgetår (2020–2021). Parlamentet noterar från byråns konsoliderade verksamhetsrapport för 2022 att resultaten av dessa kontroller innehöll 44 iakttagelser och föreslog 122 korrigerande åtgärder. Parlamentet noterar att byrån som en del av ICSA-kontrollerna för 2022 under första kvartalet 2023 genomförde kontroller av genomförandeläget av dessa 122 (på förhand överenskomna) korrigerande åtgärder, varav endast 45 korrigerande åtgärder (40 %) hade genomförts i tid och på lämpligt sätt av relevanta affärspartner. Parlamentet uppmanar byrån att ta itu med alla återstående korrigerande åtgärder och hålla den ansvarsfrihetsbeviljande myndigheten uppdaterad om de framsteg som har gjorts i detta avseende. Parlamentet noterar med tillfredsställelse att byrån på ett transparent sätt (bilaga IX till byråns konsoliderade verksamhetsrapport för 2022) presenterar detaljerna och läget för de identifierade bristerna och överenskomna korrigerande åtgärder som härrör från olika källor (hantering av undantagsfall och fall av bristande efterlevnad, kriterier för övervakning av intern kontroll, ICSA-kontroller, finansiella förhands- och efterhandskontroller, revisionsrapporter, riskhantering osv.).</w:t>
      </w:r>
    </w:p>
    <w:p w:rsidR="00CD0D7A" w:rsidRPr="001D6CF0" w:rsidRDefault="00CD0D7A" w:rsidP="00CD0D7A">
      <w:pPr>
        <w:pStyle w:val="NormalHanging12a"/>
        <w:widowControl/>
        <w:rPr>
          <w:szCs w:val="24"/>
        </w:rPr>
      </w:pPr>
      <w:r w:rsidRPr="001D6CF0">
        <w:t>28.</w:t>
      </w:r>
      <w:r w:rsidRPr="001D6CF0">
        <w:tab/>
        <w:t>Europaparlamentet påminner om att byråns bedrägeribekämpningsstrategi för perioden 2020–2022 antogs i juli 2020 och fastställde 25 prioriterade åtgärder som övervakades genom en rad kontroller. Parlamentet noterar med tillfredsställelse att 93 % av kontrollerna i samband med genomförandet av denna strategi ansågs vara genomförda under 2022. Parlamentet välkomnar byråns insatser för att öka medvetenheten om bedrägeribekämpningsrelaterade frågor, och 56,7 % av byråns ordinarie personal har deltagit i utbildningar om förebyggande av bedrägerier och identifiering av bedrägeririsker. Parlamentet noterar med tillfredsställelse att byrån på ett transparent sätt presenterar (bilaga XII till byråns konsoliderade verksamhetsrapport för 2022) detaljerade uppgifter om och status för kontrollverksamheten med avseende på byråns strategi för bedrägeribekämpning.</w:t>
      </w:r>
    </w:p>
    <w:p w:rsidR="00CD0D7A" w:rsidRPr="001D6CF0" w:rsidRDefault="00CD0D7A" w:rsidP="00CD0D7A">
      <w:pPr>
        <w:widowControl/>
        <w:spacing w:after="240"/>
        <w:ind w:left="567" w:hanging="567"/>
        <w:rPr>
          <w:b/>
          <w:i/>
          <w:szCs w:val="24"/>
        </w:rPr>
      </w:pPr>
      <w:r w:rsidRPr="001D6CF0">
        <w:rPr>
          <w:b/>
          <w:i/>
        </w:rPr>
        <w:t>Övriga kommentarer</w:t>
      </w:r>
    </w:p>
    <w:p w:rsidR="00CD0D7A" w:rsidRPr="001D6CF0" w:rsidRDefault="00CD0D7A" w:rsidP="00CD0D7A">
      <w:pPr>
        <w:widowControl/>
        <w:spacing w:after="240"/>
        <w:ind w:left="567" w:hanging="567"/>
        <w:rPr>
          <w:szCs w:val="24"/>
        </w:rPr>
      </w:pPr>
      <w:r w:rsidRPr="001D6CF0">
        <w:t>29.</w:t>
      </w:r>
      <w:r w:rsidRPr="001D6CF0">
        <w:tab/>
        <w:t>Europaparlamentet noterar att byrån har vidtagit olika åtgärder för att öka sin offentliga synlighet och online-närvaro, t.ex. genom att lansera en uppgraderad webbplats och en ny visuell identitet, uppgradera sin portfölj med sociala medier med fokus på audiovisuella format och välkomna studentgrupper till sina lokaler.</w:t>
      </w:r>
    </w:p>
    <w:p w:rsidR="00CD0D7A" w:rsidRPr="001D6CF0" w:rsidRDefault="00CD0D7A" w:rsidP="00CD0D7A">
      <w:pPr>
        <w:pStyle w:val="NormalHanging12a"/>
        <w:widowControl/>
      </w:pPr>
      <w:r w:rsidRPr="001D6CF0">
        <w:t>30.</w:t>
      </w:r>
      <w:r w:rsidRPr="001D6CF0">
        <w:tab/>
        <w:t>Europaparlamentet påminner om den roll som byrån spelar för stöd vid behandlingen av ansökningar om internationellt skydd samt för utbildning av handläggare med ansvar för behandling av asylansökningar. Parlamentet konstaterar att det är nödvändigt att byrån fortsätter att ge stöd till medlemsstater och tredjeländer i samband med hanteringen av asylansökningar och migration. Parlamentet begär att budgeten inriktas på ytterligare personalrekrytering om detta behövs för att hjälpa medlemsstaterna att säkerställa en rättvis prövning av ansökningarna om internationellt skydd, särskilt rekrytering av tolkar och psykologer för sökande som tillhör utsatta grupper.</w:t>
      </w:r>
    </w:p>
    <w:p w:rsidR="00CD0D7A" w:rsidRPr="001D6CF0" w:rsidRDefault="00CD0D7A" w:rsidP="00CD0D7A">
      <w:pPr>
        <w:pStyle w:val="NormalCenter12a"/>
        <w:widowControl/>
      </w:pPr>
      <w:r w:rsidRPr="001D6CF0">
        <w:t>°</w:t>
      </w:r>
    </w:p>
    <w:p w:rsidR="00CD0D7A" w:rsidRPr="001D6CF0" w:rsidRDefault="00CD0D7A" w:rsidP="00CD0D7A">
      <w:pPr>
        <w:pStyle w:val="NormalCenter12a"/>
        <w:widowControl/>
      </w:pPr>
      <w:r w:rsidRPr="001D6CF0">
        <w:t>°</w:t>
      </w:r>
      <w:r w:rsidRPr="001D6CF0">
        <w:tab/>
        <w:t>°</w:t>
      </w:r>
    </w:p>
    <w:p w:rsidR="00CD0D7A" w:rsidRPr="001D6CF0" w:rsidRDefault="00CD0D7A" w:rsidP="00CD0D7A">
      <w:pPr>
        <w:pStyle w:val="NormalHanging12a"/>
        <w:widowControl/>
      </w:pPr>
      <w:r w:rsidRPr="001D6CF0">
        <w:t>31.</w:t>
      </w:r>
      <w:r w:rsidRPr="001D6CF0">
        <w:tab/>
        <w:t xml:space="preserve">När det gäller andra övergripande iakttagelser som utgör en del av beslutet om ansvarsfrihet hänvisar Europaparlamentet till sin resolution av den </w:t>
      </w:r>
      <w:r w:rsidR="00C0023F" w:rsidRPr="001D6CF0">
        <w:t>11 april 2024</w:t>
      </w:r>
      <w:r w:rsidRPr="001D6CF0">
        <w:rPr>
          <w:rStyle w:val="FootnoteReference"/>
        </w:rPr>
        <w:footnoteReference w:id="14"/>
      </w:r>
      <w:r w:rsidRPr="001D6CF0">
        <w:t xml:space="preserve"> om byråernas verksamhetsresultat, ekonomiska förvaltning och kontroll.</w:t>
      </w:r>
    </w:p>
    <w:p w:rsidR="00E365E1" w:rsidRPr="001D6CF0" w:rsidRDefault="00E365E1" w:rsidP="002C11FE">
      <w:bookmarkStart w:id="7" w:name="TextBodyEnd"/>
      <w:bookmarkStart w:id="8" w:name="_GoBack"/>
      <w:bookmarkEnd w:id="7"/>
      <w:bookmarkEnd w:id="8"/>
    </w:p>
    <w:sectPr w:rsidR="00E365E1" w:rsidRPr="001D6CF0" w:rsidSect="00B15CB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1FE" w:rsidRPr="00B15CB0" w:rsidRDefault="002C11FE">
      <w:r w:rsidRPr="00B15CB0">
        <w:separator/>
      </w:r>
    </w:p>
  </w:endnote>
  <w:endnote w:type="continuationSeparator" w:id="0">
    <w:p w:rsidR="002C11FE" w:rsidRPr="00B15CB0" w:rsidRDefault="002C11FE">
      <w:r w:rsidRPr="00B15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D7A" w:rsidRPr="00B15CB0" w:rsidRDefault="00CD0D7A" w:rsidP="00ED1AE2">
    <w:pPr>
      <w:pStyle w:val="EPFooter"/>
    </w:pPr>
    <w:r w:rsidRPr="00B15CB0">
      <w:t>PE</w:t>
    </w:r>
    <w:r w:rsidRPr="00B15CB0">
      <w:rPr>
        <w:rStyle w:val="HideTWBExt"/>
      </w:rPr>
      <w:t>&lt;NoPE&gt;</w:t>
    </w:r>
    <w:r w:rsidRPr="00B15CB0">
      <w:t>753.532</w:t>
    </w:r>
    <w:r w:rsidRPr="00B15CB0">
      <w:rPr>
        <w:rStyle w:val="HideTWBExt"/>
      </w:rPr>
      <w:t>&lt;/NoPE&gt;&lt;Version&gt;</w:t>
    </w:r>
    <w:r w:rsidRPr="00B15CB0">
      <w:t>v02-00</w:t>
    </w:r>
    <w:r w:rsidRPr="00B15CB0">
      <w:rPr>
        <w:rStyle w:val="HideTWBExt"/>
      </w:rPr>
      <w:t>&lt;/Version&gt;</w:t>
    </w:r>
    <w:r w:rsidRPr="00B15CB0">
      <w:tab/>
    </w:r>
    <w:r w:rsidRPr="00B15CB0">
      <w:fldChar w:fldCharType="begin"/>
    </w:r>
    <w:r w:rsidRPr="00B15CB0">
      <w:instrText xml:space="preserve"> PAGE  \* MERGEFORMAT </w:instrText>
    </w:r>
    <w:r w:rsidRPr="00B15CB0">
      <w:fldChar w:fldCharType="separate"/>
    </w:r>
    <w:r w:rsidR="00B15CB0" w:rsidRPr="00B15CB0">
      <w:rPr>
        <w:noProof/>
      </w:rPr>
      <w:t>2</w:t>
    </w:r>
    <w:r w:rsidRPr="00B15CB0">
      <w:fldChar w:fldCharType="end"/>
    </w:r>
    <w:r w:rsidRPr="00B15CB0">
      <w:t>/</w:t>
    </w:r>
    <w:r w:rsidR="001D6CF0">
      <w:fldChar w:fldCharType="begin"/>
    </w:r>
    <w:r w:rsidR="001D6CF0">
      <w:instrText xml:space="preserve"> NUMPAGES  \* MERGEFORMAT </w:instrText>
    </w:r>
    <w:r w:rsidR="001D6CF0">
      <w:fldChar w:fldCharType="separate"/>
    </w:r>
    <w:r w:rsidR="00B15CB0" w:rsidRPr="00B15CB0">
      <w:rPr>
        <w:noProof/>
      </w:rPr>
      <w:t>3</w:t>
    </w:r>
    <w:r w:rsidR="001D6CF0">
      <w:rPr>
        <w:noProof/>
      </w:rPr>
      <w:fldChar w:fldCharType="end"/>
    </w:r>
    <w:r w:rsidRPr="00B15CB0">
      <w:tab/>
    </w:r>
    <w:r w:rsidRPr="00B15CB0">
      <w:rPr>
        <w:rStyle w:val="HideTWBExt"/>
      </w:rPr>
      <w:t>&lt;PathFdR&gt;</w:t>
    </w:r>
    <w:r w:rsidRPr="00B15CB0">
      <w:t>RR\1299515SV.docx</w:t>
    </w:r>
    <w:r w:rsidRPr="00B15CB0">
      <w:rPr>
        <w:rStyle w:val="HideTWBExt"/>
      </w:rPr>
      <w:t>&lt;/PathFdR&gt;</w:t>
    </w:r>
  </w:p>
  <w:p w:rsidR="00CD0D7A" w:rsidRPr="00B15CB0" w:rsidRDefault="00CD0D7A" w:rsidP="00ED1AE2">
    <w:pPr>
      <w:pStyle w:val="EPFooter2"/>
    </w:pPr>
    <w:r w:rsidRPr="00B15CB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D7A" w:rsidRPr="00B15CB0" w:rsidRDefault="00CD0D7A" w:rsidP="00ED1AE2">
    <w:pPr>
      <w:pStyle w:val="EPFooter"/>
    </w:pPr>
    <w:r w:rsidRPr="00B15CB0">
      <w:rPr>
        <w:rStyle w:val="HideTWBExt"/>
      </w:rPr>
      <w:t>&lt;PathFdR&gt;</w:t>
    </w:r>
    <w:r w:rsidRPr="00B15CB0">
      <w:t>RR\1299515SV.docx</w:t>
    </w:r>
    <w:r w:rsidRPr="00B15CB0">
      <w:rPr>
        <w:rStyle w:val="HideTWBExt"/>
      </w:rPr>
      <w:t>&lt;/PathFdR&gt;</w:t>
    </w:r>
    <w:r w:rsidRPr="00B15CB0">
      <w:tab/>
    </w:r>
    <w:r w:rsidRPr="00B15CB0">
      <w:tab/>
      <w:t>PE</w:t>
    </w:r>
    <w:r w:rsidRPr="00B15CB0">
      <w:rPr>
        <w:rStyle w:val="HideTWBExt"/>
      </w:rPr>
      <w:t>&lt;NoPE&gt;</w:t>
    </w:r>
    <w:r w:rsidRPr="00B15CB0">
      <w:t>753.532</w:t>
    </w:r>
    <w:r w:rsidRPr="00B15CB0">
      <w:rPr>
        <w:rStyle w:val="HideTWBExt"/>
      </w:rPr>
      <w:t>&lt;/NoPE&gt;&lt;Version&gt;</w:t>
    </w:r>
    <w:r w:rsidRPr="00B15CB0">
      <w:t>v02-00</w:t>
    </w:r>
    <w:r w:rsidRPr="00B15CB0">
      <w:rPr>
        <w:rStyle w:val="HideTWBExt"/>
      </w:rPr>
      <w:t>&lt;/Version&gt;</w:t>
    </w:r>
  </w:p>
  <w:p w:rsidR="00CD0D7A" w:rsidRPr="00B15CB0" w:rsidRDefault="00CD0D7A" w:rsidP="00ED1AE2">
    <w:pPr>
      <w:pStyle w:val="EPFooter2"/>
    </w:pPr>
    <w:r w:rsidRPr="00B15CB0">
      <w:t>SV</w:t>
    </w:r>
    <w:r w:rsidRPr="00B15CB0">
      <w:tab/>
    </w:r>
    <w:r w:rsidRPr="00B15CB0">
      <w:rPr>
        <w:b w:val="0"/>
        <w:i/>
        <w:color w:val="C0C0C0"/>
        <w:sz w:val="22"/>
      </w:rPr>
      <w:t>Förenade i mångfalden</w:t>
    </w:r>
    <w:r w:rsidRPr="00B15CB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1FE" w:rsidRPr="00B15CB0" w:rsidRDefault="002C11FE">
      <w:r w:rsidRPr="00B15CB0">
        <w:separator/>
      </w:r>
    </w:p>
  </w:footnote>
  <w:footnote w:type="continuationSeparator" w:id="0">
    <w:p w:rsidR="002C11FE" w:rsidRPr="00B15CB0" w:rsidRDefault="002C11FE">
      <w:r w:rsidRPr="00B15CB0">
        <w:continuationSeparator/>
      </w:r>
    </w:p>
  </w:footnote>
  <w:footnote w:id="1">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C, C/2023/594, 27.10.2023.</w:t>
      </w:r>
    </w:p>
  </w:footnote>
  <w:footnote w:id="2">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C, C/2023/112, 12.10.2023.</w:t>
      </w:r>
    </w:p>
  </w:footnote>
  <w:footnote w:id="3">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193, 30.7.2018, s. 1.</w:t>
      </w:r>
    </w:p>
  </w:footnote>
  <w:footnote w:id="4">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132, 29.5.2010, s. 11.</w:t>
      </w:r>
    </w:p>
  </w:footnote>
  <w:footnote w:id="5">
    <w:p w:rsidR="00CD0D7A" w:rsidRPr="001D6CF0" w:rsidRDefault="00CD0D7A" w:rsidP="00B15CB0">
      <w:pPr>
        <w:pStyle w:val="FootnoteText"/>
        <w:ind w:left="567" w:hanging="567"/>
        <w:rPr>
          <w:sz w:val="24"/>
          <w:szCs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468, 30.12.2021, s. 1.</w:t>
      </w:r>
    </w:p>
  </w:footnote>
  <w:footnote w:id="6">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122, 10.5.2019, s. 1.</w:t>
      </w:r>
    </w:p>
  </w:footnote>
  <w:footnote w:id="7">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C, C/2023/594, 27.10.2023.</w:t>
      </w:r>
    </w:p>
  </w:footnote>
  <w:footnote w:id="8">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C, C/2023/112, 12.10.2023.</w:t>
      </w:r>
    </w:p>
  </w:footnote>
  <w:footnote w:id="9">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193, 30.7.2018, s. 1.</w:t>
      </w:r>
    </w:p>
  </w:footnote>
  <w:footnote w:id="10">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132, 29.5.2010, s. 11.</w:t>
      </w:r>
    </w:p>
  </w:footnote>
  <w:footnote w:id="11">
    <w:p w:rsidR="00CD0D7A" w:rsidRPr="001D6CF0" w:rsidRDefault="00CD0D7A" w:rsidP="00B15CB0">
      <w:pPr>
        <w:pStyle w:val="FootnoteText"/>
        <w:ind w:left="567" w:hanging="567"/>
        <w:rPr>
          <w:sz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468, 30.12.2021, s. 1.</w:t>
      </w:r>
    </w:p>
  </w:footnote>
  <w:footnote w:id="12">
    <w:p w:rsidR="00CD0D7A" w:rsidRPr="001D6CF0" w:rsidRDefault="00CD0D7A" w:rsidP="00B15CB0">
      <w:pPr>
        <w:pStyle w:val="FootnoteText"/>
        <w:ind w:left="567" w:hanging="567"/>
        <w:rPr>
          <w:sz w:val="24"/>
          <w:szCs w:val="24"/>
        </w:rPr>
      </w:pPr>
      <w:r w:rsidRPr="001D6CF0">
        <w:rPr>
          <w:rStyle w:val="FootnoteReference"/>
          <w:sz w:val="24"/>
          <w:lang w:val="sv-SE"/>
        </w:rPr>
        <w:footnoteRef/>
      </w:r>
      <w:r w:rsidR="00B15CB0" w:rsidRPr="001D6CF0">
        <w:rPr>
          <w:sz w:val="24"/>
        </w:rPr>
        <w:t xml:space="preserve"> </w:t>
      </w:r>
      <w:r w:rsidR="00B15CB0" w:rsidRPr="001D6CF0">
        <w:rPr>
          <w:sz w:val="24"/>
        </w:rPr>
        <w:tab/>
      </w:r>
      <w:r w:rsidRPr="001D6CF0">
        <w:rPr>
          <w:sz w:val="24"/>
        </w:rPr>
        <w:t>EUT L 122, 10.5.2019, s. 1.</w:t>
      </w:r>
    </w:p>
  </w:footnote>
  <w:footnote w:id="13">
    <w:p w:rsidR="00CD0D7A" w:rsidRPr="001D6CF0" w:rsidRDefault="00CD0D7A" w:rsidP="00B15CB0">
      <w:pPr>
        <w:pStyle w:val="FootnoteText"/>
        <w:ind w:left="567" w:hanging="567"/>
        <w:rPr>
          <w:sz w:val="24"/>
          <w:lang w:val="sv-SE"/>
        </w:rPr>
      </w:pPr>
      <w:r w:rsidRPr="001D6CF0">
        <w:rPr>
          <w:sz w:val="24"/>
          <w:vertAlign w:val="superscript"/>
          <w:lang w:val="sv-SE"/>
        </w:rPr>
        <w:footnoteRef/>
      </w:r>
      <w:r w:rsidR="00B15CB0" w:rsidRPr="001D6CF0">
        <w:rPr>
          <w:sz w:val="24"/>
          <w:lang w:val="sv-SE"/>
        </w:rPr>
        <w:t xml:space="preserve"> </w:t>
      </w:r>
      <w:r w:rsidR="00B15CB0" w:rsidRPr="001D6CF0">
        <w:rPr>
          <w:sz w:val="24"/>
          <w:lang w:val="sv-SE"/>
        </w:rPr>
        <w:tab/>
      </w:r>
      <w:r w:rsidRPr="001D6CF0">
        <w:rPr>
          <w:sz w:val="24"/>
          <w:lang w:val="sv-SE"/>
        </w:rPr>
        <w:t>EUT C 38, 31.01.2023, s. 180.</w:t>
      </w:r>
    </w:p>
  </w:footnote>
  <w:footnote w:id="14">
    <w:p w:rsidR="00CD0D7A" w:rsidRPr="00B15CB0" w:rsidRDefault="00CD0D7A" w:rsidP="00B15CB0">
      <w:pPr>
        <w:pStyle w:val="FootnoteText"/>
        <w:ind w:left="567" w:hanging="567"/>
        <w:rPr>
          <w:sz w:val="24"/>
          <w:lang w:val="sv-SE"/>
        </w:rPr>
      </w:pPr>
      <w:r w:rsidRPr="001D6CF0">
        <w:rPr>
          <w:rStyle w:val="FootnoteReference"/>
          <w:sz w:val="24"/>
          <w:lang w:val="sv-SE"/>
        </w:rPr>
        <w:footnoteRef/>
      </w:r>
      <w:r w:rsidR="00B15CB0" w:rsidRPr="001D6CF0">
        <w:rPr>
          <w:sz w:val="24"/>
          <w:lang w:val="sv-SE"/>
        </w:rPr>
        <w:t xml:space="preserve"> </w:t>
      </w:r>
      <w:r w:rsidR="00B15CB0" w:rsidRPr="001D6CF0">
        <w:rPr>
          <w:sz w:val="24"/>
          <w:lang w:val="sv-SE"/>
        </w:rPr>
        <w:tab/>
      </w:r>
      <w:r w:rsidRPr="001D6CF0">
        <w:rPr>
          <w:sz w:val="24"/>
          <w:lang w:val="sv-SE"/>
        </w:rPr>
        <w:t>Antagna texter, P9_TA(2024)</w:t>
      </w:r>
      <w:r w:rsidR="001D6CF0" w:rsidRPr="001D6CF0">
        <w:rPr>
          <w:sz w:val="24"/>
          <w:lang w:val="sv-SE"/>
        </w:rPr>
        <w:t>0280</w:t>
      </w:r>
      <w:r w:rsidRPr="001D6CF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C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SV"/>
    <w:docVar w:name="dvnumam" w:val="0"/>
    <w:docVar w:name="dvpe" w:val="753.532"/>
    <w:docVar w:name="dvrapporteur" w:val="Föredragande: "/>
    <w:docVar w:name="dvtitre" w:val="Europaparlamentets beslut av den xx xx 2024 om ansvarsfrihet för genomförandet av budgeten för Europeiska unionens asylbyrå (före 19.1.2022: Europeiska stödkontoret för asylfrågor) för budgetåret 2022(2023/2164(DEC))"/>
  </w:docVars>
  <w:rsids>
    <w:rsidRoot w:val="002C11FE"/>
    <w:rsid w:val="00002272"/>
    <w:rsid w:val="00064002"/>
    <w:rsid w:val="000677B9"/>
    <w:rsid w:val="000831BA"/>
    <w:rsid w:val="000A42CC"/>
    <w:rsid w:val="000E7DD9"/>
    <w:rsid w:val="0010095E"/>
    <w:rsid w:val="00125B37"/>
    <w:rsid w:val="00187494"/>
    <w:rsid w:val="001D6CF0"/>
    <w:rsid w:val="001F32AE"/>
    <w:rsid w:val="002767FF"/>
    <w:rsid w:val="002B18FE"/>
    <w:rsid w:val="002B5493"/>
    <w:rsid w:val="002C11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CD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04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CB0"/>
    <w:rsid w:val="00B22876"/>
    <w:rsid w:val="00B558F0"/>
    <w:rsid w:val="00BD48FE"/>
    <w:rsid w:val="00BD7BD8"/>
    <w:rsid w:val="00BE6ADC"/>
    <w:rsid w:val="00C0023F"/>
    <w:rsid w:val="00C05BFE"/>
    <w:rsid w:val="00C23CD4"/>
    <w:rsid w:val="00C61C0C"/>
    <w:rsid w:val="00C941CB"/>
    <w:rsid w:val="00CC2357"/>
    <w:rsid w:val="00CD0D7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DEE25"/>
  <w15:chartTrackingRefBased/>
  <w15:docId w15:val="{66EBF427-AFA7-4C33-AD12-F2FF2CE1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0D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0D7A"/>
    <w:pPr>
      <w:spacing w:before="480" w:after="240"/>
    </w:pPr>
  </w:style>
  <w:style w:type="paragraph" w:customStyle="1" w:styleId="PageHeading">
    <w:name w:val="PageHeading"/>
    <w:basedOn w:val="Normal"/>
    <w:rsid w:val="00CD0D7A"/>
    <w:pPr>
      <w:keepNext/>
      <w:spacing w:after="480"/>
      <w:jc w:val="center"/>
    </w:pPr>
    <w:rPr>
      <w:rFonts w:ascii="Arial" w:hAnsi="Arial" w:cs="Arial"/>
      <w:b/>
    </w:rPr>
  </w:style>
  <w:style w:type="paragraph" w:customStyle="1" w:styleId="NormalBold">
    <w:name w:val="NormalBold"/>
    <w:basedOn w:val="Normal"/>
    <w:rsid w:val="00CD0D7A"/>
    <w:rPr>
      <w:b/>
    </w:rPr>
  </w:style>
  <w:style w:type="paragraph" w:customStyle="1" w:styleId="NormalHanging12a">
    <w:name w:val="NormalHanging12a"/>
    <w:basedOn w:val="Normal"/>
    <w:link w:val="NormalHanging12aChar"/>
    <w:rsid w:val="00CD0D7A"/>
    <w:pPr>
      <w:spacing w:after="240"/>
      <w:ind w:left="567" w:hanging="567"/>
    </w:pPr>
  </w:style>
  <w:style w:type="paragraph" w:customStyle="1" w:styleId="NormalCenter12a">
    <w:name w:val="NormalCenter12a"/>
    <w:basedOn w:val="Normal"/>
    <w:rsid w:val="00CD0D7A"/>
    <w:pPr>
      <w:spacing w:after="240"/>
      <w:jc w:val="center"/>
    </w:pPr>
  </w:style>
  <w:style w:type="paragraph" w:styleId="Header">
    <w:name w:val="header"/>
    <w:basedOn w:val="Normal"/>
    <w:link w:val="HeaderChar"/>
    <w:rsid w:val="00CD0D7A"/>
    <w:pPr>
      <w:tabs>
        <w:tab w:val="center" w:pos="4513"/>
        <w:tab w:val="right" w:pos="9026"/>
      </w:tabs>
    </w:pPr>
  </w:style>
  <w:style w:type="character" w:customStyle="1" w:styleId="HeaderChar">
    <w:name w:val="Header Char"/>
    <w:basedOn w:val="DefaultParagraphFont"/>
    <w:link w:val="Header"/>
    <w:rsid w:val="00CD0D7A"/>
    <w:rPr>
      <w:sz w:val="24"/>
      <w:lang w:val="sv-SE"/>
    </w:rPr>
  </w:style>
  <w:style w:type="paragraph" w:customStyle="1" w:styleId="EPFooter">
    <w:name w:val="EPFooter"/>
    <w:basedOn w:val="Normal"/>
    <w:rsid w:val="00CD0D7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D0D7A"/>
    <w:rPr>
      <w:sz w:val="24"/>
      <w:lang w:val="sv-SE"/>
    </w:rPr>
  </w:style>
  <w:style w:type="character" w:customStyle="1" w:styleId="Normal12HangingChar">
    <w:name w:val="Normal12Hanging Char"/>
    <w:link w:val="Normal12Hanging"/>
    <w:locked/>
    <w:rsid w:val="00CD0D7A"/>
    <w:rPr>
      <w:sz w:val="24"/>
    </w:rPr>
  </w:style>
  <w:style w:type="paragraph" w:customStyle="1" w:styleId="Normal12Hanging">
    <w:name w:val="Normal12Hanging"/>
    <w:basedOn w:val="Normal"/>
    <w:link w:val="Normal12HangingChar"/>
    <w:rsid w:val="00CD0D7A"/>
    <w:pPr>
      <w:spacing w:after="240"/>
      <w:ind w:left="567" w:hanging="567"/>
    </w:pPr>
    <w:rPr>
      <w:lang w:val="en-GB"/>
    </w:rPr>
  </w:style>
  <w:style w:type="paragraph" w:styleId="BalloonText">
    <w:name w:val="Balloon Text"/>
    <w:basedOn w:val="Normal"/>
    <w:link w:val="BalloonTextChar"/>
    <w:rsid w:val="00C0023F"/>
    <w:rPr>
      <w:rFonts w:ascii="Segoe UI" w:hAnsi="Segoe UI" w:cs="Segoe UI"/>
      <w:sz w:val="18"/>
      <w:szCs w:val="18"/>
    </w:rPr>
  </w:style>
  <w:style w:type="character" w:customStyle="1" w:styleId="BalloonTextChar">
    <w:name w:val="Balloon Text Char"/>
    <w:basedOn w:val="DefaultParagraphFont"/>
    <w:link w:val="BalloonText"/>
    <w:rsid w:val="00C0023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9970D-308B-4705-BA30-F644B65A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5051</Words>
  <Characters>32988</Characters>
  <Application>Microsoft Office Word</Application>
  <DocSecurity>0</DocSecurity>
  <Lines>274</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2024-04-11T13:52:00Z</dcterms:created>
  <dcterms:modified xsi:type="dcterms:W3CDTF">2024-04-11T13:52:00Z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A9-0106/2024</vt:lpwstr>
  </property>
  <property fmtid="{D5CDD505-2E9C-101B-9397-08002B2CF9AE}" pid="4" name="&lt;Type&gt;">
    <vt:lpwstr>RR</vt:lpwstr>
  </property>
</Properties>
</file>