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73C4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73C41" w:rsidRDefault="00646888" w:rsidP="0010095E">
            <w:pPr>
              <w:pStyle w:val="EPName"/>
            </w:pPr>
            <w:r w:rsidRPr="00173C41">
              <w:t>Evropský parlament</w:t>
            </w:r>
          </w:p>
          <w:p w:rsidR="00751A4A" w:rsidRPr="00173C4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73C4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173C41" w:rsidRDefault="00187494" w:rsidP="0010095E">
            <w:pPr>
              <w:pStyle w:val="EPLogo"/>
            </w:pPr>
            <w:r w:rsidRPr="00173C4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73C41" w:rsidRDefault="00D058B8" w:rsidP="004C5D52">
      <w:pPr>
        <w:pStyle w:val="LineTop"/>
      </w:pPr>
    </w:p>
    <w:p w:rsidR="00680577" w:rsidRPr="00173C41" w:rsidRDefault="00646888" w:rsidP="00680577">
      <w:pPr>
        <w:pStyle w:val="EPBodyTA1"/>
      </w:pPr>
      <w:r w:rsidRPr="00173C41">
        <w:t>PŘIJATÉ TEXTY</w:t>
      </w:r>
    </w:p>
    <w:p w:rsidR="00D058B8" w:rsidRPr="00173C41" w:rsidRDefault="00D058B8" w:rsidP="00D058B8">
      <w:pPr>
        <w:pStyle w:val="LineBottom"/>
      </w:pPr>
    </w:p>
    <w:p w:rsidR="00646888" w:rsidRPr="00173C41" w:rsidRDefault="00646888" w:rsidP="00646888">
      <w:pPr>
        <w:pStyle w:val="ATHeading1"/>
      </w:pPr>
      <w:bookmarkStart w:id="0" w:name="TANumber"/>
      <w:r w:rsidRPr="00173C41">
        <w:t>P9_TA(2024)0</w:t>
      </w:r>
      <w:bookmarkEnd w:id="0"/>
      <w:r w:rsidR="00AF5131">
        <w:t>269</w:t>
      </w:r>
    </w:p>
    <w:p w:rsidR="00646888" w:rsidRPr="00173C41" w:rsidRDefault="00646888" w:rsidP="00646888">
      <w:pPr>
        <w:pStyle w:val="ATHeading2"/>
      </w:pPr>
      <w:bookmarkStart w:id="1" w:name="title"/>
      <w:r w:rsidRPr="00173C41">
        <w:t>Udělení absolutoria za rok 2022: Agentura Evropské unie pro provozní řízení rozsáhlých informačních systémů v prostoru svobody, bezpečnosti a práva (</w:t>
      </w:r>
      <w:proofErr w:type="spellStart"/>
      <w:r w:rsidRPr="00173C41">
        <w:t>eu</w:t>
      </w:r>
      <w:proofErr w:type="spellEnd"/>
      <w:r w:rsidRPr="00173C41">
        <w:t>-LISA)</w:t>
      </w:r>
      <w:bookmarkEnd w:id="1"/>
    </w:p>
    <w:p w:rsidR="00646888" w:rsidRPr="00173C41" w:rsidRDefault="00646888" w:rsidP="00646888">
      <w:pPr>
        <w:rPr>
          <w:i/>
          <w:vanish/>
        </w:rPr>
      </w:pPr>
      <w:r w:rsidRPr="00173C41">
        <w:rPr>
          <w:i/>
        </w:rPr>
        <w:fldChar w:fldCharType="begin"/>
      </w:r>
      <w:r w:rsidRPr="00173C41">
        <w:rPr>
          <w:i/>
        </w:rPr>
        <w:instrText xml:space="preserve"> TC"(</w:instrText>
      </w:r>
      <w:bookmarkStart w:id="2" w:name="DocNumber"/>
      <w:r w:rsidRPr="00173C41">
        <w:rPr>
          <w:i/>
        </w:rPr>
        <w:instrText>A9-0105/2024</w:instrText>
      </w:r>
      <w:bookmarkEnd w:id="2"/>
      <w:r w:rsidRPr="00173C41">
        <w:rPr>
          <w:i/>
        </w:rPr>
        <w:instrText xml:space="preserve"> - Zpravodaj: </w:instrText>
      </w:r>
      <w:proofErr w:type="spellStart"/>
      <w:r w:rsidRPr="00173C41">
        <w:rPr>
          <w:i/>
        </w:rPr>
        <w:instrText>Petri</w:instrText>
      </w:r>
      <w:proofErr w:type="spellEnd"/>
      <w:r w:rsidRPr="00173C41">
        <w:rPr>
          <w:i/>
        </w:rPr>
        <w:instrText xml:space="preserve"> </w:instrText>
      </w:r>
      <w:proofErr w:type="spellStart"/>
      <w:r w:rsidRPr="00173C41">
        <w:rPr>
          <w:i/>
        </w:rPr>
        <w:instrText>Sarvamaa</w:instrText>
      </w:r>
      <w:proofErr w:type="spellEnd"/>
      <w:r w:rsidRPr="00173C41">
        <w:rPr>
          <w:i/>
        </w:rPr>
        <w:instrText xml:space="preserve">)"\l3 \n&gt; \* MERGEFORMAT </w:instrText>
      </w:r>
      <w:r w:rsidRPr="00173C41">
        <w:rPr>
          <w:i/>
        </w:rPr>
        <w:fldChar w:fldCharType="end"/>
      </w:r>
    </w:p>
    <w:p w:rsidR="00646888" w:rsidRPr="00173C41" w:rsidRDefault="00646888" w:rsidP="00646888">
      <w:pPr>
        <w:rPr>
          <w:vanish/>
        </w:rPr>
      </w:pPr>
      <w:bookmarkStart w:id="3" w:name="Commission"/>
      <w:r w:rsidRPr="00173C41">
        <w:rPr>
          <w:vanish/>
        </w:rPr>
        <w:t>Výbor pro rozpočtovou kontrolu</w:t>
      </w:r>
      <w:bookmarkEnd w:id="3"/>
    </w:p>
    <w:p w:rsidR="00646888" w:rsidRPr="00173C41" w:rsidRDefault="00646888" w:rsidP="00646888">
      <w:pPr>
        <w:rPr>
          <w:vanish/>
        </w:rPr>
      </w:pPr>
      <w:bookmarkStart w:id="4" w:name="PE"/>
      <w:r w:rsidRPr="00173C41">
        <w:rPr>
          <w:vanish/>
        </w:rPr>
        <w:t>PE753.534</w:t>
      </w:r>
      <w:bookmarkEnd w:id="4"/>
    </w:p>
    <w:p w:rsidR="00646888" w:rsidRPr="00173C41" w:rsidRDefault="00646888" w:rsidP="00646888">
      <w:pPr>
        <w:pStyle w:val="ATHeading3"/>
      </w:pPr>
      <w:bookmarkStart w:id="5" w:name="Sujet"/>
      <w:r w:rsidRPr="00173C41">
        <w:t xml:space="preserve">1. Rozhodnutí </w:t>
      </w:r>
      <w:r w:rsidR="00223518">
        <w:t>Evropského parlamentu ze dne 11. dubna</w:t>
      </w:r>
      <w:r w:rsidRPr="00173C41">
        <w:t xml:space="preserve"> 2024 o udělení absolutoria za plnění rozpočtu Agentury Evropské unie pro provozní řízení rozsáhlých informačních systémů v prostoru svobody, bezpečnosti a práva (</w:t>
      </w:r>
      <w:proofErr w:type="spellStart"/>
      <w:r w:rsidRPr="00173C41">
        <w:t>eu</w:t>
      </w:r>
      <w:proofErr w:type="spellEnd"/>
      <w:r w:rsidRPr="00173C41">
        <w:t>-LISA) na rozpočtový rok 2022</w:t>
      </w:r>
      <w:bookmarkEnd w:id="5"/>
      <w:r w:rsidRPr="00173C41">
        <w:t xml:space="preserve"> </w:t>
      </w:r>
      <w:bookmarkStart w:id="6" w:name="References"/>
      <w:r w:rsidRPr="00173C41">
        <w:t>(2023/2165(DEC))</w:t>
      </w:r>
      <w:bookmarkEnd w:id="6"/>
    </w:p>
    <w:p w:rsidR="00F073B6" w:rsidRPr="00173C41" w:rsidRDefault="00F073B6" w:rsidP="00F073B6">
      <w:pPr>
        <w:pStyle w:val="EPComma"/>
      </w:pPr>
      <w:bookmarkStart w:id="7" w:name="TextBodyBegin"/>
      <w:bookmarkEnd w:id="7"/>
      <w:r w:rsidRPr="00173C41">
        <w:rPr>
          <w:i/>
        </w:rPr>
        <w:t>Evropský parlament</w:t>
      </w:r>
      <w:r w:rsidRPr="00173C41">
        <w:t>,</w:t>
      </w:r>
    </w:p>
    <w:p w:rsidR="00F073B6" w:rsidRPr="00173C41" w:rsidRDefault="00F073B6" w:rsidP="00F073B6">
      <w:pPr>
        <w:pStyle w:val="NormalHanging12a"/>
      </w:pPr>
      <w:r w:rsidRPr="00173C41">
        <w:t>–</w:t>
      </w:r>
      <w:r w:rsidRPr="00173C41">
        <w:tab/>
        <w:t>s ohledem na konečnou roční účetní závěrku Agentury Evropské unie pro provozní řízení rozsáhlých informačních systémů v prostoru svobody, bezpečnosti a práva (</w:t>
      </w:r>
      <w:proofErr w:type="spellStart"/>
      <w:r w:rsidRPr="00173C41">
        <w:t>eu</w:t>
      </w:r>
      <w:proofErr w:type="spellEnd"/>
      <w:r w:rsidRPr="00173C41">
        <w:t>-LISA) za rozpočtový rok 2022,</w:t>
      </w:r>
    </w:p>
    <w:p w:rsidR="00F073B6" w:rsidRPr="00173C41" w:rsidRDefault="00F073B6" w:rsidP="00F073B6">
      <w:pPr>
        <w:pStyle w:val="NormalHanging12a"/>
      </w:pPr>
      <w:r w:rsidRPr="00173C41">
        <w:t>–</w:t>
      </w:r>
      <w:r w:rsidRPr="00173C41">
        <w:tab/>
        <w:t>s ohledem na výroční zprávu Účetního dvora o agenturách EU za rozpočtový rok 2022 spolu s odpověďmi agentur</w:t>
      </w:r>
      <w:r w:rsidRPr="00173C41">
        <w:rPr>
          <w:rStyle w:val="FootnoteReference"/>
        </w:rPr>
        <w:footnoteReference w:id="1"/>
      </w:r>
      <w:r w:rsidRPr="00173C41">
        <w:t>,</w:t>
      </w:r>
    </w:p>
    <w:p w:rsidR="00F073B6" w:rsidRPr="00173C41" w:rsidRDefault="00F073B6" w:rsidP="00F073B6">
      <w:pPr>
        <w:pStyle w:val="NormalHanging12a"/>
      </w:pPr>
      <w:r w:rsidRPr="00173C41">
        <w:t>–</w:t>
      </w:r>
      <w:r w:rsidRPr="00173C41">
        <w:tab/>
        <w:t>s ohledem na prohlášení o věrohodnosti</w:t>
      </w:r>
      <w:r w:rsidRPr="00173C41">
        <w:rPr>
          <w:rStyle w:val="FootnoteReference"/>
        </w:rPr>
        <w:footnoteReference w:id="2"/>
      </w:r>
      <w:r w:rsidRPr="00173C41">
        <w:t xml:space="preserve"> účetnictví a o legalitě a správnosti uskutečněných operací, které předložil Účetní dvůr za rozpočtový rok 2022 podle článku 287 Smlouvy o fungování Evropské unie,</w:t>
      </w:r>
    </w:p>
    <w:p w:rsidR="00F073B6" w:rsidRPr="00173C41" w:rsidRDefault="00F073B6" w:rsidP="00F073B6">
      <w:pPr>
        <w:pStyle w:val="NormalHanging12a"/>
      </w:pPr>
      <w:r w:rsidRPr="00173C41">
        <w:t>–</w:t>
      </w:r>
      <w:r w:rsidRPr="00173C41">
        <w:tab/>
        <w:t>s ohledem na doporučení Rady ze dne 22. února 2024 o udělení absolutoria agentuře za plnění rozpoč</w:t>
      </w:r>
      <w:r w:rsidR="001011A1">
        <w:t>tu na rozpočtový rok 2022 (06180</w:t>
      </w:r>
      <w:r w:rsidRPr="00173C41">
        <w:t>/2024 – C</w:t>
      </w:r>
      <w:r w:rsidR="00453F81">
        <w:t>9</w:t>
      </w:r>
      <w:r w:rsidR="00453F81">
        <w:noBreakHyphen/>
        <w:t>0103</w:t>
      </w:r>
      <w:r w:rsidRPr="00173C41">
        <w:t>/2024),</w:t>
      </w:r>
    </w:p>
    <w:p w:rsidR="00F073B6" w:rsidRPr="00173C41" w:rsidRDefault="00F073B6" w:rsidP="00F073B6">
      <w:pPr>
        <w:pStyle w:val="NormalHanging12a"/>
      </w:pPr>
      <w:r w:rsidRPr="00173C41">
        <w:t>–</w:t>
      </w:r>
      <w:r w:rsidRPr="00173C41">
        <w:tab/>
        <w:t>s ohledem na článek 319 Smlouvy o fungování Evropské unie,</w:t>
      </w:r>
    </w:p>
    <w:p w:rsidR="00F073B6" w:rsidRPr="00173C41" w:rsidRDefault="00F073B6" w:rsidP="00F073B6">
      <w:pPr>
        <w:pStyle w:val="NormalHanging12a"/>
      </w:pPr>
      <w:r w:rsidRPr="00173C41">
        <w:t>–</w:t>
      </w:r>
      <w:r w:rsidRPr="00173C41">
        <w:tab/>
        <w:t>s ohledem na nařízení Evropského parlamentu a Rady (EU, Euratom) 2018/1046 ze dne 18. července 2018, kterým se stanoví finanční pravidla pro souhrnný rozpočet Unie, mění nařízení (EU) č. 1296/2013, (EU) č. 1301/2013, (EU) č. 1303/2013, (EU) č. 1304/2013, (EU) č. 1309/2013, (EU) č. 1316/2013, (EU) č. 223/2014, (EU) č. 283/2014 a </w:t>
      </w:r>
      <w:r w:rsidR="00223518">
        <w:t>rozhodnutí č. 541/2014/</w:t>
      </w:r>
      <w:r w:rsidRPr="00173C41">
        <w:t>EU a zrušuje nařízení (EU, Euratom) č. 966/2012</w:t>
      </w:r>
      <w:r w:rsidRPr="00173C41">
        <w:rPr>
          <w:rStyle w:val="FootnoteReference"/>
        </w:rPr>
        <w:footnoteReference w:id="3"/>
      </w:r>
      <w:r w:rsidRPr="00173C41">
        <w:t xml:space="preserve">, a zejména </w:t>
      </w:r>
      <w:r w:rsidRPr="00173C41">
        <w:lastRenderedPageBreak/>
        <w:t>článek 70 tohoto nařízení,</w:t>
      </w:r>
    </w:p>
    <w:p w:rsidR="00F073B6" w:rsidRPr="00173C41" w:rsidRDefault="00F073B6" w:rsidP="00F073B6">
      <w:pPr>
        <w:pStyle w:val="NormalHanging12a"/>
      </w:pPr>
      <w:r w:rsidRPr="00173C41">
        <w:t>–</w:t>
      </w:r>
      <w:r w:rsidRPr="00173C41">
        <w:tab/>
        <w:t>s ohledem na nařízení Evropského parlamentu a Rady (EU) 2018/1726 ze dne 14. listopadu 2018 o Agentuře Evropské unie pro provozní řízení rozsáhlých informačních systémů v prostoru svobody, bezpečnosti a práva (</w:t>
      </w:r>
      <w:proofErr w:type="spellStart"/>
      <w:r w:rsidRPr="00173C41">
        <w:t>eu</w:t>
      </w:r>
      <w:proofErr w:type="spellEnd"/>
      <w:r w:rsidRPr="00173C41">
        <w:t>-LISA) a o změně nařízení (ES) č. 1987/2006 a rozhodnutí Rady 2007/533/SVV a zrušení nařízení (EU) č. 1077/2011</w:t>
      </w:r>
      <w:r w:rsidRPr="00173C41">
        <w:rPr>
          <w:rStyle w:val="FootnoteReference"/>
        </w:rPr>
        <w:footnoteReference w:id="4"/>
      </w:r>
      <w:r w:rsidRPr="00173C41">
        <w:t>, a zejména na článek 47 tohoto nařízení,</w:t>
      </w:r>
    </w:p>
    <w:p w:rsidR="00F073B6" w:rsidRPr="00173C41" w:rsidRDefault="00F073B6" w:rsidP="00F073B6">
      <w:pPr>
        <w:pStyle w:val="NormalHanging12a"/>
      </w:pPr>
      <w:r w:rsidRPr="00173C41">
        <w:t>–</w:t>
      </w:r>
      <w:r w:rsidRPr="00173C41">
        <w:tab/>
        <w:t xml:space="preserve">s ohledem na nařízení Komise v přenesené pravomoci (EU) 2019/715 ze dne 18. prosince 2018 o rámcovém finančním nařízení pro subjekty zřízené podle </w:t>
      </w:r>
      <w:r w:rsidR="00464BDF" w:rsidRPr="00464BDF">
        <w:t>Smlouvy o fungování Evropské unie</w:t>
      </w:r>
      <w:r w:rsidRPr="00173C41">
        <w:t xml:space="preserve"> a Smlouvy o Euratomu a uvedené v článku 70 nařízení Evropského parlamentu a Rady (EU, Euratom) 2018/1046</w:t>
      </w:r>
      <w:r w:rsidRPr="00173C41">
        <w:rPr>
          <w:rStyle w:val="FootnoteReference"/>
        </w:rPr>
        <w:footnoteReference w:id="5"/>
      </w:r>
      <w:r w:rsidRPr="00173C41">
        <w:t>, a zejména na článek 105 tohoto nařízení,</w:t>
      </w:r>
    </w:p>
    <w:p w:rsidR="00F073B6" w:rsidRPr="00173C41" w:rsidRDefault="00F073B6" w:rsidP="00F073B6">
      <w:pPr>
        <w:pStyle w:val="NormalHanging12a"/>
      </w:pPr>
      <w:r w:rsidRPr="00173C41">
        <w:t>–</w:t>
      </w:r>
      <w:r w:rsidRPr="00173C41">
        <w:tab/>
        <w:t>s ohledem na článek 100 a přílohu V jednacího řádu,</w:t>
      </w:r>
    </w:p>
    <w:p w:rsidR="00F073B6" w:rsidRPr="00173C41" w:rsidRDefault="00F073B6" w:rsidP="00F073B6">
      <w:pPr>
        <w:pStyle w:val="NormalHanging12a"/>
      </w:pPr>
      <w:r w:rsidRPr="00173C41">
        <w:t>–</w:t>
      </w:r>
      <w:r w:rsidRPr="00173C41">
        <w:tab/>
        <w:t>s ohledem na stanovisko Výboru pro občanské svobody, spravedlnost a vnitřní věci,</w:t>
      </w:r>
    </w:p>
    <w:p w:rsidR="00F073B6" w:rsidRPr="00173C41" w:rsidRDefault="00F073B6" w:rsidP="00F073B6">
      <w:pPr>
        <w:pStyle w:val="NormalHanging12a"/>
      </w:pPr>
      <w:r w:rsidRPr="00173C41">
        <w:t>–</w:t>
      </w:r>
      <w:r w:rsidRPr="00173C41">
        <w:tab/>
        <w:t>s ohledem na zprávu Výboru pro rozpočtovou kontrolu (A9</w:t>
      </w:r>
      <w:r w:rsidRPr="00173C41">
        <w:noBreakHyphen/>
        <w:t>0105/2024),</w:t>
      </w:r>
    </w:p>
    <w:p w:rsidR="00F073B6" w:rsidRPr="00173C41" w:rsidRDefault="00F073B6" w:rsidP="00F073B6">
      <w:pPr>
        <w:pStyle w:val="NormalHanging12a"/>
      </w:pPr>
      <w:r w:rsidRPr="00173C41">
        <w:t>1.</w:t>
      </w:r>
      <w:r w:rsidRPr="00173C41">
        <w:tab/>
        <w:t>uděluje absolutorium výkonné ředitelce Agentury Evropské unie pro provozní řízení rozsáhlých informačních systémů v prostoru svobody, bezpečnosti a práva (</w:t>
      </w:r>
      <w:proofErr w:type="spellStart"/>
      <w:r w:rsidRPr="00173C41">
        <w:t>eu</w:t>
      </w:r>
      <w:proofErr w:type="spellEnd"/>
      <w:r w:rsidRPr="00173C41">
        <w:t>-LISA) za plnění rozpočtu agentury na rozpočtový rok 2022;</w:t>
      </w:r>
    </w:p>
    <w:p w:rsidR="00F073B6" w:rsidRPr="00173C41" w:rsidRDefault="00F073B6" w:rsidP="00F073B6">
      <w:pPr>
        <w:pStyle w:val="NormalHanging12a"/>
      </w:pPr>
      <w:r w:rsidRPr="00173C41">
        <w:t>2.</w:t>
      </w:r>
      <w:r w:rsidRPr="00173C41">
        <w:tab/>
        <w:t>předkládá své připomínky v níže uvedeném usnesení;</w:t>
      </w:r>
    </w:p>
    <w:p w:rsidR="00F073B6" w:rsidRPr="00173C41" w:rsidRDefault="00F073B6" w:rsidP="00F073B6">
      <w:pPr>
        <w:pStyle w:val="NormalHanging12a"/>
      </w:pPr>
      <w:r w:rsidRPr="00173C41">
        <w:t>3.</w:t>
      </w:r>
      <w:r w:rsidRPr="00173C41">
        <w:tab/>
        <w:t>pověřuje svou předsedkyni, aby předala toto rozhodnutí a usnesení, které je jeho nedílnou součástí, výkonné ředitelce Agentury Evropské unie pro provozní řízení rozsáhlých informačních systémů v prostoru svobody, bezpečnosti a práva (</w:t>
      </w:r>
      <w:proofErr w:type="spellStart"/>
      <w:r w:rsidRPr="00173C41">
        <w:t>eu</w:t>
      </w:r>
      <w:proofErr w:type="spellEnd"/>
      <w:r w:rsidRPr="00173C41">
        <w:t>-LISA), Radě, Komisi a Účetnímu dvoru a aby zajistila jejich zveřejnění v </w:t>
      </w:r>
      <w:r w:rsidRPr="00173C41">
        <w:rPr>
          <w:i/>
        </w:rPr>
        <w:t>Úředním věstníku Evropské unie</w:t>
      </w:r>
      <w:r w:rsidRPr="00173C41">
        <w:t xml:space="preserve"> (řada L).</w:t>
      </w:r>
    </w:p>
    <w:p w:rsidR="00F073B6" w:rsidRPr="00173C41" w:rsidRDefault="00F073B6" w:rsidP="00F073B6"/>
    <w:p w:rsidR="00F073B6" w:rsidRPr="00173C41" w:rsidRDefault="00F073B6" w:rsidP="00F073B6">
      <w:pPr>
        <w:widowControl/>
        <w:rPr>
          <w:rFonts w:ascii="Arial" w:hAnsi="Arial" w:cs="Arial"/>
          <w:b/>
        </w:rPr>
        <w:sectPr w:rsidR="00F073B6" w:rsidRPr="00173C41" w:rsidSect="00173C41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:rsidR="00F073B6" w:rsidRPr="00223518" w:rsidRDefault="00F073B6" w:rsidP="00223518">
      <w:pPr>
        <w:pStyle w:val="PageHeading"/>
        <w:jc w:val="left"/>
        <w:rPr>
          <w:rFonts w:ascii="Times New Roman" w:hAnsi="Times New Roman" w:cs="Times New Roman"/>
        </w:rPr>
      </w:pPr>
      <w:bookmarkStart w:id="8" w:name="_Toc146793431"/>
      <w:bookmarkStart w:id="9" w:name="_Toc161914845"/>
      <w:r w:rsidRPr="00223518">
        <w:rPr>
          <w:rFonts w:ascii="Times New Roman" w:hAnsi="Times New Roman" w:cs="Times New Roman"/>
        </w:rPr>
        <w:lastRenderedPageBreak/>
        <w:t xml:space="preserve">2. </w:t>
      </w:r>
      <w:r w:rsidR="00223518">
        <w:rPr>
          <w:rFonts w:ascii="Times New Roman" w:hAnsi="Times New Roman" w:cs="Times New Roman"/>
        </w:rPr>
        <w:t>Rozhodnutí E</w:t>
      </w:r>
      <w:r w:rsidR="00223518" w:rsidRPr="00223518">
        <w:rPr>
          <w:rFonts w:ascii="Times New Roman" w:hAnsi="Times New Roman" w:cs="Times New Roman"/>
        </w:rPr>
        <w:t>vropského parlamentu</w:t>
      </w:r>
      <w:bookmarkEnd w:id="8"/>
      <w:bookmarkEnd w:id="9"/>
      <w:r w:rsidR="00223518" w:rsidRPr="00223518">
        <w:rPr>
          <w:rFonts w:ascii="Times New Roman" w:hAnsi="Times New Roman" w:cs="Times New Roman"/>
        </w:rPr>
        <w:t xml:space="preserve"> ze dne 11. dubna 2024 </w:t>
      </w:r>
      <w:r w:rsidRPr="00223518">
        <w:rPr>
          <w:rFonts w:ascii="Times New Roman" w:hAnsi="Times New Roman" w:cs="Times New Roman"/>
        </w:rPr>
        <w:t>o uzavření účtů Agentury Evropské unie pro provozní řízení rozsáhlých informačních systémů v prostoru svobody, bezpečnosti a práva (</w:t>
      </w:r>
      <w:proofErr w:type="spellStart"/>
      <w:r w:rsidRPr="00223518">
        <w:rPr>
          <w:rFonts w:ascii="Times New Roman" w:hAnsi="Times New Roman" w:cs="Times New Roman"/>
        </w:rPr>
        <w:t>eu</w:t>
      </w:r>
      <w:proofErr w:type="spellEnd"/>
      <w:r w:rsidRPr="00223518">
        <w:rPr>
          <w:rFonts w:ascii="Times New Roman" w:hAnsi="Times New Roman" w:cs="Times New Roman"/>
        </w:rPr>
        <w:t>-LISA) za rozpočtový rok 2022</w:t>
      </w:r>
      <w:r w:rsidR="00223518" w:rsidRPr="00223518">
        <w:rPr>
          <w:rFonts w:ascii="Times New Roman" w:hAnsi="Times New Roman" w:cs="Times New Roman"/>
        </w:rPr>
        <w:t xml:space="preserve"> </w:t>
      </w:r>
      <w:r w:rsidRPr="00223518">
        <w:rPr>
          <w:rFonts w:ascii="Times New Roman" w:hAnsi="Times New Roman" w:cs="Times New Roman"/>
        </w:rPr>
        <w:t>(2023/2165(DEC))</w:t>
      </w:r>
    </w:p>
    <w:p w:rsidR="00F073B6" w:rsidRPr="00173C41" w:rsidRDefault="00F073B6" w:rsidP="00F073B6">
      <w:pPr>
        <w:pStyle w:val="EPComma"/>
      </w:pPr>
      <w:r w:rsidRPr="00173C41">
        <w:rPr>
          <w:i/>
        </w:rPr>
        <w:t>Evropský parlament</w:t>
      </w:r>
      <w:r w:rsidRPr="00173C41">
        <w:t>,</w:t>
      </w:r>
    </w:p>
    <w:p w:rsidR="00F073B6" w:rsidRPr="00173C41" w:rsidRDefault="00F073B6" w:rsidP="00F073B6">
      <w:pPr>
        <w:pStyle w:val="NormalHanging12a"/>
      </w:pPr>
      <w:r w:rsidRPr="00173C41">
        <w:t>–</w:t>
      </w:r>
      <w:r w:rsidRPr="00173C41">
        <w:tab/>
        <w:t>s ohledem na konečnou roční účetní závěrku Agentury Evropské unie pro provozní řízení rozsáhlých informačních systémů v prostoru svobody, bezpečnosti a práva (</w:t>
      </w:r>
      <w:proofErr w:type="spellStart"/>
      <w:r w:rsidRPr="00173C41">
        <w:t>eu</w:t>
      </w:r>
      <w:proofErr w:type="spellEnd"/>
      <w:r w:rsidRPr="00173C41">
        <w:t>-LISA) za rozpočtový rok 2022,</w:t>
      </w:r>
    </w:p>
    <w:p w:rsidR="00F073B6" w:rsidRPr="00173C41" w:rsidRDefault="00F073B6" w:rsidP="00F073B6">
      <w:pPr>
        <w:pStyle w:val="NormalHanging12a"/>
      </w:pPr>
      <w:r w:rsidRPr="00173C41">
        <w:t>–</w:t>
      </w:r>
      <w:r w:rsidRPr="00173C41">
        <w:tab/>
        <w:t>s ohledem na výroční zprávu Účetního dvora o agenturách EU za rozpočtový rok 2022 spolu s odpověďmi agentur</w:t>
      </w:r>
      <w:r w:rsidRPr="00173C41">
        <w:rPr>
          <w:rStyle w:val="FootnoteReference"/>
        </w:rPr>
        <w:footnoteReference w:id="6"/>
      </w:r>
      <w:r w:rsidRPr="00173C41">
        <w:t>,</w:t>
      </w:r>
    </w:p>
    <w:p w:rsidR="00F073B6" w:rsidRPr="00173C41" w:rsidRDefault="00F073B6" w:rsidP="00F073B6">
      <w:pPr>
        <w:pStyle w:val="NormalHanging12a"/>
      </w:pPr>
      <w:r w:rsidRPr="00173C41">
        <w:t>–</w:t>
      </w:r>
      <w:r w:rsidRPr="00173C41">
        <w:tab/>
        <w:t>s ohledem na prohlášení o věrohodnosti</w:t>
      </w:r>
      <w:r w:rsidRPr="00173C41">
        <w:rPr>
          <w:rStyle w:val="FootnoteReference"/>
        </w:rPr>
        <w:footnoteReference w:id="7"/>
      </w:r>
      <w:r w:rsidRPr="00173C41">
        <w:t xml:space="preserve"> účetnictví a o legalitě a správnosti uskutečněných operací, které předložil Účetní dvůr za rozpočtový rok 2022 podle článku 287 Smlouvy o fungování Evropské unie,</w:t>
      </w:r>
    </w:p>
    <w:p w:rsidR="00F073B6" w:rsidRPr="00173C41" w:rsidRDefault="00F073B6" w:rsidP="00F073B6">
      <w:pPr>
        <w:pStyle w:val="NormalHanging12a"/>
      </w:pPr>
      <w:r w:rsidRPr="00173C41">
        <w:t>–</w:t>
      </w:r>
      <w:r w:rsidRPr="00173C41">
        <w:tab/>
        <w:t>s ohledem na doporučení Rady ze dne 22. února 2024 o udělení absolutoria agentuře za plnění rozpoč</w:t>
      </w:r>
      <w:r w:rsidR="001011A1">
        <w:t>tu na rozpočtový rok 2022 (06180</w:t>
      </w:r>
      <w:r w:rsidRPr="00173C41">
        <w:t>/2024 –</w:t>
      </w:r>
      <w:r w:rsidR="00453F81">
        <w:t xml:space="preserve"> C9</w:t>
      </w:r>
      <w:r w:rsidR="00453F81">
        <w:noBreakHyphen/>
        <w:t>0103</w:t>
      </w:r>
      <w:r w:rsidRPr="00173C41">
        <w:t>/2024),</w:t>
      </w:r>
    </w:p>
    <w:p w:rsidR="00F073B6" w:rsidRPr="00173C41" w:rsidRDefault="00F073B6" w:rsidP="00F073B6">
      <w:pPr>
        <w:pStyle w:val="NormalHanging12a"/>
      </w:pPr>
      <w:r w:rsidRPr="00173C41">
        <w:t>–</w:t>
      </w:r>
      <w:r w:rsidRPr="00173C41">
        <w:tab/>
        <w:t>s ohledem na článek 319 Smlouvy o fungování Evropské unie,</w:t>
      </w:r>
    </w:p>
    <w:p w:rsidR="00F073B6" w:rsidRPr="00173C41" w:rsidRDefault="00F073B6" w:rsidP="00F073B6">
      <w:pPr>
        <w:pStyle w:val="NormalHanging12a"/>
      </w:pPr>
      <w:r w:rsidRPr="00173C41">
        <w:t>–</w:t>
      </w:r>
      <w:r w:rsidRPr="00173C41">
        <w:tab/>
        <w:t>s ohledem na nařízení Evropského parlamentu a Rady (EU, Euratom) 2018/1046 ze dne 18. července 2018, kterým se stanoví finanční pravidla pro souhrnný rozpočet Unie, mění nařízení (EU) č. 1296/2013, (EU) č. 1301/2013, (EU) č. 1303/2013, (EU) č. 1304/2013, (EU) č. 1309/2013, (EU) č. 1316/2013, (EU) č. 223/2014, (EU) č. 283/2014 a </w:t>
      </w:r>
      <w:r w:rsidR="00223518">
        <w:t>rozhodnutí č. 541/2014/</w:t>
      </w:r>
      <w:r w:rsidRPr="00173C41">
        <w:t>EU a zrušuje nařízení (EU, Euratom) č. 966/2012</w:t>
      </w:r>
      <w:r w:rsidRPr="00173C41">
        <w:rPr>
          <w:rStyle w:val="FootnoteReference"/>
        </w:rPr>
        <w:footnoteReference w:id="8"/>
      </w:r>
      <w:r w:rsidRPr="00173C41">
        <w:t>, a zejména článek 70 tohoto nařízení,</w:t>
      </w:r>
    </w:p>
    <w:p w:rsidR="00F073B6" w:rsidRPr="00173C41" w:rsidRDefault="00F073B6" w:rsidP="00F073B6">
      <w:pPr>
        <w:pStyle w:val="NormalHanging12a"/>
      </w:pPr>
      <w:r w:rsidRPr="00173C41">
        <w:t>–</w:t>
      </w:r>
      <w:r w:rsidRPr="00173C41">
        <w:tab/>
        <w:t>s ohledem na nařízení Evropského parlamentu a Rady (EU) 2018/1726 ze dne 14. listopadu 2018 o Agentuře Evropské unie pro provozní řízení rozsáhlých informačních systémů v prostoru svobody, bezpečnosti a práva (</w:t>
      </w:r>
      <w:proofErr w:type="spellStart"/>
      <w:r w:rsidRPr="00173C41">
        <w:t>eu</w:t>
      </w:r>
      <w:proofErr w:type="spellEnd"/>
      <w:r w:rsidRPr="00173C41">
        <w:t>-LISA) a o změně nařízení (ES) č. 1987/2006 a rozhodnutí Rady 2007/533/SVV a zrušení nařízení (EU) č. 1077/2011</w:t>
      </w:r>
      <w:r w:rsidRPr="00173C41">
        <w:rPr>
          <w:rStyle w:val="FootnoteReference"/>
        </w:rPr>
        <w:footnoteReference w:id="9"/>
      </w:r>
      <w:r w:rsidRPr="00173C41">
        <w:t>, a zejména na článek 47 tohoto nařízení,</w:t>
      </w:r>
    </w:p>
    <w:p w:rsidR="00F073B6" w:rsidRPr="00173C41" w:rsidRDefault="00F073B6" w:rsidP="00F073B6">
      <w:pPr>
        <w:pStyle w:val="NormalHanging12a"/>
      </w:pPr>
      <w:r w:rsidRPr="00173C41">
        <w:t>–</w:t>
      </w:r>
      <w:r w:rsidRPr="00173C41">
        <w:tab/>
        <w:t xml:space="preserve">s ohledem na nařízení Komise v přenesené pravomoci (EU) 2019/715 ze dne 18. prosince 2018 o rámcovém finančním nařízení pro subjekty zřízené podle </w:t>
      </w:r>
      <w:r w:rsidR="00464BDF" w:rsidRPr="00464BDF">
        <w:t>Smlouvy o fungování Evropské unie</w:t>
      </w:r>
      <w:r w:rsidRPr="00173C41">
        <w:t xml:space="preserve"> a Smlouvy o Euratomu a uvedené v článku 70 nařízení Evropského parlamentu a Rady (EU, Euratom) 2018/1046</w:t>
      </w:r>
      <w:r w:rsidRPr="00173C41">
        <w:rPr>
          <w:rStyle w:val="FootnoteReference"/>
        </w:rPr>
        <w:footnoteReference w:id="10"/>
      </w:r>
      <w:r w:rsidRPr="00173C41">
        <w:t>, a zejména na článek 105 tohoto nařízení,</w:t>
      </w:r>
    </w:p>
    <w:p w:rsidR="00F073B6" w:rsidRPr="00173C41" w:rsidRDefault="00F073B6" w:rsidP="00F073B6">
      <w:pPr>
        <w:pStyle w:val="NormalHanging12a"/>
      </w:pPr>
      <w:r w:rsidRPr="00173C41">
        <w:t>–</w:t>
      </w:r>
      <w:r w:rsidRPr="00173C41">
        <w:tab/>
        <w:t>s ohledem na článek 100 a přílohu V jednacího řádu,</w:t>
      </w:r>
    </w:p>
    <w:p w:rsidR="00F073B6" w:rsidRPr="00173C41" w:rsidRDefault="00F073B6" w:rsidP="00F073B6">
      <w:pPr>
        <w:pStyle w:val="NormalHanging12a"/>
      </w:pPr>
      <w:r w:rsidRPr="00173C41">
        <w:t>–</w:t>
      </w:r>
      <w:r w:rsidRPr="00173C41">
        <w:tab/>
        <w:t>s ohledem na stanovisko Výboru pro občanské svobody, spravedlnost a vnitřní věci,</w:t>
      </w:r>
    </w:p>
    <w:p w:rsidR="00F073B6" w:rsidRPr="00173C41" w:rsidRDefault="00F073B6" w:rsidP="00F073B6">
      <w:pPr>
        <w:pStyle w:val="NormalHanging12a"/>
      </w:pPr>
      <w:r w:rsidRPr="00173C41">
        <w:t>–</w:t>
      </w:r>
      <w:r w:rsidRPr="00173C41">
        <w:tab/>
        <w:t>s ohledem na zprávu Výboru pro rozpočtovou kontrolu (A9</w:t>
      </w:r>
      <w:r w:rsidRPr="00173C41">
        <w:noBreakHyphen/>
        <w:t>0105/2024),</w:t>
      </w:r>
    </w:p>
    <w:p w:rsidR="00F073B6" w:rsidRPr="00173C41" w:rsidRDefault="00F073B6" w:rsidP="00F073B6">
      <w:pPr>
        <w:pStyle w:val="NormalHanging12a"/>
      </w:pPr>
      <w:r w:rsidRPr="00173C41">
        <w:t>1.</w:t>
      </w:r>
      <w:r w:rsidRPr="00173C41">
        <w:tab/>
        <w:t>schvaluje uzavření účtů Agentury Evropské unie pro provozní řízení rozsáhlých informačních systémů v prostoru svobody, bezpečnosti a práva (</w:t>
      </w:r>
      <w:proofErr w:type="spellStart"/>
      <w:r w:rsidRPr="00173C41">
        <w:t>eu</w:t>
      </w:r>
      <w:proofErr w:type="spellEnd"/>
      <w:r w:rsidRPr="00173C41">
        <w:t>-LISA) za rozpočtový rok 2022;</w:t>
      </w:r>
    </w:p>
    <w:p w:rsidR="00F073B6" w:rsidRPr="00173C41" w:rsidRDefault="00F073B6" w:rsidP="00F073B6">
      <w:pPr>
        <w:pStyle w:val="NormalHanging12a"/>
      </w:pPr>
      <w:r w:rsidRPr="00173C41">
        <w:t>2.</w:t>
      </w:r>
      <w:r w:rsidRPr="00173C41">
        <w:tab/>
        <w:t>pověřuje svou předsedkyni, aby předala toto rozhodnutí výkonné ředitelce Agentury Evropské unie pro provozní řízení rozsáhlých informačních systémů v prostoru svobody, bezpečnosti a práva (</w:t>
      </w:r>
      <w:proofErr w:type="spellStart"/>
      <w:r w:rsidRPr="00173C41">
        <w:t>eu</w:t>
      </w:r>
      <w:proofErr w:type="spellEnd"/>
      <w:r w:rsidRPr="00173C41">
        <w:t>-LISA), Radě, Komisi a Účetnímu dvoru a aby zajistila jeho zveřejnění v </w:t>
      </w:r>
      <w:r w:rsidRPr="00173C41">
        <w:rPr>
          <w:i/>
        </w:rPr>
        <w:t>Úředním věstníku Evropské unie</w:t>
      </w:r>
      <w:r w:rsidRPr="00173C41">
        <w:t xml:space="preserve"> (řada L).</w:t>
      </w:r>
    </w:p>
    <w:p w:rsidR="00F073B6" w:rsidRPr="00173C41" w:rsidRDefault="00F073B6" w:rsidP="00F073B6"/>
    <w:p w:rsidR="00F073B6" w:rsidRPr="00173C41" w:rsidRDefault="00F073B6" w:rsidP="00F073B6">
      <w:pPr>
        <w:widowControl/>
        <w:rPr>
          <w:rFonts w:ascii="Arial" w:hAnsi="Arial" w:cs="Arial"/>
          <w:b/>
        </w:rPr>
        <w:sectPr w:rsidR="00F073B6" w:rsidRPr="00173C41" w:rsidSect="00173C41"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docGrid w:linePitch="326"/>
        </w:sectPr>
      </w:pPr>
    </w:p>
    <w:p w:rsidR="00F073B6" w:rsidRPr="00223518" w:rsidRDefault="00F073B6" w:rsidP="00223518">
      <w:pPr>
        <w:pStyle w:val="PageHeading"/>
        <w:jc w:val="left"/>
        <w:rPr>
          <w:rFonts w:ascii="Times New Roman" w:hAnsi="Times New Roman" w:cs="Times New Roman"/>
        </w:rPr>
      </w:pPr>
      <w:bookmarkStart w:id="10" w:name="_Toc146793432"/>
      <w:bookmarkStart w:id="11" w:name="_Toc161914846"/>
      <w:r w:rsidRPr="00223518">
        <w:rPr>
          <w:rFonts w:ascii="Times New Roman" w:hAnsi="Times New Roman" w:cs="Times New Roman"/>
        </w:rPr>
        <w:t xml:space="preserve">3. </w:t>
      </w:r>
      <w:r w:rsidR="00223518">
        <w:rPr>
          <w:rFonts w:ascii="Times New Roman" w:hAnsi="Times New Roman" w:cs="Times New Roman"/>
        </w:rPr>
        <w:t>Usnesení E</w:t>
      </w:r>
      <w:r w:rsidR="00223518" w:rsidRPr="00223518">
        <w:rPr>
          <w:rFonts w:ascii="Times New Roman" w:hAnsi="Times New Roman" w:cs="Times New Roman"/>
        </w:rPr>
        <w:t>vropského parlamentu</w:t>
      </w:r>
      <w:bookmarkEnd w:id="10"/>
      <w:bookmarkEnd w:id="11"/>
      <w:r w:rsidR="00223518" w:rsidRPr="00223518">
        <w:rPr>
          <w:rFonts w:ascii="Times New Roman" w:hAnsi="Times New Roman" w:cs="Times New Roman"/>
        </w:rPr>
        <w:t xml:space="preserve"> ze dne 11. dubna 2024 </w:t>
      </w:r>
      <w:r w:rsidRPr="00223518">
        <w:rPr>
          <w:rFonts w:ascii="Times New Roman" w:hAnsi="Times New Roman" w:cs="Times New Roman"/>
        </w:rPr>
        <w:t>obsahující připomínky, které jsou nedílnou součástí rozhodnutí o udělení absolutoria za plnění rozpočtu Agentury Evropské unie pro provozní řízení rozsáhlých informačních systémů v prostoru svobody, bezpečnosti a práva (</w:t>
      </w:r>
      <w:proofErr w:type="spellStart"/>
      <w:r w:rsidRPr="00223518">
        <w:rPr>
          <w:rFonts w:ascii="Times New Roman" w:hAnsi="Times New Roman" w:cs="Times New Roman"/>
        </w:rPr>
        <w:t>eu</w:t>
      </w:r>
      <w:proofErr w:type="spellEnd"/>
      <w:r w:rsidRPr="00223518">
        <w:rPr>
          <w:rFonts w:ascii="Times New Roman" w:hAnsi="Times New Roman" w:cs="Times New Roman"/>
        </w:rPr>
        <w:t>-LISA) na rozpočtový rok 2022</w:t>
      </w:r>
      <w:r w:rsidR="00223518" w:rsidRPr="00223518">
        <w:rPr>
          <w:rFonts w:ascii="Times New Roman" w:hAnsi="Times New Roman" w:cs="Times New Roman"/>
        </w:rPr>
        <w:t xml:space="preserve"> </w:t>
      </w:r>
      <w:r w:rsidRPr="00223518">
        <w:rPr>
          <w:rFonts w:ascii="Times New Roman" w:hAnsi="Times New Roman" w:cs="Times New Roman"/>
        </w:rPr>
        <w:t>(2023/2165(DEC))</w:t>
      </w:r>
    </w:p>
    <w:p w:rsidR="00F073B6" w:rsidRPr="00173C41" w:rsidRDefault="00F073B6" w:rsidP="00F073B6">
      <w:pPr>
        <w:pStyle w:val="EPComma"/>
      </w:pPr>
      <w:r w:rsidRPr="00173C41">
        <w:rPr>
          <w:i/>
        </w:rPr>
        <w:t>Evropský parlament</w:t>
      </w:r>
      <w:r w:rsidRPr="00173C41">
        <w:t>,</w:t>
      </w:r>
    </w:p>
    <w:p w:rsidR="00F073B6" w:rsidRPr="00173C41" w:rsidRDefault="00F073B6" w:rsidP="00F073B6">
      <w:pPr>
        <w:pStyle w:val="NormalHanging12a"/>
      </w:pPr>
      <w:r w:rsidRPr="00173C41">
        <w:t>–</w:t>
      </w:r>
      <w:r w:rsidRPr="00173C41">
        <w:tab/>
        <w:t>s ohledem na své rozhodnutí o udělení absolutoria za plnění rozpočtu Agentury Evropské unie pro provozní řízení rozsáhlých informačních systémů v prostoru svobody, bezpečnosti a práva (</w:t>
      </w:r>
      <w:proofErr w:type="spellStart"/>
      <w:r w:rsidRPr="00173C41">
        <w:t>eu</w:t>
      </w:r>
      <w:proofErr w:type="spellEnd"/>
      <w:r w:rsidRPr="00173C41">
        <w:t>-LISA) na rozpočtový rok 2022,</w:t>
      </w:r>
    </w:p>
    <w:p w:rsidR="00F073B6" w:rsidRPr="00173C41" w:rsidRDefault="00F073B6" w:rsidP="00F073B6">
      <w:pPr>
        <w:pStyle w:val="NormalHanging12a"/>
      </w:pPr>
      <w:r w:rsidRPr="00173C41">
        <w:t>–</w:t>
      </w:r>
      <w:r w:rsidRPr="00173C41">
        <w:tab/>
        <w:t>s ohledem na článek 100 a přílohu V jednacího řádu,</w:t>
      </w:r>
    </w:p>
    <w:p w:rsidR="00F073B6" w:rsidRPr="00173C41" w:rsidRDefault="00F073B6" w:rsidP="00F073B6">
      <w:pPr>
        <w:pStyle w:val="NormalHanging12a"/>
      </w:pPr>
      <w:r w:rsidRPr="00173C41">
        <w:t>–</w:t>
      </w:r>
      <w:r w:rsidRPr="00173C41">
        <w:tab/>
        <w:t>s ohledem na stanovisko Výboru pro občanské svobody, spravedlnost a vnitřní věci,</w:t>
      </w:r>
    </w:p>
    <w:p w:rsidR="00F073B6" w:rsidRPr="00173C41" w:rsidRDefault="00F073B6" w:rsidP="00F073B6">
      <w:pPr>
        <w:pStyle w:val="NormalHanging12a"/>
      </w:pPr>
      <w:r w:rsidRPr="00173C41">
        <w:t>–</w:t>
      </w:r>
      <w:r w:rsidRPr="00173C41">
        <w:tab/>
        <w:t>s ohledem na zprávu Výboru pro rozpočtovou kontrolu (A9</w:t>
      </w:r>
      <w:r w:rsidRPr="00173C41">
        <w:noBreakHyphen/>
        <w:t>0105/2024),</w:t>
      </w:r>
    </w:p>
    <w:p w:rsidR="00F073B6" w:rsidRPr="00173C41" w:rsidRDefault="00F073B6" w:rsidP="00F073B6">
      <w:pPr>
        <w:pStyle w:val="Normal12Hanging"/>
        <w:shd w:val="clear" w:color="auto" w:fill="FFFFFF" w:themeFill="background1"/>
        <w:rPr>
          <w:szCs w:val="24"/>
          <w:lang w:val="cs-CZ"/>
        </w:rPr>
      </w:pPr>
      <w:r w:rsidRPr="00173C41">
        <w:rPr>
          <w:lang w:val="cs-CZ"/>
        </w:rPr>
        <w:t>A.</w:t>
      </w:r>
      <w:r w:rsidRPr="00173C41">
        <w:rPr>
          <w:lang w:val="cs-CZ"/>
        </w:rPr>
        <w:tab/>
        <w:t>vzhledem k tomu, že konečný rozpočet Evropské agentury pro provozní řízení rozsáhlých informačních systémů v prostoru svobody, bezpečnosti a práva (</w:t>
      </w:r>
      <w:proofErr w:type="spellStart"/>
      <w:r w:rsidRPr="00173C41">
        <w:rPr>
          <w:lang w:val="cs-CZ"/>
        </w:rPr>
        <w:t>eu</w:t>
      </w:r>
      <w:proofErr w:type="spellEnd"/>
      <w:r w:rsidRPr="00173C41">
        <w:rPr>
          <w:lang w:val="cs-CZ"/>
        </w:rPr>
        <w:noBreakHyphen/>
        <w:t>LISA) (dále jen „agentura“) na rozpočtový rok 2022 činil podle jejího výkazu příjmů a výdajů</w:t>
      </w:r>
      <w:r w:rsidRPr="00173C41">
        <w:rPr>
          <w:szCs w:val="24"/>
          <w:vertAlign w:val="superscript"/>
          <w:lang w:val="cs-CZ"/>
        </w:rPr>
        <w:footnoteReference w:id="11"/>
      </w:r>
      <w:r w:rsidRPr="00173C41">
        <w:rPr>
          <w:lang w:val="cs-CZ"/>
        </w:rPr>
        <w:t xml:space="preserve"> 351 630 151 EUR, což představuje ve srovnání s rokem 2021 zvýšení o 62,41 %; vzhledem k tomu, že rozpočet agentury pochází téměř výhradně z rozpočtu Unie;</w:t>
      </w:r>
    </w:p>
    <w:p w:rsidR="00F073B6" w:rsidRPr="00173C41" w:rsidRDefault="00F073B6" w:rsidP="00F073B6">
      <w:pPr>
        <w:pStyle w:val="Normal12Hanging"/>
        <w:shd w:val="clear" w:color="auto" w:fill="FFFFFF" w:themeFill="background1"/>
        <w:rPr>
          <w:szCs w:val="24"/>
          <w:lang w:val="cs-CZ"/>
        </w:rPr>
      </w:pPr>
      <w:r w:rsidRPr="00173C41">
        <w:rPr>
          <w:lang w:val="cs-CZ"/>
        </w:rPr>
        <w:t>B.</w:t>
      </w:r>
      <w:r w:rsidRPr="00173C41">
        <w:rPr>
          <w:lang w:val="cs-CZ"/>
        </w:rPr>
        <w:tab/>
        <w:t>vzhledem k tomu, že zvýšení rozpočtu agentury na rok 2022 je odůvodněno zejména rozšířením úkolů agentury v souvislosti se správou nových rozsáhlých informačních systémů a interoperabilitou informačních systémů;</w:t>
      </w:r>
    </w:p>
    <w:p w:rsidR="00F073B6" w:rsidRPr="00173C41" w:rsidRDefault="00F073B6" w:rsidP="00F073B6">
      <w:pPr>
        <w:pStyle w:val="Normal12Hanging"/>
        <w:shd w:val="clear" w:color="auto" w:fill="FFFFFF" w:themeFill="background1"/>
        <w:rPr>
          <w:szCs w:val="24"/>
          <w:lang w:val="cs-CZ"/>
        </w:rPr>
      </w:pPr>
      <w:r w:rsidRPr="00173C41">
        <w:rPr>
          <w:lang w:val="cs-CZ"/>
        </w:rPr>
        <w:t>C.</w:t>
      </w:r>
      <w:r w:rsidRPr="00173C41">
        <w:rPr>
          <w:lang w:val="cs-CZ"/>
        </w:rPr>
        <w:tab/>
        <w:t>vzhledem k tomu, že Účetní dvůr ve své zprávě o roční účetní závěrce agentury za rozpočtový rok 2022 (dále jen „zpráva Účetního dvora“) prohlásil, že získal přiměřenou jistotu, že účetní závěrka agentury je spolehlivá a uskutečněné operace týkající se příjmů jsou ve všech významných ohledech legální a správné; vzhledem k tomu, že Účetní dvůr zjistil, že v roce 2022 byly provedeny platby v celkové výši 17,8 milionu EUR, z čehož 10,9 milionu EUR připadá na platby související se třemi zvláštními smlouvami, které vykazovaly nesrovnalosti, a 6,8 milionu EUR bylo považováno za platby, které nejsou v souladu s ustanoveními souvisejících rámcových smluv, což představuje celkem 4,8 % celkových prostředků na platby dostupných v roce 2022, čímž došlo k překročení prahu významnosti stanoveného pro tento audit, a v důsledku toho byl k legalitě a správnosti plateb, na nichž se zakládá účetní závěrka, vydán výrok s výhradou; vzhledem k tomu, že s výjimkou plateb, které nejsou v souladu s předpisy, dospěl Účetní dvůr k závěru, že uskutečněné operace týkající se plateb za rok končící dnem 31. prosince 2022 jsou ve všech významných ohledech legální a správné;</w:t>
      </w:r>
    </w:p>
    <w:p w:rsidR="00F073B6" w:rsidRPr="00173C41" w:rsidRDefault="00F073B6" w:rsidP="00F073B6">
      <w:pPr>
        <w:pStyle w:val="Normal12Hanging"/>
        <w:shd w:val="clear" w:color="auto" w:fill="FFFFFF" w:themeFill="background1"/>
        <w:rPr>
          <w:b/>
          <w:i/>
          <w:szCs w:val="24"/>
          <w:lang w:val="cs-CZ"/>
        </w:rPr>
      </w:pPr>
      <w:r w:rsidRPr="00173C41">
        <w:rPr>
          <w:b/>
          <w:i/>
          <w:lang w:val="cs-CZ"/>
        </w:rPr>
        <w:t>Rozpočtové a finanční řízení</w:t>
      </w:r>
    </w:p>
    <w:p w:rsidR="00F073B6" w:rsidRPr="00173C41" w:rsidRDefault="00F073B6" w:rsidP="00F073B6">
      <w:pPr>
        <w:shd w:val="clear" w:color="auto" w:fill="FFFFFF" w:themeFill="background1"/>
        <w:spacing w:after="240"/>
        <w:ind w:left="567" w:hanging="567"/>
        <w:rPr>
          <w:szCs w:val="24"/>
        </w:rPr>
      </w:pPr>
      <w:r w:rsidRPr="00173C41">
        <w:t>1.</w:t>
      </w:r>
      <w:r w:rsidRPr="00173C41">
        <w:tab/>
        <w:t>konstatuje, že výsledkem úsilí v souvislosti s monitorováním rozpočtu během rozpočtového roku 2022 byla míra plnění rozpočtu 91,13 % v prostředcích na závazky, což představuje ve srovnání s rokem 2021 snížení o 8,87 %; dále se znepokojením konstatuje, že míra čerpání prostředků na platby činila 86,71 %, což představuje ve srovnání s rokem 2021 pokles o 7,94 %;</w:t>
      </w:r>
    </w:p>
    <w:p w:rsidR="00F073B6" w:rsidRPr="00173C41" w:rsidRDefault="00F073B6" w:rsidP="00F073B6">
      <w:pPr>
        <w:pStyle w:val="NormalHanging12a"/>
        <w:shd w:val="clear" w:color="auto" w:fill="FFFFFF" w:themeFill="background1"/>
        <w:rPr>
          <w:szCs w:val="24"/>
        </w:rPr>
      </w:pPr>
      <w:r w:rsidRPr="00173C41">
        <w:t>2.</w:t>
      </w:r>
      <w:r w:rsidRPr="00173C41">
        <w:tab/>
        <w:t>se znepokojením bere na vědomí, že podle zprávy Účetního dvora přenesla agentura prostředky na závazky v hodnotě 14,4 milionu EUR (23 %) dostupné na rok 2022 do roku 2023, přičemž tato částka zahrnovala 13,7 milionu EUR (95 %) prostředků v rámci hlavy II souvisejících se správními výdaji (97 % v roce 2021); poukazuje na to, že přenosy rozpočtových prostředků se opakují, což vedlo Účetní dvůr k upozornění, že opakující se vysoké míry přenosů jsou v rozporu se zásadou ročního rozpočtu a svědčí o strukturálních problémech při plnění rozpočtu nebo o nesprávném rozpočtovém plánování; bere na vědomí odpověď agentury, že v roce 2022 přenesla prostředky na administrativní činnosti, které byly nezbytné nebo se opakují, a poskytla ujištění, že související operace jsou v souladu se zásadou řádného finančního řízení; bere na vědomí, že podle zprávy agentury o následných opatřeních přijatých v návaznosti na udělení absolutoria za plnění rozpočtu agentury na rozpočtový rok 2021 (dále jen „zpráva agentury o následných opatřeních“) vypracovala agentura akční plán, který zahrnuje několik opatření prováděných od roku 2023 s cílem dodržet zásadu ročního rozpočtu a snížit míru přenosů; v této souvislosti konstatuje, že k dosažení těchto cílů je nezbytný podpis nové rámcové smlouvy o poskytování externích podpůrných služeb ve čtvrtém čtvrtletí roku 2023; očekává, že provádění tohoto akčního plánu povede k výraznému zlepšení, a vyzývá agenturu, aby orgánu příslušnému k udělení absolutoria podala zprávu o pokroku dosaženém v tomto ohledu;</w:t>
      </w:r>
    </w:p>
    <w:p w:rsidR="00F073B6" w:rsidRPr="00173C41" w:rsidRDefault="00F073B6" w:rsidP="00F073B6">
      <w:pPr>
        <w:pStyle w:val="Normal12Hanging"/>
        <w:shd w:val="clear" w:color="auto" w:fill="FFFFFF" w:themeFill="background1"/>
        <w:rPr>
          <w:szCs w:val="24"/>
          <w:lang w:val="cs-CZ"/>
        </w:rPr>
      </w:pPr>
      <w:r w:rsidRPr="00173C41">
        <w:rPr>
          <w:b/>
          <w:i/>
          <w:lang w:val="cs-CZ"/>
        </w:rPr>
        <w:t>Výkonnost</w:t>
      </w:r>
    </w:p>
    <w:p w:rsidR="00F073B6" w:rsidRPr="00173C41" w:rsidRDefault="00F073B6" w:rsidP="00F073B6">
      <w:pPr>
        <w:pStyle w:val="NormalHanging12a"/>
        <w:shd w:val="clear" w:color="auto" w:fill="FFFFFF" w:themeFill="background1"/>
        <w:rPr>
          <w:szCs w:val="24"/>
        </w:rPr>
      </w:pPr>
      <w:r w:rsidRPr="00173C41">
        <w:t>3.</w:t>
      </w:r>
      <w:r w:rsidRPr="00173C41">
        <w:tab/>
        <w:t>vítá skutečnost, že agentura používá k posuzování přidané hodnoty své činnosti a k dokonalejšímu řízení rozpočtu některé nástroje, například klíčové ukazatele výkonnosti; bere na vědomí, že roční pracovní program na rok 2022 zahrnoval 135 činností, přičemž 90 činností bylo dokončeno (67 %), 16 činností probíhalo (12 %), 20 probíhajících činností mělo zpoždění (15 %) a 9 činností bylo odloženo (7 %); bere na vědomí nový přístup agentury, který ve snaze o zjednodušení rozděluje činnosti do portfolií a programů tak, aby odrážely provozní model agentury a vzájemnou provázanost projektů a činností; vyzývá agenturu, aby určila zlepšení dosažená díky tomuto novému přístupu a podala o nich zprávu;</w:t>
      </w:r>
    </w:p>
    <w:p w:rsidR="00F073B6" w:rsidRPr="00173C41" w:rsidRDefault="00F073B6" w:rsidP="00F073B6">
      <w:pPr>
        <w:pStyle w:val="NormalHanging12a"/>
        <w:shd w:val="clear" w:color="auto" w:fill="FFFFFF" w:themeFill="background1"/>
        <w:rPr>
          <w:szCs w:val="24"/>
        </w:rPr>
      </w:pPr>
      <w:r w:rsidRPr="00173C41">
        <w:t>4.</w:t>
      </w:r>
      <w:r w:rsidRPr="00173C41">
        <w:tab/>
        <w:t>oceňuje skutečnost, že agentura v souladu s regulačními požadavky a v zákonných lhůtách přijala všechny programové dokumenty a povinné zprávy, které agentuře ukládají právní předpisy, jako například Jednotný programový dokument na období 2023–2025; bere na vědomí, že agentura rovněž přijala plán provádění strategie za účelem sladění svých strategických operačních cílů a sledování provádění dlouhodobé strategie agentury na období 2021–2027; bere na vědomí další úsilí agentury o zlepšení procesů víceletého a ročního plánování prostřednictvím nového nástroje (</w:t>
      </w:r>
      <w:proofErr w:type="spellStart"/>
      <w:r w:rsidRPr="00173C41">
        <w:t>Anaplan</w:t>
      </w:r>
      <w:proofErr w:type="spellEnd"/>
      <w:r w:rsidRPr="00173C41">
        <w:t>); bere na vědomí, že agentura využila společný hodnoticí rámec k analýze svých předností a nedostatků, na základě čehož předložila v dubnu 2022 zprávu o sebehodnocení doprovázenou akčním plánem, který má sloužit jako plán s podrobným popisem priorit agentury v oblasti provozního rozvoje; bere na vědomí, že agentura požádala o označení „účinný uživatel společného hodnotícího rámce“ (</w:t>
      </w:r>
      <w:proofErr w:type="spellStart"/>
      <w:r w:rsidRPr="00173C41">
        <w:t>Effective</w:t>
      </w:r>
      <w:proofErr w:type="spellEnd"/>
      <w:r w:rsidRPr="00173C41">
        <w:t xml:space="preserve"> CAF user);</w:t>
      </w:r>
    </w:p>
    <w:p w:rsidR="00F073B6" w:rsidRPr="00173C41" w:rsidRDefault="00F073B6" w:rsidP="00F073B6">
      <w:pPr>
        <w:pStyle w:val="NormalHanging12a"/>
        <w:shd w:val="clear" w:color="auto" w:fill="FFFFFF" w:themeFill="background1"/>
        <w:rPr>
          <w:szCs w:val="24"/>
        </w:rPr>
      </w:pPr>
      <w:r w:rsidRPr="00173C41">
        <w:rPr>
          <w:shd w:val="clear" w:color="auto" w:fill="FFFFFF"/>
        </w:rPr>
        <w:t>5.</w:t>
      </w:r>
      <w:r w:rsidRPr="00173C41">
        <w:rPr>
          <w:shd w:val="clear" w:color="auto" w:fill="FFFFFF"/>
        </w:rPr>
        <w:tab/>
        <w:t>vítá, že agentura nepřestává podporovat provádění unijních politik v oblasti volného pohybu osob a zboží, společných cestovních víz, hraničních kontrol, přistěhovalectví a azylu a dále v oblasti spolupráce mezi vnitrostátními donucovacími a justičními orgány, včetně boje proti organizované trestné činnosti, převaděčům, obchodování s lidmi a terorismu; očekává, že agentura významně přispěje k digitalizaci justice s cílem zlepšit spolupráci mezi justičními orgány Unie a zajistit lepší přístup občanů a podniků Unie ke spravedlnosti;</w:t>
      </w:r>
    </w:p>
    <w:p w:rsidR="00F073B6" w:rsidRPr="00173C41" w:rsidRDefault="00F073B6" w:rsidP="00F073B6">
      <w:pPr>
        <w:pStyle w:val="NormalHanging12a"/>
        <w:shd w:val="clear" w:color="auto" w:fill="FFFFFF" w:themeFill="background1"/>
        <w:rPr>
          <w:szCs w:val="24"/>
        </w:rPr>
      </w:pPr>
      <w:r w:rsidRPr="00173C41">
        <w:t>6.</w:t>
      </w:r>
      <w:r w:rsidRPr="00173C41">
        <w:tab/>
        <w:t>připomíná klíčovou úlohu agentury při zajišťování stabilního provozu, nepřetržité dostupnosti a vývoje a údržby informačních systémů Unie v oblasti spravedlnosti a vnitřních věcí, jako je Schengenský informační systém (SIS), Vízový informační systém (VIS) a evropská databáze otisků prstů žadatelů o azyl (</w:t>
      </w:r>
      <w:proofErr w:type="spellStart"/>
      <w:r w:rsidRPr="00173C41">
        <w:t>Eurodac</w:t>
      </w:r>
      <w:proofErr w:type="spellEnd"/>
      <w:r w:rsidRPr="00173C41">
        <w:t xml:space="preserve">); připomíná, že tyto systémy hrají zásadní úlohu v oblasti ochrany hranic a spolupráce při prosazování práva, pojištění a kontroly víz a posuzování žádostí o azyl; bere na vědomí, že v roce 2022 – s výjimkou některých mimořádných událostí, které způsobily krátkodobou nedostupnost a zpoždění – všechny hlavní systémy plnily příslušné dohody o úrovni služeb, přičemž dostupnost systému SIS byla 99,94 %, dostupnost systému VIS 99,69 % a dostupnost systému </w:t>
      </w:r>
      <w:proofErr w:type="spellStart"/>
      <w:r w:rsidRPr="00173C41">
        <w:t>Eurodac</w:t>
      </w:r>
      <w:proofErr w:type="spellEnd"/>
      <w:r w:rsidRPr="00173C41">
        <w:t xml:space="preserve"> 99,88 %;</w:t>
      </w:r>
    </w:p>
    <w:p w:rsidR="00F073B6" w:rsidRPr="00173C41" w:rsidRDefault="00F073B6" w:rsidP="00F073B6">
      <w:pPr>
        <w:pStyle w:val="NormalHanging12a"/>
        <w:shd w:val="clear" w:color="auto" w:fill="FFFFFF" w:themeFill="background1"/>
        <w:rPr>
          <w:szCs w:val="24"/>
        </w:rPr>
      </w:pPr>
      <w:r w:rsidRPr="00173C41">
        <w:t>7.</w:t>
      </w:r>
      <w:r w:rsidRPr="00173C41">
        <w:tab/>
        <w:t>oceňuje zahájení provozu obnoveného informačního systému SIS v březnu 2023 (odloženo z listopadu 2022); bere na vědomí pokrok, kterého bylo dosaženo, byť na různých úrovních se zpožděním, pokud jde o analýzu, návrh, vývoj či testování nových systémů v oblasti spravedlnosti a vnitřních věcí, konkrétně systému vstupu/výstupu (EES), Evropského systému pro cestovní informace a povolení (ETIAS) a Evropského informačního systému rejstříků trestů pro státní příslušníky třetích zemí (ECRIS-TCN), a pokud jde o integraci těchto systémů, včetně sdílené služby porovnávání biometrických údajů; dále bere na vědomí, že se u agentury zaregistrovalo nebo o registraci požádalo 947 dopravců (z Unie i ze třetích zemí) a 54 poskytovatelů softwaru pro dopravce, aby mohli vytvořit propojení mezi systémy EES a ETIAS; v této souvislosti oceňuje uspořádání kulatého stolu s názvem „Systémy EES, ETIAS a příprava dopravců na zahájení provozu“ a registrační a informační kampaň změřenou na dopravce s cílem zvýšit povědomí a podpořit registraci; bere na vědomí, že systém VIS prochází v souladu s revidovaným nařízením o systému VIS zásadními změnami; v této souvislosti konstatuje, že v roce 2022 zahájila agentura dva projekty, jeden týkající se revidovaného VIS a druhý interoperability VIS, s cílem strukturovat vývoj VIS;</w:t>
      </w:r>
    </w:p>
    <w:p w:rsidR="00F073B6" w:rsidRPr="00173C41" w:rsidRDefault="00F073B6" w:rsidP="00F073B6">
      <w:pPr>
        <w:pStyle w:val="NormalHanging12a"/>
        <w:shd w:val="clear" w:color="auto" w:fill="FFFFFF" w:themeFill="background1"/>
        <w:rPr>
          <w:szCs w:val="24"/>
        </w:rPr>
      </w:pPr>
      <w:r w:rsidRPr="00173C41">
        <w:t>8.</w:t>
      </w:r>
      <w:r w:rsidRPr="00173C41">
        <w:tab/>
        <w:t>dále bere na vědomí pokrok dosažený v souvislosti s novou architekturou interoperability, která bude propojovat všechny informační systémy spravované agenturou s cílem zlepšit výměnu informací a spolupráci mezi donucovacími a justičními orgány v celé Unii; v této souvislosti bere na vědomí, že podle konsolidované výroční zprávy o činnosti agentury za rok 2022 je agentura i nadále odhodlána tyto nové systémy realizovat, i když rušivé účinky způsobené narušením dodavatelského řetězce spolu s obtížemi některých dodavatelů agentury s dodržováním harmonogramů provádění vedly ke zpožděním, která si vyžádala přezkum a revizi původního plánu; bere na vědomí, že tato zpoždění, zejména pokud jde o zprovoznění centrálního systému EES, který je základem architektury interoperability, měla dominový efekt na včasnost a realizaci všech propojených projektů; bere na vědomí opatření, jež agentura k řešení tohoto problému přijala, když schválila novou strategii pro provádění systému EES, minimální životaschopný přístup k produktům a nový plán interoperability s úplnou revizí harmonogramu samostatného provozovatele sestávající z několika fází, které mají, jak je uvedeno ve zprávě agentury o následných opatřeních, poskytovat každých šest až devět měsíců až do roku 2026 složky prvků architektury interoperability; bere na vědomí, že podle prohlášení o věrohodnosti výkonné ředitelky agentury ovlivní pravděpodobně prodloužení lhůt pro zahájení provozu programu EES zdroje potřebné k dokončení vývoje;</w:t>
      </w:r>
    </w:p>
    <w:p w:rsidR="00F073B6" w:rsidRPr="00173C41" w:rsidRDefault="00F073B6" w:rsidP="00F073B6">
      <w:pPr>
        <w:pStyle w:val="NormalHanging12a"/>
      </w:pPr>
      <w:r w:rsidRPr="00173C41">
        <w:t>9.</w:t>
      </w:r>
      <w:r w:rsidRPr="00173C41">
        <w:tab/>
        <w:t>s uspokojením bere na vědomí, že agentura pokračovala v plnění několika dalších úzce souvisejících cílů, které jí ukládají právní předpisy, jako je školení členských států týkající se používání informačních systémů pro oblast spravedlnosti a vnitřních věcí, příprava zpráv, které jí ukládají právní předpisy, o jejich technické účinnosti, výročních statistik a seznamů určených orgánů; v této souvislosti oceňuje, že agentura v roce 2022 uskutečnila 48 školení, jichž se zúčastnilo více než 3 000 účastníků, modernizovala svou platformu učení online a dokončila plán školení pro členské státy a související akční plán; dále bere na vědomí, že agentura pokračovala v rozšiřování své působnosti v oblasti spravedlnosti Unie a zahájila přípravy na převzetí systému e-CODEX (platforma usnadňující přeshraniční soudní řízení prostřednictvím bezpečného přenosu informací), zveřejnila zprávu o tom, jak digitalizace mezinárodního cestování ovlivní cestující směřující do Unie, a společně s Agenturou Evropské unie pro justiční spolupráci v trestních věcech (</w:t>
      </w:r>
      <w:proofErr w:type="spellStart"/>
      <w:r w:rsidRPr="00173C41">
        <w:t>Eurojust</w:t>
      </w:r>
      <w:proofErr w:type="spellEnd"/>
      <w:r w:rsidRPr="00173C41">
        <w:t>) vypracovala zprávu o využití řešení umělé inteligence na podporu přeshraniční spolupráce v oblasti trestního soudnictví;</w:t>
      </w:r>
    </w:p>
    <w:p w:rsidR="00F073B6" w:rsidRPr="00173C41" w:rsidRDefault="00F073B6" w:rsidP="00F073B6">
      <w:pPr>
        <w:pStyle w:val="NormalHanging12a"/>
        <w:rPr>
          <w:szCs w:val="24"/>
        </w:rPr>
      </w:pPr>
      <w:r w:rsidRPr="00173C41">
        <w:t>10.</w:t>
      </w:r>
      <w:r w:rsidRPr="00173C41">
        <w:tab/>
        <w:t>bere na vědomí spolupráci agentury s dalšími agenturami EU, zejména s Evropskou agenturou pro pohraniční a pobřežní stráž (</w:t>
      </w:r>
      <w:proofErr w:type="spellStart"/>
      <w:r w:rsidRPr="00173C41">
        <w:t>Frontex</w:t>
      </w:r>
      <w:proofErr w:type="spellEnd"/>
      <w:r w:rsidRPr="00173C41">
        <w:t>) na vývoji systému ETIAS, s Agenturou Evropské unie pro spolupráci v oblasti prosazování práva (</w:t>
      </w:r>
      <w:proofErr w:type="spellStart"/>
      <w:r w:rsidRPr="00173C41">
        <w:t>Europol</w:t>
      </w:r>
      <w:proofErr w:type="spellEnd"/>
      <w:r w:rsidRPr="00173C41">
        <w:t>) na provádění přepracovaného znění nařízení o SIS a nařízení o EES, ETIAS a interoperabilitě, s </w:t>
      </w:r>
      <w:proofErr w:type="spellStart"/>
      <w:r w:rsidRPr="00173C41">
        <w:t>Eurojustem</w:t>
      </w:r>
      <w:proofErr w:type="spellEnd"/>
      <w:r w:rsidRPr="00173C41">
        <w:t xml:space="preserve"> na provádění systémů ECRIS-TCN a e-CODEX a nařízení o interoperabilitě a na koordinaci činností souvisejících s digitalizací justiční spolupráce, s Agenturou Evropské unie pro otázky azylu (EUAA) na provádění nařízení Komise o síti elektronických komunikací </w:t>
      </w:r>
      <w:proofErr w:type="spellStart"/>
      <w:r w:rsidRPr="00173C41">
        <w:t>DubliNet</w:t>
      </w:r>
      <w:proofErr w:type="spellEnd"/>
      <w:r w:rsidRPr="00173C41">
        <w:t>, s Agenturou Evropské unie pro vzdělávání a výcvik v oblasti prosazování práva (CEPOL) na pořádání společných vzdělávacích kurzů týkajících se využívání systémů v oblasti spravedlnosti a vnitřních věcí a s Agenturou Evropské unie pro základní práva (FRA) na organizaci společných vzdělávacích kurzů zaměřených na základní práva při řízení informačních systémů v oblasti spravedlnosti a vnitřních věcí; vybízí agenturu, aby ve spolupráci s dalšími agenturami Unie pokračovala;</w:t>
      </w:r>
    </w:p>
    <w:p w:rsidR="00F073B6" w:rsidRPr="00173C41" w:rsidRDefault="00F073B6" w:rsidP="00F073B6">
      <w:pPr>
        <w:pStyle w:val="Normal12Hanging"/>
        <w:shd w:val="clear" w:color="auto" w:fill="FFFFFF" w:themeFill="background1"/>
        <w:rPr>
          <w:b/>
          <w:i/>
          <w:szCs w:val="24"/>
          <w:lang w:val="cs-CZ"/>
        </w:rPr>
      </w:pPr>
      <w:r w:rsidRPr="00173C41">
        <w:rPr>
          <w:b/>
          <w:i/>
          <w:lang w:val="cs-CZ"/>
        </w:rPr>
        <w:t>Účinnost a přínosy</w:t>
      </w:r>
    </w:p>
    <w:p w:rsidR="00F073B6" w:rsidRPr="00173C41" w:rsidRDefault="00F073B6" w:rsidP="00F073B6">
      <w:pPr>
        <w:pStyle w:val="Normal12Hanging"/>
        <w:shd w:val="clear" w:color="auto" w:fill="FFFFFF" w:themeFill="background1"/>
        <w:rPr>
          <w:szCs w:val="24"/>
          <w:lang w:val="cs-CZ"/>
        </w:rPr>
      </w:pPr>
      <w:r w:rsidRPr="00173C41">
        <w:rPr>
          <w:lang w:val="cs-CZ"/>
        </w:rPr>
        <w:t>11.</w:t>
      </w:r>
      <w:r w:rsidRPr="00173C41">
        <w:rPr>
          <w:lang w:val="cs-CZ"/>
        </w:rPr>
        <w:tab/>
        <w:t>bere na vědomí opatření, která – jak je uvedeno ve zprávě agentury o následných opatřeních, v konsolidované výroční zprávě o činnosti agentury, v odpovědích agentury na písemné otázky Parlamentu a ve zprávě Účetního dvora – agentura přijala ke zlepšení své energetické účinnosti a environmentální výkonnosti, a to i pokud jde o cíle klimatické neutrality; v této souvislosti bere na vědomí, že v roce 2022 začala agentura postupně zavádět vlastní systém environmentálního řízení (EMS), který vychází ze zásad systému pro environmentální řízení podniků a audit (EMAS) a akčního plánu Komise pro Zelenou dohodu pro Evropu, a přijala vlastní environmentální politiku; bere na vědomí, že úplné zavedení systému EMS, a tedy i registrace v systému EMAS, se předpokládá do roku 2024; vítá účast agentury na ekologické síti sítě agentur EU (EUAN), jež nabízí příležitost těžit z materiálů jiných agentur Unie s většími zkušenostmi s prováděním systému EMAS; dále bere na vědomí, že agentura používá kritéria pro zelené veřejné zakázky v oblastech podnikání, jako je správa infrastruktury, hardwarové projekty a informační infrastruktura a projekty v oblasti informačních technologií; oceňuje, že agentura podává zprávy o svém vlivu na životní prostředí na základě klíčového ukazatele výkonnosti, který udává uhlíkovou stopu agentury; bere na vědomí, že v roce 2023 bude stanovena referenční hodnota objemových ukazatelů pro spotřebu vody, energie, papíru a produkci odpadů, který bude následně sloužit pro výpočet a hodnocení těchto ukazatelů;</w:t>
      </w:r>
    </w:p>
    <w:p w:rsidR="00F073B6" w:rsidRPr="00173C41" w:rsidRDefault="00F073B6" w:rsidP="00F073B6">
      <w:pPr>
        <w:pStyle w:val="Normal12Hanging"/>
        <w:shd w:val="clear" w:color="auto" w:fill="FFFFFF" w:themeFill="background1"/>
        <w:rPr>
          <w:szCs w:val="24"/>
          <w:lang w:val="cs-CZ"/>
        </w:rPr>
      </w:pPr>
      <w:r w:rsidRPr="00173C41">
        <w:rPr>
          <w:lang w:val="cs-CZ"/>
        </w:rPr>
        <w:t>12.</w:t>
      </w:r>
      <w:r w:rsidRPr="00173C41">
        <w:rPr>
          <w:lang w:val="cs-CZ"/>
        </w:rPr>
        <w:tab/>
        <w:t xml:space="preserve">konstatuje, že podle písemných odpovědí agentury na horizontální otázky Parlamentu uzavřela agentura dohody o úrovni služeb s několika dalšími agenturami Unie, pokud jde o poskytování podpory v oblasti kontinuity činnosti a zvýšení účinnosti v dalších oblastech spolupráce; v této souvislosti poznamenává, že agentura uzavřela dohody o úrovni služeb s agenturami </w:t>
      </w:r>
      <w:proofErr w:type="spellStart"/>
      <w:r w:rsidRPr="00173C41">
        <w:rPr>
          <w:lang w:val="cs-CZ"/>
        </w:rPr>
        <w:t>Frontex</w:t>
      </w:r>
      <w:proofErr w:type="spellEnd"/>
      <w:r w:rsidRPr="00173C41">
        <w:rPr>
          <w:lang w:val="cs-CZ"/>
        </w:rPr>
        <w:t xml:space="preserve"> a EUAA na </w:t>
      </w:r>
      <w:proofErr w:type="spellStart"/>
      <w:r w:rsidRPr="00173C41">
        <w:rPr>
          <w:lang w:val="cs-CZ"/>
        </w:rPr>
        <w:t>hosting</w:t>
      </w:r>
      <w:proofErr w:type="spellEnd"/>
      <w:r w:rsidRPr="00173C41">
        <w:rPr>
          <w:lang w:val="cs-CZ"/>
        </w:rPr>
        <w:t xml:space="preserve"> jejich středisek obnovy dat po havárii a roční dohody o úrovni služeb s </w:t>
      </w:r>
      <w:proofErr w:type="spellStart"/>
      <w:r w:rsidRPr="00173C41">
        <w:rPr>
          <w:lang w:val="cs-CZ"/>
        </w:rPr>
        <w:t>Europolem</w:t>
      </w:r>
      <w:proofErr w:type="spellEnd"/>
      <w:r w:rsidRPr="00173C41">
        <w:rPr>
          <w:lang w:val="cs-CZ"/>
        </w:rPr>
        <w:t xml:space="preserve"> na pořádání společných zasedání bezpečnostního výboru </w:t>
      </w:r>
      <w:proofErr w:type="spellStart"/>
      <w:r w:rsidRPr="00173C41">
        <w:rPr>
          <w:lang w:val="cs-CZ"/>
        </w:rPr>
        <w:t>Europolu</w:t>
      </w:r>
      <w:proofErr w:type="spellEnd"/>
      <w:r w:rsidRPr="00173C41">
        <w:rPr>
          <w:lang w:val="cs-CZ"/>
        </w:rPr>
        <w:t xml:space="preserve"> a agentury </w:t>
      </w:r>
      <w:proofErr w:type="spellStart"/>
      <w:r w:rsidRPr="00173C41">
        <w:rPr>
          <w:lang w:val="cs-CZ"/>
        </w:rPr>
        <w:t>eu</w:t>
      </w:r>
      <w:proofErr w:type="spellEnd"/>
      <w:r w:rsidRPr="00173C41">
        <w:rPr>
          <w:lang w:val="cs-CZ"/>
        </w:rPr>
        <w:t>-LISA; vyzývá agenturu, aby v zájmu využívání všech dostupných zdrojů pokračovala ve spolupráci s dalšími agenturami Unie; oceňuje agenturu za spolupráci s Agenturou Evropské unie pro kybernetickou bezpečnost (ENISA) prostřednictvím dohody o partnerství a spolupráci, která se týká podpůrných služeb poskytovaných agenturou ENISA v oblasti plánování, provádění a hodnocení každoročních kontrol dodržování zásad kybernetické bezpečnosti;</w:t>
      </w:r>
    </w:p>
    <w:p w:rsidR="00F073B6" w:rsidRPr="00173C41" w:rsidRDefault="00F073B6" w:rsidP="00F073B6">
      <w:pPr>
        <w:pStyle w:val="Normal12Hanging"/>
        <w:shd w:val="clear" w:color="auto" w:fill="FFFFFF" w:themeFill="background1"/>
        <w:rPr>
          <w:szCs w:val="24"/>
          <w:lang w:val="cs-CZ"/>
        </w:rPr>
      </w:pPr>
      <w:r w:rsidRPr="00173C41">
        <w:rPr>
          <w:lang w:val="cs-CZ"/>
        </w:rPr>
        <w:t>13.</w:t>
      </w:r>
      <w:r w:rsidRPr="00173C41">
        <w:rPr>
          <w:lang w:val="cs-CZ"/>
        </w:rPr>
        <w:tab/>
        <w:t>bere na vědomí, že v únoru 2022 přijala agentura strategii pro získávání zdrojů, která má vyjasnit a harmonizovat plánování lidských zdrojů s cílem optimalizovat využívání zdrojů, a zejména vyvážit celkové složení lidských zdrojů agentury (tj. podíl interních zaměstnanců a externích poskytovatelů služeb); dále bere na vědomí, že agentura dosáhla úspor z důvodu vyšší efektivity díky využívání stávajících rezervních seznamů vytvořených během předchozích výběrových řízení a díky využívání seskupení profilů a delších rezervních seznamů za účelem pokrytí několika pracovních míst v rámci jednoho výběrového řízení;</w:t>
      </w:r>
    </w:p>
    <w:p w:rsidR="00F073B6" w:rsidRPr="00173C41" w:rsidRDefault="00F073B6" w:rsidP="00F073B6">
      <w:pPr>
        <w:pStyle w:val="Normal12Hanging"/>
        <w:shd w:val="clear" w:color="auto" w:fill="FFFFFF" w:themeFill="background1"/>
        <w:rPr>
          <w:szCs w:val="24"/>
          <w:lang w:val="cs-CZ"/>
        </w:rPr>
      </w:pPr>
      <w:r w:rsidRPr="00173C41">
        <w:rPr>
          <w:lang w:val="cs-CZ"/>
        </w:rPr>
        <w:t>14.</w:t>
      </w:r>
      <w:r w:rsidRPr="00173C41">
        <w:rPr>
          <w:lang w:val="cs-CZ"/>
        </w:rPr>
        <w:tab/>
        <w:t>vyjadřuje agentuře uznání za pokrok, kterého v roce 2022 dosáhla v oblasti digitalizace svých procesů; v oblasti lidských zdrojů konstatuje, že agentura zavedla nové moduly systému SYSPER (integrovaný informační systém</w:t>
      </w:r>
      <w:r w:rsidRPr="00173C41">
        <w:rPr>
          <w:rFonts w:ascii="Arial" w:hAnsi="Arial"/>
          <w:sz w:val="21"/>
          <w:lang w:val="cs-CZ"/>
        </w:rPr>
        <w:t xml:space="preserve"> </w:t>
      </w:r>
      <w:r w:rsidRPr="00173C41">
        <w:rPr>
          <w:lang w:val="cs-CZ"/>
        </w:rPr>
        <w:t xml:space="preserve">Komise pro řízení lidských zdrojů), konkrétně modul pro podávání zpráv o lidských zdrojích a modul ATS; v oblasti zadávání veřejných zakázek konstatuje, že v roce 2022 se agentura začala seznamovat s nástrojem Komise pro řízení zadávání veřejných zakázek (PPMT) a s jeho požadavky s cílem splnit předpoklady pro nástupní proces, který byl úspěšně dokončen v roce 2023; bere na vědomí, že agentura používá pro výzvy k předkládání nabídek v hodnotě přesahující 15 000 EUR modul </w:t>
      </w:r>
      <w:proofErr w:type="spellStart"/>
      <w:r w:rsidRPr="00173C41">
        <w:rPr>
          <w:lang w:val="cs-CZ"/>
        </w:rPr>
        <w:t>eSubmission</w:t>
      </w:r>
      <w:proofErr w:type="spellEnd"/>
      <w:r w:rsidRPr="00173C41">
        <w:rPr>
          <w:lang w:val="cs-CZ"/>
        </w:rPr>
        <w:t>; dále bere na vědomí, že od zavedení tohoto modulu byl zrušen fyzický podpis uchazečů; vyzývá agenturu, aby zintenzivnila své úsilí o úplné provedení nástroje PPMT; bere rovněž na vědomí, že v oblasti předcházení střetům zájmů a jejich řešení agentura digitalizovala podávání povinných prohlášení nebo žádostí o provedení příslušných pravidel;</w:t>
      </w:r>
    </w:p>
    <w:p w:rsidR="00F073B6" w:rsidRPr="00173C41" w:rsidRDefault="00F073B6" w:rsidP="00F073B6">
      <w:pPr>
        <w:pStyle w:val="Normal12Hanging"/>
        <w:keepNext/>
        <w:shd w:val="clear" w:color="auto" w:fill="FFFFFF" w:themeFill="background1"/>
        <w:rPr>
          <w:szCs w:val="24"/>
          <w:lang w:val="cs-CZ"/>
        </w:rPr>
      </w:pPr>
      <w:r w:rsidRPr="00173C41">
        <w:rPr>
          <w:b/>
          <w:i/>
          <w:lang w:val="cs-CZ"/>
        </w:rPr>
        <w:t>Personální politika</w:t>
      </w:r>
    </w:p>
    <w:p w:rsidR="00F073B6" w:rsidRPr="00173C41" w:rsidRDefault="00F073B6" w:rsidP="00F073B6">
      <w:pPr>
        <w:pStyle w:val="Normal12Hanging"/>
        <w:shd w:val="clear" w:color="auto" w:fill="FFFFFF" w:themeFill="background1"/>
        <w:rPr>
          <w:szCs w:val="24"/>
          <w:lang w:val="cs-CZ"/>
        </w:rPr>
      </w:pPr>
      <w:r w:rsidRPr="00173C41">
        <w:rPr>
          <w:lang w:val="cs-CZ"/>
        </w:rPr>
        <w:t>15.</w:t>
      </w:r>
      <w:r w:rsidRPr="00173C41">
        <w:rPr>
          <w:lang w:val="cs-CZ"/>
        </w:rPr>
        <w:tab/>
        <w:t>bere na vědomí, že ke dni 31. prosince 2022 byl plán pracovních míst naplněn z 89,3 %, přičemž z 215 míst dočasných zaměstnanců schválených na základě rozpočtu Unie (213 v roce 2021) jich bylo obsazeno 192 (193 v roce 2021); bere na vědomí, že pro agenturu v roce 2022 dále pracovalo 121 smluvních zaměstnanců a 11 vyslaných národních odborníků ze 167 povolených smluvních zaměstnanců a 11 povolených vyslaných národních odborníků; bere na vědomí, že počet rozpočtovaných pracovních míst pro smluvní zaměstnance se zvýšil o 35, ze 132 na 167, a to v důsledku schválení rozpočtu na nové úkoly svěřené agentuře (revidovaný systém VIS, ETIAS a interoperabilita); bere na vědomí, že navzdory úsilí agentury se fluktuace zaměstnanců zvýšila z 5,5 % v roce 2021 na 7,1 % v roce 2022 a obsazenost klesla na 82 %, což je méně, než je cíl agentury ve výši 94 %, a to zejména v důsledku počtu pracovních míst se smlouvou na krátkou dobu trvání a v nižších platových třídách, která agentura nabízí;</w:t>
      </w:r>
    </w:p>
    <w:p w:rsidR="00F073B6" w:rsidRPr="00173C41" w:rsidRDefault="00F073B6" w:rsidP="00F073B6">
      <w:pPr>
        <w:pStyle w:val="NormalHanging12a"/>
      </w:pPr>
      <w:r w:rsidRPr="00173C41">
        <w:t>16.</w:t>
      </w:r>
      <w:r w:rsidRPr="00173C41">
        <w:tab/>
        <w:t>se znepokojením bere na vědomí genderové složení ve vyšších a středních úrovních vedení agentury, které tvoří 12 mužů (86 %) a 2 ženy (14 %), dále pak složení správní rady, kde působí 50 mužů (82 %) a 11 žen (18 %), a poměr v rámci celkového počtu zaměstnanců, mezi nimiž je 209 mužů (67 %) a 101 žen (33 %); konstatuje, že podle zprávy agentury o následných opatřeních pokračuje agentura v úsilí o dosažení celkové genderové vyváženosti, přičemž se zaměřuje na komunikaci a na přijímací řízení, aby přilákala vyšší počet uchazečů; vítá účast agentury na celosvětovém online veletrhu profesního uplatnění nazvaného „</w:t>
      </w:r>
      <w:proofErr w:type="spellStart"/>
      <w:r w:rsidRPr="00173C41">
        <w:t>Women</w:t>
      </w:r>
      <w:proofErr w:type="spellEnd"/>
      <w:r w:rsidRPr="00173C41">
        <w:t xml:space="preserve"> in </w:t>
      </w:r>
      <w:proofErr w:type="spellStart"/>
      <w:r w:rsidRPr="00173C41">
        <w:t>Tech</w:t>
      </w:r>
      <w:proofErr w:type="spellEnd"/>
      <w:r w:rsidRPr="00173C41">
        <w:t>“ v roce 2022; dále vítá jmenování nové výkonné ředitelky, čímž bylo dosaženo genderové vyváženosti na úrovni vyššího vedení; připomíná, že je důležité zajistit vyvážené zastoupení žen a mužů, a vyzývá agenturu, aby pokračovala v úsilí o dosažení genderové vyváženosti na všech úrovních prostřednictvím konkrétních opatření, která přilákají ženy, aby se ucházely o pracovní místa nabízená agenturou; žádá Komisi a členské státy, aby při předkládání nominací do správní rady agentury přihlížely k tomu, že je důležité zajistit vyvážené zastoupení žen a mužů;</w:t>
      </w:r>
    </w:p>
    <w:p w:rsidR="00F073B6" w:rsidRPr="00173C41" w:rsidRDefault="00F073B6" w:rsidP="00F073B6">
      <w:pPr>
        <w:pStyle w:val="Normal12Hanging"/>
        <w:shd w:val="clear" w:color="auto" w:fill="FFFFFF" w:themeFill="background1"/>
        <w:rPr>
          <w:szCs w:val="24"/>
          <w:lang w:val="cs-CZ"/>
        </w:rPr>
      </w:pPr>
      <w:r w:rsidRPr="00173C41">
        <w:rPr>
          <w:lang w:val="cs-CZ"/>
        </w:rPr>
        <w:t>17.</w:t>
      </w:r>
      <w:r w:rsidRPr="00173C41">
        <w:rPr>
          <w:lang w:val="cs-CZ"/>
        </w:rPr>
        <w:tab/>
        <w:t>oceňuje agenturu za její úsilí v oblasti lidských zdrojů a snahu přilákat rozmanité uchazeče, představit agenturu jako oblíbeného zaměstnavatele a udržet si talentované zaměstnance; v této souvislosti konstatuje, že v roce 2022 zastupovala agentura síť EUAN na virtuálním veletrhu profesní dráhy pro mezinárodní organizace a zintenzivnila své činnosti v oblasti budování značky zaměstnavatele prostřednictvím specializovaných kampaní, jako jsou svědectví zaměstnanců v sociálních médiích; chválí agenturu za to, že zahájila pilotní interní program mobility, který má využít stávající kompetence zaměstnanců a podpořit soustavný profesní růst zaměstnanců v rámci agentury; v této souvislosti bere na vědomí, že agentura zahájila přípravu strategie řízení lidských zdrojů založené na kompetencích a revizi svého rámce kompetencí, což se odrazí v oznámeních výběrového řízení na volné pracovní místo a v hodnoceních uchazečů;</w:t>
      </w:r>
    </w:p>
    <w:p w:rsidR="00F073B6" w:rsidRPr="00173C41" w:rsidRDefault="00F073B6" w:rsidP="00F073B6">
      <w:pPr>
        <w:pStyle w:val="NormalHanging12a"/>
        <w:shd w:val="clear" w:color="auto" w:fill="FFFFFF" w:themeFill="background1"/>
      </w:pPr>
      <w:r w:rsidRPr="00173C41">
        <w:t>18.</w:t>
      </w:r>
      <w:r w:rsidRPr="00173C41">
        <w:tab/>
        <w:t>oceňuje, že agentura uplatňuje politiku nulové tolerance vůči obtěžování; bere na vědomí, že v roce 2022 byla provedena a interně uzavřena tři správní šetření týkající se obtěžování a jeden další případ byl předán soudu; vyzývá agenturu, aby osoby odpovědné za pochybení urychleně pohnala k odpovědnosti; bere na vědomí, že aby byla schopna rychle řešit rostoucí poptávku po správních šetřeních, včetně těch, která souvisejí se sexuálním či psychickým obtěžováním nebo jinými disciplinárními záležitostmi, podepsala agentura v roce 2022 smlouvu s externí právní kanceláří; bere na vědomí, že agentura dokončila výběr nových důvěrných poradců, v jehož rámci bylo vybráno a vyškoleno pět nových poradců, kteří budou organizaci napomáhat v dalším šíření kultury respektu a důstojnosti na pracovišti a v podpoře zaměstnanců, kteří hledají pomoc v situaci, kterou vnímají jako psychické nebo sexuální obtěžování;</w:t>
      </w:r>
    </w:p>
    <w:p w:rsidR="00F073B6" w:rsidRPr="00173C41" w:rsidRDefault="00F073B6" w:rsidP="00F073B6">
      <w:pPr>
        <w:pStyle w:val="NormalHanging12a"/>
        <w:shd w:val="clear" w:color="auto" w:fill="FFFFFF" w:themeFill="background1"/>
      </w:pPr>
      <w:r w:rsidRPr="00173C41">
        <w:t>19.</w:t>
      </w:r>
      <w:r w:rsidRPr="00173C41">
        <w:tab/>
        <w:t xml:space="preserve">bere na vědomí opatření agentury ke zlepšení zkušeností a pracovních podmínek zaměstnanců; bere na vědomí, že byl zahájen program v oblasti duševního zdraví pro zaměstnance a jejich rodiny, jenž zahrnuje možnost objednat si služby péče o sebe sama, </w:t>
      </w:r>
      <w:proofErr w:type="spellStart"/>
      <w:r w:rsidRPr="00173C41">
        <w:t>webináře</w:t>
      </w:r>
      <w:proofErr w:type="spellEnd"/>
      <w:r w:rsidRPr="00173C41">
        <w:t xml:space="preserve"> či individuální poradenství; bere na vědomí, že po získání výjimky před vydáním vzorového rozhodnutí neuplatnila agentura analogicky rozhodnutí Komise ze dne 24. března 2022 o pracovní době a hybridním způsobu práce; bere na vědomí, že od září 2022 agentura uplatňovala rozhodnutí výkonného ředitele o dočasném hybridním uspořádání práce; dále konstatuje, že dne 16. listopadu 2023 přijala agentura vzorové rozhodnutí s datem účinnosti dne 1. ledna 2024; v neposlední řadě s uspokojením konstatuje, že agentura přijala Chartu EUAN o rozmanitosti a začlenění;</w:t>
      </w:r>
    </w:p>
    <w:p w:rsidR="00F073B6" w:rsidRPr="00173C41" w:rsidRDefault="00F073B6" w:rsidP="00F073B6">
      <w:pPr>
        <w:pStyle w:val="Normal12Hanging"/>
        <w:shd w:val="clear" w:color="auto" w:fill="FFFFFF" w:themeFill="background1"/>
        <w:rPr>
          <w:b/>
          <w:i/>
          <w:szCs w:val="24"/>
          <w:lang w:val="cs-CZ"/>
        </w:rPr>
      </w:pPr>
      <w:r w:rsidRPr="00173C41">
        <w:rPr>
          <w:b/>
          <w:i/>
          <w:lang w:val="cs-CZ"/>
        </w:rPr>
        <w:t>Zadávání veřejných zakázek</w:t>
      </w:r>
    </w:p>
    <w:p w:rsidR="00F073B6" w:rsidRPr="00173C41" w:rsidRDefault="00F073B6" w:rsidP="00F073B6">
      <w:pPr>
        <w:pStyle w:val="NormalHanging12a"/>
      </w:pPr>
      <w:r w:rsidRPr="00173C41">
        <w:t>20.</w:t>
      </w:r>
      <w:r w:rsidRPr="00173C41">
        <w:tab/>
        <w:t>poukazuje na připomínky uvedené ve zprávě Účetního dvora, jež vedly k vydání výroku s výhradou z důvodu nesrovnalostí u několika plateb provedených v roce 2022 v celkové výši 17,8 milionu EUR, které souvisely se sedmi zvláštními smlouvami, což představuje 4,8 % celkových prostředků na platby dostupných v roce 2022; bere na vědomí, že nesrovnalosti v těchto platbách souvisejí především s odchylkami od příslušných rámcových smluv; konstatuje, že podle odpovědí agentury na otázky Parlamentu k písemnému zodpovězení lze nesrovnalosti týkající se plateb provedených v roce 2022 seskupit do tří kategorií: změny smluv na dobu určitou (6,5 milionu EUR), prodloužení zvláštních smluv nad rámec maximální povolené doby (3,7 milionu EUR) a nedostatek podrobností ohledně požadavků ve zvláštních smlouvách (7,5 milionu EUR); bere na vědomí, že některé z těchto plateb, jež vykazovaly nesrovnalosti v celkové výši 10,5 milionu EUR, se týkají tří zvláštních smluv, na jejichž základě byly v roce 2021 rovněž provedeny platby, které Účetní dvůr ve své výroční zprávě o agenturách Unie za tento rok identifikoval jako nesprávné; konstatuje, že podle prohlášení výkonné ředitelky agentury během její schůzky s Výborem pro rozpočtovou kontrolu Parlamentu dne 29. listopadu 2023 (dále jen „prohlášení výkonné ředitelky“) skončilo šest ze sedmi zvláštních smluv uvedených ve zprávě Účetního dvora, aniž by zůstávaly neuhrazené platby; zdůrazňuje, že se jedná o opakující se problém agentury; bere na vědomí opatření uvedená v odpovědích agentury na připomínky Účetního dvora, která agentura k řešení tohoto problému přijala; vyzývá agenturu, aby tento problém důkladně řešila i nadále a aby orgán příslušný k udělení absolutoria informovala o dosaženém pokroku;</w:t>
      </w:r>
    </w:p>
    <w:p w:rsidR="00F073B6" w:rsidRPr="00173C41" w:rsidRDefault="00F073B6" w:rsidP="00F073B6">
      <w:pPr>
        <w:pStyle w:val="Normal12Hanging"/>
        <w:shd w:val="clear" w:color="auto" w:fill="FFFFFF" w:themeFill="background1"/>
        <w:rPr>
          <w:szCs w:val="24"/>
          <w:lang w:val="cs-CZ"/>
        </w:rPr>
      </w:pPr>
      <w:r w:rsidRPr="00173C41">
        <w:rPr>
          <w:lang w:val="cs-CZ"/>
        </w:rPr>
        <w:t>21.</w:t>
      </w:r>
      <w:r w:rsidRPr="00173C41">
        <w:rPr>
          <w:lang w:val="cs-CZ"/>
        </w:rPr>
        <w:tab/>
        <w:t>s vážným znepokojením konstatuje, že rok 2022 byl třetím rokem v řadě, pro nějž Účetní dvůr vydal výrok s výhradou, pokud jde o zadávání veřejných zakázek a řízení smluv agenturou, přičemž v důsledku nesrovnalostí, opožděných a nedostatečných nabídkových řízení a nedostatečné péče agentury, co se týče pravidel pro zadávání veřejných zakázek, vznikly agentuře vyšší náklady; bere na vědomí akční plán agentury pro hloubkový přezkum jejích postupů, jenž má určit a odstranit hlavní příčiny opakujících se připomínek Účetního dvora v této oblasti, jak je zmiňován v odpovědích agentury na písemné otázky Parlamentu, ve zprávě agentury o následných opatřeních a v prohlášeních výkonné ředitelky; očekává proto, že provedení tohoto akčního plánu povede k trvalému zlepšení, zejména vzhledem k tomu, že platnost šesti ze sedmi zvláštních smluv, které Účetní dvůr identifikoval jako nesprávné, skončila bez neuhrazených plateb; vyzývá agenturu, aby orgánu příslušnému k udělení absolutoria pravidelně podávala zprávy o pokroku dosaženém při provádění tohoto akčního plánu a o veškerých přijatých nápravných opatřeních;</w:t>
      </w:r>
    </w:p>
    <w:p w:rsidR="00F073B6" w:rsidRPr="00173C41" w:rsidRDefault="00F073B6" w:rsidP="00F073B6">
      <w:pPr>
        <w:pStyle w:val="Normal12Hanging"/>
        <w:shd w:val="clear" w:color="auto" w:fill="FFFFFF" w:themeFill="background1"/>
        <w:rPr>
          <w:szCs w:val="24"/>
          <w:lang w:val="cs-CZ"/>
        </w:rPr>
      </w:pPr>
      <w:r w:rsidRPr="00173C41">
        <w:rPr>
          <w:lang w:val="cs-CZ"/>
        </w:rPr>
        <w:t>22.</w:t>
      </w:r>
      <w:r w:rsidRPr="00173C41">
        <w:rPr>
          <w:lang w:val="cs-CZ"/>
        </w:rPr>
        <w:tab/>
        <w:t xml:space="preserve">upozorňuje, že podle zprávy Účetního dvora provedla agentura v roce 2022, stejně jako v roce 2021, platby na základě jedné zvláštní smlouvy (ve výši 40 milionů EUR), která řádně neprováděla související rámcovou smlouvu, neboť neupřesňovala podrobnosti o pořizovaných službách (množství a datum dodání); bere na vědomí, že na základě této smlouvy agentura v roce 2022 zaplatila 7,5 milionu EUR; bere na vědomí, že podle vyjádření agentury ve sdělení ze dne 13. listopadu 2023 nazvaném „Absolutorium za rok 2022 – zjištění Účetního dvora týkající se agentury </w:t>
      </w:r>
      <w:proofErr w:type="spellStart"/>
      <w:r w:rsidRPr="00173C41">
        <w:rPr>
          <w:lang w:val="cs-CZ"/>
        </w:rPr>
        <w:t>eu</w:t>
      </w:r>
      <w:proofErr w:type="spellEnd"/>
      <w:r w:rsidRPr="00173C41">
        <w:rPr>
          <w:lang w:val="cs-CZ"/>
        </w:rPr>
        <w:t>-LISA: stručná poznámka pro poslance EP“ byla hlavní příčinou neurčitosti této smlouvy, podepsané na konci roku 2018, potřeba zachovat financování interoperability mezi systémy EES-VIS, kde došlo k výraznému posunu rozpočtového plánování, který agentura nemohla ovlivnit, oproti skutečnému stavu přijatých příslušných právních předpisů; bere na vědomí, že bez této smlouvy by související částka, nezbytná pro zajištění interoperability, byla ztracena; na základě odpovědi agentury na připomínku Účetního dvora bere na vědomí nápravná opatření, která agentura přijala prostřednictvím dodatku k této smlouvě, v němž byl doplněn podrobnější popis poskytovaných služeb; konstatuje, že agentura tuto smlouvu, jejíž platnost vypršela v roce 2022, neprodloužila; v této souvislosti připomíná, že prodlevy při přijímání a provádění příslušných právních aktů jsou zásadními faktory při určování míry podrobnosti a přesnosti, kterou je agentura schopna nabídnout při prvotním uzavírání rámcových smluv; bere na vědomí názor uvedený ve zprávě agentury o následných opatřeních, že zkrácení doby na přípravu prováděcích aktů by mělo přímý dopad na schopnost agentury lépe plánovat zadávání veřejných zakázek a omezit smluvní změny;</w:t>
      </w:r>
    </w:p>
    <w:p w:rsidR="00F073B6" w:rsidRPr="00173C41" w:rsidRDefault="00F073B6" w:rsidP="00F073B6">
      <w:pPr>
        <w:pStyle w:val="NormalHanging12a"/>
      </w:pPr>
      <w:r w:rsidRPr="00173C41">
        <w:t>23.</w:t>
      </w:r>
      <w:r w:rsidRPr="00173C41">
        <w:tab/>
        <w:t>se znepokojením bere na vědomí, že podle zprávy Účetního dvora použila agentura k zadání zakázky vyjednávací řízení bez předchozího zveřejnění oznámení o zakázce; bere na vědomí, že agentura toto rozhodnutí odůvodnila mimořádnou naléhavostí, a to v rozporu s doporučeními svých vlastních útvarů pro zadávání veřejných zakázek a právní služby; bere na vědomí důvody, které Účetní dvůr uvedl pro neoprávněnost použití tohoto postupu; bere nicméně na vědomí odpověď agentury, že hrozil scénář několikaměsíčního výpadku údržby, neboť lhůty pro provádění programu EES se formálně změnily až v pozdější fázi a celková doba potřebná pro zadání zakázky a přechod na nového dodavatele byla odhadována na nejméně osm měsíců; v této souvislosti se domnívá, že přístup agentury byl přiměřený; konstatuje, že podle odpovědi agentury platnost udělené zakázky mezitím vypršela;</w:t>
      </w:r>
    </w:p>
    <w:p w:rsidR="00F073B6" w:rsidRPr="00173C41" w:rsidRDefault="00F073B6" w:rsidP="00F073B6">
      <w:pPr>
        <w:pStyle w:val="Normal12Hanging"/>
        <w:rPr>
          <w:szCs w:val="24"/>
          <w:lang w:val="cs-CZ"/>
        </w:rPr>
      </w:pPr>
      <w:r w:rsidRPr="00173C41">
        <w:rPr>
          <w:lang w:val="cs-CZ"/>
        </w:rPr>
        <w:t>24.</w:t>
      </w:r>
      <w:r w:rsidRPr="00173C41">
        <w:rPr>
          <w:lang w:val="cs-CZ"/>
        </w:rPr>
        <w:tab/>
        <w:t>bere na vědomí další dvě připomínky obsažené ve zprávě Účetního dvora, které se týkají řídicích a kontrolních systémů agentury; bere na vědomí, že první připomínka se týká nákupu hardwaru (27,7 milionu EUR), k němuž agentura neobdržela ceníky prodejců hardwaru a neprovedla kontroly ex ante; bere na vědomí, že druhá připomínka se týká zadávání zakázek na rámcovou smlouvu o průřezových operacích v odhadované hodnotě 490 milionů EUR, a konkrétně skutečnosti, že u šesti schůzí hodnotícího výboru nebyly vedeny žádné záznamy a byla pouze podepsána závěrečná zpráva; vyzývá agenturu, aby zlepšila systémy vnitřní kontroly, a předešla tak opakování těchto nedostatků v budoucnu;</w:t>
      </w:r>
    </w:p>
    <w:p w:rsidR="00F073B6" w:rsidRPr="00173C41" w:rsidRDefault="00F073B6" w:rsidP="00F073B6">
      <w:pPr>
        <w:pStyle w:val="Normal12Hanging"/>
        <w:rPr>
          <w:szCs w:val="24"/>
          <w:lang w:val="cs-CZ"/>
        </w:rPr>
      </w:pPr>
      <w:r w:rsidRPr="00173C41">
        <w:rPr>
          <w:lang w:val="cs-CZ"/>
        </w:rPr>
        <w:t>25.</w:t>
      </w:r>
      <w:r w:rsidRPr="00173C41">
        <w:rPr>
          <w:lang w:val="cs-CZ"/>
        </w:rPr>
        <w:tab/>
        <w:t>bere na vědomí, že osm připomínek ze zpráv Účetního dvora z předchozích let (2017, 2018 a 2021) určených agentuře je vedeno jako otevřené; vyzývá agenturu, aby tyto připomínky neprodleně uzavřela a informovala orgán příslušný k udělení absolutoria o pokroku, jejž bylo v tomto ohledu dosaženo;</w:t>
      </w:r>
    </w:p>
    <w:p w:rsidR="00F073B6" w:rsidRPr="00173C41" w:rsidRDefault="00F073B6" w:rsidP="00F073B6">
      <w:pPr>
        <w:pStyle w:val="Normal12Hanging"/>
        <w:rPr>
          <w:b/>
          <w:i/>
          <w:szCs w:val="24"/>
          <w:lang w:val="cs-CZ"/>
        </w:rPr>
      </w:pPr>
      <w:r w:rsidRPr="00173C41">
        <w:rPr>
          <w:b/>
          <w:i/>
          <w:lang w:val="cs-CZ"/>
        </w:rPr>
        <w:t>Prevence a řešení střetů zájmů a transparentnost</w:t>
      </w:r>
    </w:p>
    <w:p w:rsidR="00F073B6" w:rsidRPr="00173C41" w:rsidRDefault="00F073B6" w:rsidP="00F073B6">
      <w:pPr>
        <w:pStyle w:val="NormalHanging12a"/>
        <w:shd w:val="clear" w:color="auto" w:fill="FFFFFF" w:themeFill="background1"/>
        <w:rPr>
          <w:rFonts w:cstheme="minorHAnsi"/>
        </w:rPr>
      </w:pPr>
      <w:r w:rsidRPr="00173C41">
        <w:t>26.</w:t>
      </w:r>
      <w:r w:rsidRPr="00173C41">
        <w:tab/>
        <w:t>bere na vědomí, že agentura provedla rozhodnutí týkající se prevence a řešení střetů zájmů svých zaměstnanců a činností mimo agenturu během výkonu funkce v agentuře a po jejím skončení; vítá skutečnost, že všichni zaměstnanci musí jednou za dva roky předkládat prohlášení o zájmech, s výjimkou zaměstnanců zapojených do postupů schvalování finančních transakcí a zaměstnanců na vyšších vedoucích pozicích, kteří musí toto prohlášení předkládat každoročně; dále bere na vědomí, že nadto jsou všichni zaměstnanci agentury povinni předložit toto prohlášení vždy, kdy dojde ke změně situace; bere na vědomí, že agentura zveřejňuje prohlášení o zájmech a životopisy zaměstnanců na vyšších vedoucích pozicích na svých internetových stránkách; vítá, že od roku 2022 jsou zveřejňována prohlášení o zájmech i životopisy členů správní rady a jejich náhradníků;</w:t>
      </w:r>
    </w:p>
    <w:p w:rsidR="00F073B6" w:rsidRPr="00173C41" w:rsidRDefault="00F073B6" w:rsidP="00F073B6">
      <w:pPr>
        <w:pStyle w:val="NormalHanging12a"/>
      </w:pPr>
      <w:r w:rsidRPr="00173C41">
        <w:t>27.</w:t>
      </w:r>
      <w:r w:rsidRPr="00173C41">
        <w:tab/>
        <w:t>vítá skutečnost, že v březnu 2022 agentura přijala revidované pokyny k </w:t>
      </w:r>
      <w:proofErr w:type="spellStart"/>
      <w:r w:rsidRPr="00173C41">
        <w:t>whistleblowingu</w:t>
      </w:r>
      <w:proofErr w:type="spellEnd"/>
      <w:r w:rsidRPr="00173C41">
        <w:t xml:space="preserve">; bere na vědomí prohlášení agentury, že v roce 2022 zvýšila jasnost a viditelnost samostatných komunikačních kanálů, které mají zaměstnanci k dispozici, jako jsou důvěrní poradci nebo kanály pro </w:t>
      </w:r>
      <w:proofErr w:type="spellStart"/>
      <w:r w:rsidRPr="00173C41">
        <w:t>whistleblowing</w:t>
      </w:r>
      <w:proofErr w:type="spellEnd"/>
      <w:r w:rsidRPr="00173C41">
        <w:t>; dále vítá přijetí pokynů pro přístup veřejnosti k dokumentům; vítá, že od září 2022 vstoupí v platnost rozhodnutí agentury 09/08/2022, kterým se zřizuje rejstřík transparentnosti, jehož prostřednictvím budou na internetových stránkách agentury zveřejňovány schůzky mezi vyšším vedením agentury a hospodářskými subjekty;</w:t>
      </w:r>
    </w:p>
    <w:p w:rsidR="00F073B6" w:rsidRPr="00173C41" w:rsidRDefault="00F073B6" w:rsidP="00F073B6">
      <w:pPr>
        <w:pStyle w:val="Normal12Hanging"/>
        <w:shd w:val="clear" w:color="auto" w:fill="FFFFFF" w:themeFill="background1"/>
        <w:rPr>
          <w:b/>
          <w:i/>
          <w:szCs w:val="24"/>
          <w:lang w:val="cs-CZ"/>
        </w:rPr>
      </w:pPr>
      <w:r w:rsidRPr="00173C41">
        <w:rPr>
          <w:b/>
          <w:i/>
          <w:lang w:val="cs-CZ"/>
        </w:rPr>
        <w:t>Interní audit</w:t>
      </w:r>
    </w:p>
    <w:p w:rsidR="00F073B6" w:rsidRPr="00173C41" w:rsidRDefault="00F073B6" w:rsidP="00F073B6">
      <w:pPr>
        <w:pStyle w:val="Normal12Hanging"/>
        <w:shd w:val="clear" w:color="auto" w:fill="FFFFFF" w:themeFill="background1"/>
        <w:rPr>
          <w:szCs w:val="24"/>
          <w:lang w:val="cs-CZ"/>
        </w:rPr>
      </w:pPr>
      <w:r w:rsidRPr="00173C41">
        <w:rPr>
          <w:lang w:val="cs-CZ"/>
        </w:rPr>
        <w:t>28.</w:t>
      </w:r>
      <w:r w:rsidRPr="00173C41">
        <w:rPr>
          <w:lang w:val="cs-CZ"/>
        </w:rPr>
        <w:tab/>
        <w:t>uvědomuje si, jaký význam mají externí audity dodržování ochrany údajů pro zajištění vysoké úrovně ochrany v souvislosti se zpracováním osobních údajů agenturou; bere na vědomí, že v roce 2022 agentura soustavně prováděla opatření přijatá v návaznosti na doporučení zjištěná při auditech systémů SIS, VIS a </w:t>
      </w:r>
      <w:proofErr w:type="spellStart"/>
      <w:r w:rsidRPr="00173C41">
        <w:rPr>
          <w:lang w:val="cs-CZ"/>
        </w:rPr>
        <w:t>Eurodac</w:t>
      </w:r>
      <w:proofErr w:type="spellEnd"/>
      <w:r w:rsidRPr="00173C41">
        <w:rPr>
          <w:lang w:val="cs-CZ"/>
        </w:rPr>
        <w:t xml:space="preserve">, které provedl evropský inspektor ochrany údajů (EIOÚ); bere na vědomí, že v roce 2022 provedl EIOÚ novou inspekci týkající se systémů </w:t>
      </w:r>
      <w:proofErr w:type="spellStart"/>
      <w:r w:rsidRPr="00173C41">
        <w:rPr>
          <w:lang w:val="cs-CZ"/>
        </w:rPr>
        <w:t>Eurodac</w:t>
      </w:r>
      <w:proofErr w:type="spellEnd"/>
      <w:r w:rsidRPr="00173C41">
        <w:rPr>
          <w:lang w:val="cs-CZ"/>
        </w:rPr>
        <w:t xml:space="preserve">, VIS a SIS II, a tento audit se zaměřoval na celkové řízení bezpečnosti informačních technologií, bezpečnostní incidenty a porušení zabezpečení osobních údajů a na metodiku a postupy pro bezpečný vývoj a testování systémů se zaměřením na řízení kontroly přístupu v různých prostředích; bere na vědomí, že podle zprávy agentury o následných opatřeních je audit EIOÚ týkající se systémů VIS a SIS z roku 2018 veden jako uzavřený, neboť všech 43 doporučení bylo splněno, avšak audit EIOÚ z roku 2019 týkající se systému </w:t>
      </w:r>
      <w:proofErr w:type="spellStart"/>
      <w:r w:rsidRPr="00173C41">
        <w:rPr>
          <w:lang w:val="cs-CZ"/>
        </w:rPr>
        <w:t>Eurodac</w:t>
      </w:r>
      <w:proofErr w:type="spellEnd"/>
      <w:r w:rsidRPr="00173C41">
        <w:rPr>
          <w:lang w:val="cs-CZ"/>
        </w:rPr>
        <w:t xml:space="preserve"> je veden jako částečně provedený, neboť bylo splněno 23 z 29 doporučení;</w:t>
      </w:r>
    </w:p>
    <w:p w:rsidR="00F073B6" w:rsidRPr="00173C41" w:rsidRDefault="00F073B6" w:rsidP="00F073B6">
      <w:pPr>
        <w:pStyle w:val="Normal12Hanging"/>
        <w:shd w:val="clear" w:color="auto" w:fill="FFFFFF" w:themeFill="background1"/>
        <w:rPr>
          <w:szCs w:val="24"/>
          <w:lang w:val="cs-CZ"/>
        </w:rPr>
      </w:pPr>
      <w:r w:rsidRPr="00173C41">
        <w:rPr>
          <w:lang w:val="cs-CZ"/>
        </w:rPr>
        <w:t>29.</w:t>
      </w:r>
      <w:r w:rsidRPr="00173C41">
        <w:rPr>
          <w:lang w:val="cs-CZ"/>
        </w:rPr>
        <w:tab/>
        <w:t>vítá roční sebehodnocení systému vnitřní kontroly, které agentura provedla v roce 2022 a jehož výsledkem je, že 81 % kritérií pro monitorování vnitřní kontroly agentury bylo splněno nebo splněno částečně; bere na vědomí, že z tohoto posouzení vyplynul závěr, že systém vnitřní kontroly je zaveden, funguje a je účinný, i když je třeba provést některá zlepšení, např. v oblasti vymáhání odpovědnosti, kontrol ex ante a řízení zakázek a smluv; bere na vědomí, že už třetím rokem po sobě přetrvává závažný nedostatek v zásadě 10, „Výběr a rozvoj kontrolních činností“, v rámci složky kontrolních činností; bere na vědomí, že v roce 2022 agentura dále posilovala své kontrolní mechanismy v oblasti správy informací prostřednictvím revize politiky dlouhodobého uchovávání dokumentů a postupů uchovávání dokumentů agentury a přijetím pokynů pro přístup veřejnosti k dokumentům; vyzývá agenturu, aby v zájmu zmírnění rizik spojených s plněním cílů politik, provozních cílů a cílů vnitřní kontroly pokračovala ve svém úsilí o odstraňování nedostatků v oblasti kontrolních činností;</w:t>
      </w:r>
    </w:p>
    <w:p w:rsidR="00F073B6" w:rsidRPr="00173C41" w:rsidRDefault="00F073B6" w:rsidP="00F073B6">
      <w:pPr>
        <w:pStyle w:val="Normal12Hanging"/>
        <w:shd w:val="clear" w:color="auto" w:fill="FFFFFF" w:themeFill="background1"/>
        <w:rPr>
          <w:szCs w:val="24"/>
          <w:lang w:val="cs-CZ"/>
        </w:rPr>
      </w:pPr>
      <w:r w:rsidRPr="00173C41">
        <w:rPr>
          <w:lang w:val="cs-CZ"/>
        </w:rPr>
        <w:t>30.</w:t>
      </w:r>
      <w:r w:rsidRPr="00173C41">
        <w:rPr>
          <w:lang w:val="cs-CZ"/>
        </w:rPr>
        <w:tab/>
        <w:t>bere na vědomí, že na konci roku 2022 činila míra plnění auditních doporučení od různých auditních a vyšetřovacích orgánů 63 %, přičemž z 32 doporučení, která měla být provedena, jich bylo realizováno 20 (12 doporučení bylo po termínu plnění); bere na vědomí, že na konci roku 2022 zůstávalo otevřeno celkem 33 doporučení, z nichž tři byla kritická; vyzývá agenturu, aby provedla zbývající doporučení a informovala orgán příslušný k udělení absolutoria o dosaženém pokroku;</w:t>
      </w:r>
    </w:p>
    <w:p w:rsidR="00F073B6" w:rsidRPr="00173C41" w:rsidRDefault="00F073B6" w:rsidP="00F073B6">
      <w:pPr>
        <w:pStyle w:val="NormalHanging12a"/>
        <w:shd w:val="clear" w:color="auto" w:fill="FFFFFF" w:themeFill="background1"/>
        <w:rPr>
          <w:szCs w:val="24"/>
        </w:rPr>
      </w:pPr>
      <w:r w:rsidRPr="00173C41">
        <w:t>31.</w:t>
      </w:r>
      <w:r w:rsidRPr="00173C41">
        <w:tab/>
        <w:t>bere na vědomí, že agentura požádala v roce 2022 Evropský úřad pro boj proti podvodům (OLAF) o posouzení dvou případů údajného podvodu při přijímání zaměstnanců a jednoho případu možného podvodného jednání ze strany zaměstnance; bere na vědomí, že se úřad OLAF v reakci na žádnou z těchto tří žádostí nerozhodl zahájit vyšetřování; bere na vědomí, že v roce 2022 se agentura zabývala doporučeními, která vzešla z vyšetřování úřadu OLAF v souvislosti s případy OC/2020/0441/A2 a OC/2017/1121/A2; vítá, že agentura přijala strategii boje proti podvodům na období 2022–2024 spolu s akčním plánem, jenž zahrnuje 12 opatření;</w:t>
      </w:r>
    </w:p>
    <w:p w:rsidR="00F073B6" w:rsidRPr="00173C41" w:rsidRDefault="00F073B6" w:rsidP="00F073B6">
      <w:pPr>
        <w:pStyle w:val="Normal12Hanging"/>
        <w:shd w:val="clear" w:color="auto" w:fill="FFFFFF" w:themeFill="background1"/>
        <w:rPr>
          <w:b/>
          <w:i/>
          <w:szCs w:val="24"/>
          <w:lang w:val="cs-CZ"/>
        </w:rPr>
      </w:pPr>
      <w:r w:rsidRPr="00173C41">
        <w:rPr>
          <w:b/>
          <w:i/>
          <w:lang w:val="cs-CZ"/>
        </w:rPr>
        <w:t>Ostatní</w:t>
      </w:r>
    </w:p>
    <w:p w:rsidR="00F073B6" w:rsidRPr="00173C41" w:rsidRDefault="00F073B6" w:rsidP="00F073B6">
      <w:pPr>
        <w:pStyle w:val="NormalHanging12a"/>
        <w:shd w:val="clear" w:color="auto" w:fill="FFFFFF" w:themeFill="background1"/>
        <w:rPr>
          <w:szCs w:val="24"/>
        </w:rPr>
      </w:pPr>
      <w:r w:rsidRPr="00173C41">
        <w:t>32.</w:t>
      </w:r>
      <w:r w:rsidRPr="00173C41">
        <w:tab/>
        <w:t>bere na vědomí, že v roce 2022 se agentura zaměřila na zajištění zviditelňování úspěchů agentury a posílení povědomí veřejnosti o její úloze při zajišťování zájmů občanů Unie a poskytování služeb informačních technologií zúčastněným stranám; oceňuje v této souvislosti dokončení nového internetového portálu „</w:t>
      </w:r>
      <w:proofErr w:type="spellStart"/>
      <w:r w:rsidRPr="00173C41">
        <w:t>Discover</w:t>
      </w:r>
      <w:proofErr w:type="spellEnd"/>
      <w:r w:rsidRPr="00173C41">
        <w:t xml:space="preserve"> </w:t>
      </w:r>
      <w:proofErr w:type="spellStart"/>
      <w:r w:rsidRPr="00173C41">
        <w:t>eu</w:t>
      </w:r>
      <w:proofErr w:type="spellEnd"/>
      <w:r w:rsidRPr="00173C41">
        <w:t xml:space="preserve">-LISA 2.0“, který zúčastněným stranám poskytuje aktuální přehled hlavních úkolů a oblastí činnosti agentury, a vydání zvláštní brožury k 10. výročí založení agentury, přičemž při této příležitosti uspořádala agentura ve spolupráci s českým předsednictvím Rady výroční konferenci nazvanou „10 let digitálního srdce </w:t>
      </w:r>
      <w:proofErr w:type="spellStart"/>
      <w:r w:rsidRPr="00173C41">
        <w:t>Schengenu</w:t>
      </w:r>
      <w:proofErr w:type="spellEnd"/>
      <w:r w:rsidRPr="00173C41">
        <w:t xml:space="preserve">“, na níž vystoupilo 20 řečníků a sešlo se 388 účastníků; vyjadřuje agentuře uznání za to, že v roce 2022 získala za své inovativní a inspirativní iniciativy v oblasti komunikace s veřejností ocenění </w:t>
      </w:r>
      <w:proofErr w:type="spellStart"/>
      <w:r w:rsidRPr="00173C41">
        <w:t>Forbes</w:t>
      </w:r>
      <w:proofErr w:type="spellEnd"/>
      <w:r w:rsidRPr="00173C41">
        <w:t xml:space="preserve"> </w:t>
      </w:r>
      <w:proofErr w:type="spellStart"/>
      <w:r w:rsidRPr="00173C41">
        <w:t>Social</w:t>
      </w:r>
      <w:proofErr w:type="spellEnd"/>
      <w:r w:rsidRPr="00173C41">
        <w:t xml:space="preserve"> </w:t>
      </w:r>
      <w:proofErr w:type="spellStart"/>
      <w:r w:rsidRPr="00173C41">
        <w:t>Award</w:t>
      </w:r>
      <w:proofErr w:type="spellEnd"/>
      <w:r w:rsidRPr="00173C41">
        <w:t>, neboť v této oblasti vynikala silným etickým přesahem a využíváním inovativních komunikačních strategií, technik a nástrojů; bere na vědomí zlepšení metrik agentury v oblasti sociálních médií v roce 2022;</w:t>
      </w:r>
    </w:p>
    <w:p w:rsidR="00F073B6" w:rsidRPr="00173C41" w:rsidRDefault="00F073B6" w:rsidP="00F073B6">
      <w:pPr>
        <w:pStyle w:val="NormalHanging12a"/>
        <w:shd w:val="clear" w:color="auto" w:fill="FFFFFF" w:themeFill="background1"/>
        <w:rPr>
          <w:szCs w:val="24"/>
        </w:rPr>
      </w:pPr>
      <w:r w:rsidRPr="00173C41">
        <w:t>33.</w:t>
      </w:r>
      <w:r w:rsidRPr="00173C41">
        <w:tab/>
        <w:t>bere na vědomí, že v roce 2022 přijala agentura velký počet bezpečnostních plánů a plánů kontinuity provozu pro své hlavní systémy, aby zajistila vyšší úroveň kybernetické bezpečnosti a odolnosti vyžadovanou právními nástroji, a uspořádala kontrolu dodržování zásad kybernetické bezpečnosti s cílem ověřit účinnost bezpečnostních opatření zavedených na ochranu centrálního systému SIS; bere na vědomí, že agentura výrazně zvýšila úroveň monitorování informačních systémů připojených k internetu z důvodu zvýšené míry kybernetického ohrožení v důsledku nezákonné válečné agrese Ruska vůči Ukrajině;</w:t>
      </w:r>
    </w:p>
    <w:p w:rsidR="00F073B6" w:rsidRPr="00173C41" w:rsidRDefault="00F073B6" w:rsidP="00F073B6">
      <w:pPr>
        <w:pStyle w:val="NormalHanging12a"/>
        <w:ind w:left="560" w:hanging="560"/>
      </w:pPr>
      <w:r w:rsidRPr="00173C41">
        <w:t>34.</w:t>
      </w:r>
      <w:r w:rsidRPr="00173C41">
        <w:tab/>
        <w:t xml:space="preserve">bere na vědomí, že pokračuje poskytování </w:t>
      </w:r>
      <w:proofErr w:type="spellStart"/>
      <w:r w:rsidRPr="00173C41">
        <w:t>hostingových</w:t>
      </w:r>
      <w:proofErr w:type="spellEnd"/>
      <w:r w:rsidRPr="00173C41">
        <w:t xml:space="preserve"> služeb pro záložní systémy agentury </w:t>
      </w:r>
      <w:proofErr w:type="spellStart"/>
      <w:r w:rsidRPr="00173C41">
        <w:t>Frontex</w:t>
      </w:r>
      <w:proofErr w:type="spellEnd"/>
      <w:r w:rsidRPr="00173C41">
        <w:t xml:space="preserve"> a agentury EUAA; bere na vědomí vývoj a provádění „datového centra jako služby“ v souvislosti s centralizací provozního řízení, monitorováním a plánováním kapacit informační infrastruktury, kterou využívají systémy v oblasti spravedlnosti a vnitřních věcí; vítá pokrok, jehož bylo dosaženo při přípravách budoucího modulárního datového centra, které bude poskytovat dodatečnou rezervní kapacitu a umožní zvýšit kapacitu pro hostování nových systémů v oblasti spravedlnosti a vnitřních věcí o 50 %; připomíná význam dodržování práva Unie, zejména pokud jde o ochranu údajů;</w:t>
      </w:r>
    </w:p>
    <w:p w:rsidR="00F073B6" w:rsidRPr="00173C41" w:rsidRDefault="00F073B6" w:rsidP="00F073B6">
      <w:pPr>
        <w:pStyle w:val="NormalCenter12a"/>
        <w:shd w:val="clear" w:color="auto" w:fill="FFFFFF" w:themeFill="background1"/>
      </w:pPr>
      <w:r w:rsidRPr="00173C41">
        <w:t>°</w:t>
      </w:r>
    </w:p>
    <w:p w:rsidR="00F073B6" w:rsidRPr="00173C41" w:rsidRDefault="00F073B6" w:rsidP="00F073B6">
      <w:pPr>
        <w:pStyle w:val="NormalCenter12a"/>
        <w:shd w:val="clear" w:color="auto" w:fill="FFFFFF" w:themeFill="background1"/>
      </w:pPr>
      <w:r w:rsidRPr="00173C41">
        <w:t>°</w:t>
      </w:r>
      <w:r w:rsidRPr="00173C41">
        <w:tab/>
        <w:t>°</w:t>
      </w:r>
    </w:p>
    <w:p w:rsidR="00F073B6" w:rsidRPr="00173C41" w:rsidRDefault="00F073B6" w:rsidP="00F073B6">
      <w:pPr>
        <w:pStyle w:val="NormalHanging12a"/>
        <w:shd w:val="clear" w:color="auto" w:fill="FFFFFF" w:themeFill="background1"/>
      </w:pPr>
      <w:r w:rsidRPr="00173C41">
        <w:t>35.</w:t>
      </w:r>
      <w:r w:rsidRPr="00173C41">
        <w:tab/>
        <w:t>pokud jde o další připomínky, které jsou připojeny k rozhodnutí o udělení absolutoria a jsou horizontální povahy, odk</w:t>
      </w:r>
      <w:r w:rsidR="00223518">
        <w:t>azuje na své usnesení ze dne 11. dubna</w:t>
      </w:r>
      <w:r w:rsidRPr="00173C41">
        <w:t xml:space="preserve"> 2024</w:t>
      </w:r>
      <w:r w:rsidRPr="00173C41">
        <w:rPr>
          <w:rStyle w:val="FootnoteReference"/>
        </w:rPr>
        <w:footnoteReference w:id="12"/>
      </w:r>
      <w:r w:rsidRPr="00173C41">
        <w:t xml:space="preserve"> o výkonnosti, finančním řízení a kontrole agentur.</w:t>
      </w:r>
    </w:p>
    <w:p w:rsidR="00F073B6" w:rsidRPr="00173C41" w:rsidRDefault="00F073B6" w:rsidP="00F073B6"/>
    <w:p w:rsidR="00E365E1" w:rsidRPr="00173C41" w:rsidRDefault="00E365E1" w:rsidP="00646888">
      <w:bookmarkStart w:id="13" w:name="TextBodyEnd"/>
      <w:bookmarkEnd w:id="13"/>
    </w:p>
    <w:sectPr w:rsidR="00E365E1" w:rsidRPr="00173C41" w:rsidSect="00173C4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6888" w:rsidRPr="00173C41" w:rsidRDefault="00646888">
      <w:r w:rsidRPr="00173C41">
        <w:separator/>
      </w:r>
    </w:p>
  </w:endnote>
  <w:endnote w:type="continuationSeparator" w:id="0">
    <w:p w:rsidR="00646888" w:rsidRPr="00173C41" w:rsidRDefault="00646888">
      <w:r w:rsidRPr="00173C4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73B6" w:rsidRPr="00173C41" w:rsidRDefault="00F073B6" w:rsidP="0088673F">
    <w:pPr>
      <w:pStyle w:val="EPFooter"/>
    </w:pPr>
    <w:r w:rsidRPr="00173C41">
      <w:t>PE</w:t>
    </w:r>
    <w:r w:rsidRPr="00173C41">
      <w:rPr>
        <w:rStyle w:val="HideTWBExt"/>
      </w:rPr>
      <w:t>&lt;</w:t>
    </w:r>
    <w:proofErr w:type="spellStart"/>
    <w:r w:rsidRPr="00173C41">
      <w:rPr>
        <w:rStyle w:val="HideTWBExt"/>
      </w:rPr>
      <w:t>NoPE</w:t>
    </w:r>
    <w:proofErr w:type="spellEnd"/>
    <w:r w:rsidRPr="00173C41">
      <w:rPr>
        <w:rStyle w:val="HideTWBExt"/>
      </w:rPr>
      <w:t>&gt;</w:t>
    </w:r>
    <w:r w:rsidRPr="00173C41">
      <w:t>753.534</w:t>
    </w:r>
    <w:r w:rsidRPr="00173C41">
      <w:rPr>
        <w:rStyle w:val="HideTWBExt"/>
      </w:rPr>
      <w:t>&lt;/</w:t>
    </w:r>
    <w:proofErr w:type="spellStart"/>
    <w:r w:rsidRPr="00173C41">
      <w:rPr>
        <w:rStyle w:val="HideTWBExt"/>
      </w:rPr>
      <w:t>NoPE</w:t>
    </w:r>
    <w:proofErr w:type="spellEnd"/>
    <w:r w:rsidRPr="00173C41">
      <w:rPr>
        <w:rStyle w:val="HideTWBExt"/>
      </w:rPr>
      <w:t>&gt;&lt;Version&gt;</w:t>
    </w:r>
    <w:r w:rsidRPr="00173C41">
      <w:t>v02-00</w:t>
    </w:r>
    <w:r w:rsidRPr="00173C41">
      <w:rPr>
        <w:rStyle w:val="HideTWBExt"/>
      </w:rPr>
      <w:t>&lt;/</w:t>
    </w:r>
    <w:proofErr w:type="spellStart"/>
    <w:r w:rsidRPr="00173C41">
      <w:rPr>
        <w:rStyle w:val="HideTWBExt"/>
      </w:rPr>
      <w:t>Version</w:t>
    </w:r>
    <w:proofErr w:type="spellEnd"/>
    <w:r w:rsidRPr="00173C41">
      <w:rPr>
        <w:rStyle w:val="HideTWBExt"/>
      </w:rPr>
      <w:t>&gt;</w:t>
    </w:r>
    <w:r w:rsidRPr="00173C41">
      <w:tab/>
    </w:r>
    <w:r w:rsidRPr="00173C41">
      <w:fldChar w:fldCharType="begin"/>
    </w:r>
    <w:r w:rsidRPr="00173C41">
      <w:instrText xml:space="preserve"> PAGE  \* MERGEFORMAT </w:instrText>
    </w:r>
    <w:r w:rsidRPr="00173C41">
      <w:fldChar w:fldCharType="separate"/>
    </w:r>
    <w:r w:rsidRPr="00173C41">
      <w:rPr>
        <w:noProof/>
      </w:rPr>
      <w:t>4</w:t>
    </w:r>
    <w:r w:rsidRPr="00173C41">
      <w:fldChar w:fldCharType="end"/>
    </w:r>
    <w:r w:rsidRPr="00173C41">
      <w:t>/</w:t>
    </w:r>
    <w:r w:rsidR="00AF5131">
      <w:fldChar w:fldCharType="begin"/>
    </w:r>
    <w:r w:rsidR="00AF5131">
      <w:instrText xml:space="preserve"> NUMPAGES  \* MERGEFORMAT </w:instrText>
    </w:r>
    <w:r w:rsidR="00AF5131">
      <w:fldChar w:fldCharType="separate"/>
    </w:r>
    <w:r w:rsidRPr="00173C41">
      <w:rPr>
        <w:noProof/>
      </w:rPr>
      <w:t>4</w:t>
    </w:r>
    <w:r w:rsidR="00AF5131">
      <w:rPr>
        <w:noProof/>
      </w:rPr>
      <w:fldChar w:fldCharType="end"/>
    </w:r>
    <w:r w:rsidRPr="00173C41">
      <w:tab/>
    </w:r>
    <w:r w:rsidRPr="00173C41">
      <w:rPr>
        <w:rStyle w:val="HideTWBExt"/>
      </w:rPr>
      <w:t>&lt;PathFdR&gt;</w:t>
    </w:r>
    <w:r w:rsidRPr="00173C41">
      <w:t>RR\1298800CS.docx</w:t>
    </w:r>
    <w:r w:rsidRPr="00173C41">
      <w:rPr>
        <w:rStyle w:val="HideTWBExt"/>
      </w:rPr>
      <w:t>&lt;/</w:t>
    </w:r>
    <w:proofErr w:type="spellStart"/>
    <w:r w:rsidRPr="00173C41">
      <w:rPr>
        <w:rStyle w:val="HideTWBExt"/>
      </w:rPr>
      <w:t>PathFdR</w:t>
    </w:r>
    <w:proofErr w:type="spellEnd"/>
    <w:r w:rsidRPr="00173C41">
      <w:rPr>
        <w:rStyle w:val="HideTWBExt"/>
      </w:rPr>
      <w:t>&gt;</w:t>
    </w:r>
  </w:p>
  <w:p w:rsidR="00F073B6" w:rsidRPr="00173C41" w:rsidRDefault="00F073B6" w:rsidP="0088673F">
    <w:pPr>
      <w:pStyle w:val="EPFooter2"/>
    </w:pPr>
    <w:r w:rsidRPr="00173C41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73B6" w:rsidRPr="00173C41" w:rsidRDefault="00F073B6" w:rsidP="0088673F">
    <w:pPr>
      <w:pStyle w:val="EPFooter"/>
    </w:pPr>
    <w:r w:rsidRPr="00173C41">
      <w:rPr>
        <w:rStyle w:val="HideTWBExt"/>
      </w:rPr>
      <w:t>&lt;PathFdR&gt;</w:t>
    </w:r>
    <w:r w:rsidRPr="00173C41">
      <w:t>RR\1298800CS.docx</w:t>
    </w:r>
    <w:r w:rsidRPr="00173C41">
      <w:rPr>
        <w:rStyle w:val="HideTWBExt"/>
      </w:rPr>
      <w:t>&lt;/</w:t>
    </w:r>
    <w:proofErr w:type="spellStart"/>
    <w:r w:rsidRPr="00173C41">
      <w:rPr>
        <w:rStyle w:val="HideTWBExt"/>
      </w:rPr>
      <w:t>PathFdR</w:t>
    </w:r>
    <w:proofErr w:type="spellEnd"/>
    <w:r w:rsidRPr="00173C41">
      <w:rPr>
        <w:rStyle w:val="HideTWBExt"/>
      </w:rPr>
      <w:t>&gt;</w:t>
    </w:r>
    <w:r w:rsidRPr="00173C41">
      <w:tab/>
    </w:r>
    <w:r w:rsidRPr="00173C41">
      <w:tab/>
      <w:t>PE</w:t>
    </w:r>
    <w:r w:rsidRPr="00173C41">
      <w:rPr>
        <w:rStyle w:val="HideTWBExt"/>
      </w:rPr>
      <w:t>&lt;</w:t>
    </w:r>
    <w:proofErr w:type="spellStart"/>
    <w:r w:rsidRPr="00173C41">
      <w:rPr>
        <w:rStyle w:val="HideTWBExt"/>
      </w:rPr>
      <w:t>NoPE</w:t>
    </w:r>
    <w:proofErr w:type="spellEnd"/>
    <w:r w:rsidRPr="00173C41">
      <w:rPr>
        <w:rStyle w:val="HideTWBExt"/>
      </w:rPr>
      <w:t>&gt;</w:t>
    </w:r>
    <w:r w:rsidRPr="00173C41">
      <w:t>753.534</w:t>
    </w:r>
    <w:r w:rsidRPr="00173C41">
      <w:rPr>
        <w:rStyle w:val="HideTWBExt"/>
      </w:rPr>
      <w:t>&lt;/</w:t>
    </w:r>
    <w:proofErr w:type="spellStart"/>
    <w:r w:rsidRPr="00173C41">
      <w:rPr>
        <w:rStyle w:val="HideTWBExt"/>
      </w:rPr>
      <w:t>NoPE</w:t>
    </w:r>
    <w:proofErr w:type="spellEnd"/>
    <w:r w:rsidRPr="00173C41">
      <w:rPr>
        <w:rStyle w:val="HideTWBExt"/>
      </w:rPr>
      <w:t>&gt;&lt;Version&gt;</w:t>
    </w:r>
    <w:r w:rsidRPr="00173C41">
      <w:t>v02-00</w:t>
    </w:r>
    <w:r w:rsidRPr="00173C41">
      <w:rPr>
        <w:rStyle w:val="HideTWBExt"/>
      </w:rPr>
      <w:t>&lt;/</w:t>
    </w:r>
    <w:proofErr w:type="spellStart"/>
    <w:r w:rsidRPr="00173C41">
      <w:rPr>
        <w:rStyle w:val="HideTWBExt"/>
      </w:rPr>
      <w:t>Version</w:t>
    </w:r>
    <w:proofErr w:type="spellEnd"/>
    <w:r w:rsidRPr="00173C41">
      <w:rPr>
        <w:rStyle w:val="HideTWBExt"/>
      </w:rPr>
      <w:t>&gt;</w:t>
    </w:r>
  </w:p>
  <w:p w:rsidR="00F073B6" w:rsidRPr="00173C41" w:rsidRDefault="00F073B6" w:rsidP="0088673F">
    <w:pPr>
      <w:pStyle w:val="EPFooter2"/>
    </w:pPr>
    <w:r w:rsidRPr="00173C41">
      <w:t>CS</w:t>
    </w:r>
    <w:r w:rsidRPr="00173C41">
      <w:tab/>
    </w:r>
    <w:r w:rsidRPr="00173C41">
      <w:rPr>
        <w:b w:val="0"/>
        <w:i/>
        <w:color w:val="C0C0C0"/>
        <w:sz w:val="22"/>
      </w:rPr>
      <w:t>Jednotná v rozmanitosti</w:t>
    </w:r>
    <w:r w:rsidRPr="00173C41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73C41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73C41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73C4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6888" w:rsidRPr="00173C41" w:rsidRDefault="00646888">
      <w:r w:rsidRPr="00173C41">
        <w:separator/>
      </w:r>
    </w:p>
  </w:footnote>
  <w:footnote w:type="continuationSeparator" w:id="0">
    <w:p w:rsidR="00646888" w:rsidRPr="00173C41" w:rsidRDefault="00646888">
      <w:r w:rsidRPr="00173C41">
        <w:continuationSeparator/>
      </w:r>
    </w:p>
  </w:footnote>
  <w:footnote w:id="1">
    <w:p w:rsidR="00F073B6" w:rsidRPr="00173C41" w:rsidRDefault="00F073B6" w:rsidP="00173C41">
      <w:pPr>
        <w:pStyle w:val="FootnoteText"/>
        <w:ind w:left="567" w:hanging="567"/>
        <w:rPr>
          <w:sz w:val="24"/>
          <w:lang w:val="cs-CZ"/>
        </w:rPr>
      </w:pPr>
      <w:r w:rsidRPr="00173C41">
        <w:rPr>
          <w:rStyle w:val="FootnoteReference"/>
          <w:sz w:val="24"/>
          <w:lang w:val="cs-CZ"/>
        </w:rPr>
        <w:footnoteRef/>
      </w:r>
      <w:r w:rsidR="00173C41" w:rsidRPr="00173C41">
        <w:rPr>
          <w:sz w:val="24"/>
          <w:lang w:val="cs-CZ"/>
        </w:rPr>
        <w:t xml:space="preserve"> </w:t>
      </w:r>
      <w:r w:rsidR="00173C41" w:rsidRPr="00173C41">
        <w:rPr>
          <w:sz w:val="24"/>
          <w:lang w:val="cs-CZ"/>
        </w:rPr>
        <w:tab/>
      </w:r>
      <w:proofErr w:type="spellStart"/>
      <w:r w:rsidRPr="00173C41">
        <w:rPr>
          <w:sz w:val="24"/>
          <w:lang w:val="cs-CZ"/>
        </w:rPr>
        <w:t>Úř</w:t>
      </w:r>
      <w:proofErr w:type="spellEnd"/>
      <w:r w:rsidRPr="00173C41">
        <w:rPr>
          <w:sz w:val="24"/>
          <w:lang w:val="cs-CZ"/>
        </w:rPr>
        <w:t xml:space="preserve">. </w:t>
      </w:r>
      <w:proofErr w:type="spellStart"/>
      <w:proofErr w:type="gramStart"/>
      <w:r w:rsidRPr="00173C41">
        <w:rPr>
          <w:sz w:val="24"/>
          <w:lang w:val="cs-CZ"/>
        </w:rPr>
        <w:t>věst</w:t>
      </w:r>
      <w:proofErr w:type="spellEnd"/>
      <w:proofErr w:type="gramEnd"/>
      <w:r w:rsidRPr="00173C41">
        <w:rPr>
          <w:sz w:val="24"/>
          <w:lang w:val="cs-CZ"/>
        </w:rPr>
        <w:t xml:space="preserve">. C, C/2023/594, </w:t>
      </w:r>
      <w:proofErr w:type="gramStart"/>
      <w:r w:rsidRPr="00173C41">
        <w:rPr>
          <w:sz w:val="24"/>
          <w:lang w:val="cs-CZ"/>
        </w:rPr>
        <w:t>27.10.2023</w:t>
      </w:r>
      <w:proofErr w:type="gramEnd"/>
      <w:r w:rsidRPr="00173C41">
        <w:rPr>
          <w:sz w:val="24"/>
          <w:lang w:val="cs-CZ"/>
        </w:rPr>
        <w:t>.</w:t>
      </w:r>
    </w:p>
  </w:footnote>
  <w:footnote w:id="2">
    <w:p w:rsidR="00F073B6" w:rsidRPr="00173C41" w:rsidRDefault="00F073B6" w:rsidP="00173C41">
      <w:pPr>
        <w:pStyle w:val="FootnoteText"/>
        <w:ind w:left="567" w:hanging="567"/>
        <w:rPr>
          <w:sz w:val="24"/>
          <w:lang w:val="cs-CZ"/>
        </w:rPr>
      </w:pPr>
      <w:r w:rsidRPr="00173C41">
        <w:rPr>
          <w:rStyle w:val="FootnoteReference"/>
          <w:sz w:val="24"/>
          <w:lang w:val="cs-CZ"/>
        </w:rPr>
        <w:footnoteRef/>
      </w:r>
      <w:r w:rsidR="00173C41" w:rsidRPr="00173C41">
        <w:rPr>
          <w:sz w:val="24"/>
          <w:lang w:val="cs-CZ"/>
        </w:rPr>
        <w:t xml:space="preserve"> </w:t>
      </w:r>
      <w:r w:rsidR="00173C41" w:rsidRPr="00173C41">
        <w:rPr>
          <w:sz w:val="24"/>
          <w:lang w:val="cs-CZ"/>
        </w:rPr>
        <w:tab/>
      </w:r>
      <w:proofErr w:type="spellStart"/>
      <w:r w:rsidRPr="00173C41">
        <w:rPr>
          <w:sz w:val="24"/>
          <w:lang w:val="cs-CZ"/>
        </w:rPr>
        <w:t>Úř</w:t>
      </w:r>
      <w:proofErr w:type="spellEnd"/>
      <w:r w:rsidRPr="00173C41">
        <w:rPr>
          <w:sz w:val="24"/>
          <w:lang w:val="cs-CZ"/>
        </w:rPr>
        <w:t xml:space="preserve">. </w:t>
      </w:r>
      <w:proofErr w:type="spellStart"/>
      <w:proofErr w:type="gramStart"/>
      <w:r w:rsidRPr="00173C41">
        <w:rPr>
          <w:sz w:val="24"/>
          <w:lang w:val="cs-CZ"/>
        </w:rPr>
        <w:t>věst</w:t>
      </w:r>
      <w:proofErr w:type="spellEnd"/>
      <w:proofErr w:type="gramEnd"/>
      <w:r w:rsidRPr="00173C41">
        <w:rPr>
          <w:sz w:val="24"/>
          <w:lang w:val="cs-CZ"/>
        </w:rPr>
        <w:t xml:space="preserve">. C, C/2023/112, </w:t>
      </w:r>
      <w:proofErr w:type="gramStart"/>
      <w:r w:rsidRPr="00173C41">
        <w:rPr>
          <w:sz w:val="24"/>
          <w:lang w:val="cs-CZ"/>
        </w:rPr>
        <w:t>12.10.2023</w:t>
      </w:r>
      <w:proofErr w:type="gramEnd"/>
      <w:r w:rsidRPr="00173C41">
        <w:rPr>
          <w:sz w:val="24"/>
          <w:lang w:val="cs-CZ"/>
        </w:rPr>
        <w:t>.</w:t>
      </w:r>
    </w:p>
  </w:footnote>
  <w:footnote w:id="3">
    <w:p w:rsidR="00F073B6" w:rsidRPr="00173C41" w:rsidRDefault="00F073B6" w:rsidP="00173C41">
      <w:pPr>
        <w:pStyle w:val="FootnoteText"/>
        <w:ind w:left="567" w:hanging="567"/>
        <w:rPr>
          <w:sz w:val="24"/>
          <w:lang w:val="cs-CZ"/>
        </w:rPr>
      </w:pPr>
      <w:r w:rsidRPr="00173C41">
        <w:rPr>
          <w:rStyle w:val="FootnoteReference"/>
          <w:sz w:val="24"/>
          <w:lang w:val="cs-CZ"/>
        </w:rPr>
        <w:footnoteRef/>
      </w:r>
      <w:r w:rsidR="00173C41" w:rsidRPr="00173C41">
        <w:rPr>
          <w:sz w:val="24"/>
          <w:lang w:val="cs-CZ"/>
        </w:rPr>
        <w:t xml:space="preserve"> </w:t>
      </w:r>
      <w:r w:rsidR="00173C41" w:rsidRPr="00173C41">
        <w:rPr>
          <w:sz w:val="24"/>
          <w:lang w:val="cs-CZ"/>
        </w:rPr>
        <w:tab/>
      </w:r>
      <w:proofErr w:type="spellStart"/>
      <w:r w:rsidRPr="00173C41">
        <w:rPr>
          <w:sz w:val="24"/>
          <w:lang w:val="cs-CZ"/>
        </w:rPr>
        <w:t>Úř</w:t>
      </w:r>
      <w:proofErr w:type="spellEnd"/>
      <w:r w:rsidRPr="00173C41">
        <w:rPr>
          <w:sz w:val="24"/>
          <w:lang w:val="cs-CZ"/>
        </w:rPr>
        <w:t xml:space="preserve">. </w:t>
      </w:r>
      <w:proofErr w:type="spellStart"/>
      <w:proofErr w:type="gramStart"/>
      <w:r w:rsidRPr="00173C41">
        <w:rPr>
          <w:sz w:val="24"/>
          <w:lang w:val="cs-CZ"/>
        </w:rPr>
        <w:t>věst</w:t>
      </w:r>
      <w:proofErr w:type="spellEnd"/>
      <w:proofErr w:type="gramEnd"/>
      <w:r w:rsidRPr="00173C41">
        <w:rPr>
          <w:sz w:val="24"/>
          <w:lang w:val="cs-CZ"/>
        </w:rPr>
        <w:t xml:space="preserve">. L 193, </w:t>
      </w:r>
      <w:proofErr w:type="gramStart"/>
      <w:r w:rsidRPr="00173C41">
        <w:rPr>
          <w:sz w:val="24"/>
          <w:lang w:val="cs-CZ"/>
        </w:rPr>
        <w:t>30.7.2018</w:t>
      </w:r>
      <w:proofErr w:type="gramEnd"/>
      <w:r w:rsidRPr="00173C41">
        <w:rPr>
          <w:sz w:val="24"/>
          <w:lang w:val="cs-CZ"/>
        </w:rPr>
        <w:t>, s. 1.</w:t>
      </w:r>
    </w:p>
  </w:footnote>
  <w:footnote w:id="4">
    <w:p w:rsidR="00F073B6" w:rsidRPr="00173C41" w:rsidRDefault="00F073B6" w:rsidP="00173C41">
      <w:pPr>
        <w:pStyle w:val="FootnoteText"/>
        <w:ind w:left="567" w:hanging="567"/>
        <w:rPr>
          <w:sz w:val="24"/>
          <w:szCs w:val="24"/>
          <w:lang w:val="cs-CZ"/>
        </w:rPr>
      </w:pPr>
      <w:r w:rsidRPr="00173C41">
        <w:rPr>
          <w:rStyle w:val="FootnoteReference"/>
          <w:sz w:val="24"/>
          <w:lang w:val="cs-CZ"/>
        </w:rPr>
        <w:footnoteRef/>
      </w:r>
      <w:r w:rsidR="00173C41" w:rsidRPr="00173C41">
        <w:rPr>
          <w:sz w:val="24"/>
          <w:lang w:val="cs-CZ"/>
        </w:rPr>
        <w:t xml:space="preserve"> </w:t>
      </w:r>
      <w:r w:rsidR="00173C41" w:rsidRPr="00173C41">
        <w:rPr>
          <w:sz w:val="24"/>
          <w:lang w:val="cs-CZ"/>
        </w:rPr>
        <w:tab/>
      </w:r>
      <w:proofErr w:type="spellStart"/>
      <w:r w:rsidRPr="00173C41">
        <w:rPr>
          <w:sz w:val="24"/>
          <w:lang w:val="cs-CZ"/>
        </w:rPr>
        <w:t>Úř</w:t>
      </w:r>
      <w:proofErr w:type="spellEnd"/>
      <w:r w:rsidRPr="00173C41">
        <w:rPr>
          <w:sz w:val="24"/>
          <w:lang w:val="cs-CZ"/>
        </w:rPr>
        <w:t xml:space="preserve">. </w:t>
      </w:r>
      <w:proofErr w:type="spellStart"/>
      <w:proofErr w:type="gramStart"/>
      <w:r w:rsidRPr="00173C41">
        <w:rPr>
          <w:sz w:val="24"/>
          <w:lang w:val="cs-CZ"/>
        </w:rPr>
        <w:t>věst</w:t>
      </w:r>
      <w:proofErr w:type="spellEnd"/>
      <w:proofErr w:type="gramEnd"/>
      <w:r w:rsidRPr="00173C41">
        <w:rPr>
          <w:sz w:val="24"/>
          <w:lang w:val="cs-CZ"/>
        </w:rPr>
        <w:t xml:space="preserve">. L 295, </w:t>
      </w:r>
      <w:proofErr w:type="gramStart"/>
      <w:r w:rsidRPr="00173C41">
        <w:rPr>
          <w:sz w:val="24"/>
          <w:lang w:val="cs-CZ"/>
        </w:rPr>
        <w:t>21.11.2018</w:t>
      </w:r>
      <w:proofErr w:type="gramEnd"/>
      <w:r w:rsidRPr="00173C41">
        <w:rPr>
          <w:sz w:val="24"/>
          <w:lang w:val="cs-CZ"/>
        </w:rPr>
        <w:t>, s. 99.</w:t>
      </w:r>
    </w:p>
  </w:footnote>
  <w:footnote w:id="5">
    <w:p w:rsidR="00F073B6" w:rsidRPr="00173C41" w:rsidRDefault="00F073B6" w:rsidP="00173C41">
      <w:pPr>
        <w:pStyle w:val="FootnoteText"/>
        <w:ind w:left="567" w:hanging="567"/>
        <w:rPr>
          <w:sz w:val="24"/>
          <w:lang w:val="cs-CZ"/>
        </w:rPr>
      </w:pPr>
      <w:r w:rsidRPr="00173C41">
        <w:rPr>
          <w:rStyle w:val="FootnoteReference"/>
          <w:sz w:val="24"/>
          <w:lang w:val="cs-CZ"/>
        </w:rPr>
        <w:footnoteRef/>
      </w:r>
      <w:r w:rsidR="00173C41" w:rsidRPr="00173C41">
        <w:rPr>
          <w:sz w:val="24"/>
          <w:lang w:val="cs-CZ"/>
        </w:rPr>
        <w:t xml:space="preserve"> </w:t>
      </w:r>
      <w:r w:rsidR="00173C41" w:rsidRPr="00173C41">
        <w:rPr>
          <w:sz w:val="24"/>
          <w:lang w:val="cs-CZ"/>
        </w:rPr>
        <w:tab/>
      </w:r>
      <w:proofErr w:type="spellStart"/>
      <w:r w:rsidRPr="00173C41">
        <w:rPr>
          <w:sz w:val="24"/>
          <w:lang w:val="cs-CZ"/>
        </w:rPr>
        <w:t>Úř</w:t>
      </w:r>
      <w:proofErr w:type="spellEnd"/>
      <w:r w:rsidRPr="00173C41">
        <w:rPr>
          <w:sz w:val="24"/>
          <w:lang w:val="cs-CZ"/>
        </w:rPr>
        <w:t xml:space="preserve">. </w:t>
      </w:r>
      <w:proofErr w:type="spellStart"/>
      <w:proofErr w:type="gramStart"/>
      <w:r w:rsidRPr="00173C41">
        <w:rPr>
          <w:sz w:val="24"/>
          <w:lang w:val="cs-CZ"/>
        </w:rPr>
        <w:t>věst</w:t>
      </w:r>
      <w:proofErr w:type="spellEnd"/>
      <w:proofErr w:type="gramEnd"/>
      <w:r w:rsidRPr="00173C41">
        <w:rPr>
          <w:sz w:val="24"/>
          <w:lang w:val="cs-CZ"/>
        </w:rPr>
        <w:t xml:space="preserve">. L 122, </w:t>
      </w:r>
      <w:proofErr w:type="gramStart"/>
      <w:r w:rsidRPr="00173C41">
        <w:rPr>
          <w:sz w:val="24"/>
          <w:lang w:val="cs-CZ"/>
        </w:rPr>
        <w:t>10.5.2019</w:t>
      </w:r>
      <w:proofErr w:type="gramEnd"/>
      <w:r w:rsidRPr="00173C41">
        <w:rPr>
          <w:sz w:val="24"/>
          <w:lang w:val="cs-CZ"/>
        </w:rPr>
        <w:t>, s. 1.</w:t>
      </w:r>
    </w:p>
  </w:footnote>
  <w:footnote w:id="6">
    <w:p w:rsidR="00F073B6" w:rsidRPr="00173C41" w:rsidRDefault="00F073B6" w:rsidP="00173C41">
      <w:pPr>
        <w:pStyle w:val="FootnoteText"/>
        <w:ind w:left="567" w:hanging="567"/>
        <w:rPr>
          <w:sz w:val="24"/>
          <w:lang w:val="cs-CZ"/>
        </w:rPr>
      </w:pPr>
      <w:r w:rsidRPr="00173C41">
        <w:rPr>
          <w:rStyle w:val="FootnoteReference"/>
          <w:sz w:val="24"/>
          <w:lang w:val="cs-CZ"/>
        </w:rPr>
        <w:footnoteRef/>
      </w:r>
      <w:r w:rsidR="00173C41" w:rsidRPr="00173C41">
        <w:rPr>
          <w:sz w:val="24"/>
          <w:lang w:val="cs-CZ"/>
        </w:rPr>
        <w:t xml:space="preserve"> </w:t>
      </w:r>
      <w:r w:rsidR="00173C41" w:rsidRPr="00173C41">
        <w:rPr>
          <w:sz w:val="24"/>
          <w:lang w:val="cs-CZ"/>
        </w:rPr>
        <w:tab/>
      </w:r>
      <w:proofErr w:type="spellStart"/>
      <w:r w:rsidRPr="00173C41">
        <w:rPr>
          <w:sz w:val="24"/>
          <w:lang w:val="cs-CZ"/>
        </w:rPr>
        <w:t>Úř</w:t>
      </w:r>
      <w:proofErr w:type="spellEnd"/>
      <w:r w:rsidRPr="00173C41">
        <w:rPr>
          <w:sz w:val="24"/>
          <w:lang w:val="cs-CZ"/>
        </w:rPr>
        <w:t xml:space="preserve">. </w:t>
      </w:r>
      <w:proofErr w:type="spellStart"/>
      <w:proofErr w:type="gramStart"/>
      <w:r w:rsidRPr="00173C41">
        <w:rPr>
          <w:sz w:val="24"/>
          <w:lang w:val="cs-CZ"/>
        </w:rPr>
        <w:t>věst</w:t>
      </w:r>
      <w:proofErr w:type="spellEnd"/>
      <w:proofErr w:type="gramEnd"/>
      <w:r w:rsidRPr="00173C41">
        <w:rPr>
          <w:sz w:val="24"/>
          <w:lang w:val="cs-CZ"/>
        </w:rPr>
        <w:t xml:space="preserve">. C, C/2023/594, </w:t>
      </w:r>
      <w:proofErr w:type="gramStart"/>
      <w:r w:rsidRPr="00173C41">
        <w:rPr>
          <w:sz w:val="24"/>
          <w:lang w:val="cs-CZ"/>
        </w:rPr>
        <w:t>27.10.2023</w:t>
      </w:r>
      <w:proofErr w:type="gramEnd"/>
      <w:r w:rsidRPr="00173C41">
        <w:rPr>
          <w:sz w:val="24"/>
          <w:lang w:val="cs-CZ"/>
        </w:rPr>
        <w:t>.</w:t>
      </w:r>
    </w:p>
  </w:footnote>
  <w:footnote w:id="7">
    <w:p w:rsidR="00F073B6" w:rsidRPr="00173C41" w:rsidRDefault="00F073B6" w:rsidP="00173C41">
      <w:pPr>
        <w:pStyle w:val="FootnoteText"/>
        <w:ind w:left="567" w:hanging="567"/>
        <w:rPr>
          <w:sz w:val="24"/>
          <w:lang w:val="cs-CZ"/>
        </w:rPr>
      </w:pPr>
      <w:r w:rsidRPr="00173C41">
        <w:rPr>
          <w:rStyle w:val="FootnoteReference"/>
          <w:sz w:val="24"/>
          <w:lang w:val="cs-CZ"/>
        </w:rPr>
        <w:footnoteRef/>
      </w:r>
      <w:r w:rsidR="00173C41" w:rsidRPr="00173C41">
        <w:rPr>
          <w:sz w:val="24"/>
          <w:lang w:val="cs-CZ"/>
        </w:rPr>
        <w:t xml:space="preserve"> </w:t>
      </w:r>
      <w:r w:rsidR="00173C41" w:rsidRPr="00173C41">
        <w:rPr>
          <w:sz w:val="24"/>
          <w:lang w:val="cs-CZ"/>
        </w:rPr>
        <w:tab/>
      </w:r>
      <w:proofErr w:type="spellStart"/>
      <w:r w:rsidRPr="00173C41">
        <w:rPr>
          <w:sz w:val="24"/>
          <w:lang w:val="cs-CZ"/>
        </w:rPr>
        <w:t>Úř</w:t>
      </w:r>
      <w:proofErr w:type="spellEnd"/>
      <w:r w:rsidRPr="00173C41">
        <w:rPr>
          <w:sz w:val="24"/>
          <w:lang w:val="cs-CZ"/>
        </w:rPr>
        <w:t xml:space="preserve">. </w:t>
      </w:r>
      <w:proofErr w:type="spellStart"/>
      <w:proofErr w:type="gramStart"/>
      <w:r w:rsidRPr="00173C41">
        <w:rPr>
          <w:sz w:val="24"/>
          <w:lang w:val="cs-CZ"/>
        </w:rPr>
        <w:t>věst</w:t>
      </w:r>
      <w:proofErr w:type="spellEnd"/>
      <w:proofErr w:type="gramEnd"/>
      <w:r w:rsidRPr="00173C41">
        <w:rPr>
          <w:sz w:val="24"/>
          <w:lang w:val="cs-CZ"/>
        </w:rPr>
        <w:t xml:space="preserve">. C, C/2023/112, </w:t>
      </w:r>
      <w:proofErr w:type="gramStart"/>
      <w:r w:rsidRPr="00173C41">
        <w:rPr>
          <w:sz w:val="24"/>
          <w:lang w:val="cs-CZ"/>
        </w:rPr>
        <w:t>12.10.2023</w:t>
      </w:r>
      <w:proofErr w:type="gramEnd"/>
      <w:r w:rsidRPr="00173C41">
        <w:rPr>
          <w:sz w:val="24"/>
          <w:lang w:val="cs-CZ"/>
        </w:rPr>
        <w:t>.</w:t>
      </w:r>
    </w:p>
  </w:footnote>
  <w:footnote w:id="8">
    <w:p w:rsidR="00F073B6" w:rsidRPr="00173C41" w:rsidRDefault="00F073B6" w:rsidP="00173C41">
      <w:pPr>
        <w:pStyle w:val="FootnoteText"/>
        <w:ind w:left="567" w:hanging="567"/>
        <w:rPr>
          <w:sz w:val="24"/>
          <w:lang w:val="cs-CZ"/>
        </w:rPr>
      </w:pPr>
      <w:r w:rsidRPr="00173C41">
        <w:rPr>
          <w:rStyle w:val="FootnoteReference"/>
          <w:sz w:val="24"/>
          <w:lang w:val="cs-CZ"/>
        </w:rPr>
        <w:footnoteRef/>
      </w:r>
      <w:r w:rsidR="00173C41" w:rsidRPr="00173C41">
        <w:rPr>
          <w:sz w:val="24"/>
          <w:lang w:val="cs-CZ"/>
        </w:rPr>
        <w:t xml:space="preserve"> </w:t>
      </w:r>
      <w:r w:rsidR="00173C41" w:rsidRPr="00173C41">
        <w:rPr>
          <w:sz w:val="24"/>
          <w:lang w:val="cs-CZ"/>
        </w:rPr>
        <w:tab/>
      </w:r>
      <w:proofErr w:type="spellStart"/>
      <w:r w:rsidRPr="00173C41">
        <w:rPr>
          <w:sz w:val="24"/>
          <w:lang w:val="cs-CZ"/>
        </w:rPr>
        <w:t>Úř</w:t>
      </w:r>
      <w:proofErr w:type="spellEnd"/>
      <w:r w:rsidRPr="00173C41">
        <w:rPr>
          <w:sz w:val="24"/>
          <w:lang w:val="cs-CZ"/>
        </w:rPr>
        <w:t xml:space="preserve">. </w:t>
      </w:r>
      <w:proofErr w:type="spellStart"/>
      <w:proofErr w:type="gramStart"/>
      <w:r w:rsidRPr="00173C41">
        <w:rPr>
          <w:sz w:val="24"/>
          <w:lang w:val="cs-CZ"/>
        </w:rPr>
        <w:t>věst</w:t>
      </w:r>
      <w:proofErr w:type="spellEnd"/>
      <w:proofErr w:type="gramEnd"/>
      <w:r w:rsidRPr="00173C41">
        <w:rPr>
          <w:sz w:val="24"/>
          <w:lang w:val="cs-CZ"/>
        </w:rPr>
        <w:t xml:space="preserve">. L 193, </w:t>
      </w:r>
      <w:proofErr w:type="gramStart"/>
      <w:r w:rsidRPr="00173C41">
        <w:rPr>
          <w:sz w:val="24"/>
          <w:lang w:val="cs-CZ"/>
        </w:rPr>
        <w:t>30.7.2018</w:t>
      </w:r>
      <w:proofErr w:type="gramEnd"/>
      <w:r w:rsidRPr="00173C41">
        <w:rPr>
          <w:sz w:val="24"/>
          <w:lang w:val="cs-CZ"/>
        </w:rPr>
        <w:t>, s. 1.</w:t>
      </w:r>
    </w:p>
  </w:footnote>
  <w:footnote w:id="9">
    <w:p w:rsidR="00F073B6" w:rsidRPr="00173C41" w:rsidRDefault="00F073B6" w:rsidP="00173C41">
      <w:pPr>
        <w:pStyle w:val="FootnoteText"/>
        <w:ind w:left="567" w:hanging="567"/>
        <w:rPr>
          <w:sz w:val="24"/>
          <w:lang w:val="cs-CZ"/>
        </w:rPr>
      </w:pPr>
      <w:r w:rsidRPr="00173C41">
        <w:rPr>
          <w:rStyle w:val="FootnoteReference"/>
          <w:sz w:val="24"/>
          <w:lang w:val="cs-CZ"/>
        </w:rPr>
        <w:footnoteRef/>
      </w:r>
      <w:r w:rsidR="00173C41" w:rsidRPr="00173C41">
        <w:rPr>
          <w:sz w:val="24"/>
          <w:lang w:val="cs-CZ"/>
        </w:rPr>
        <w:t xml:space="preserve"> </w:t>
      </w:r>
      <w:r w:rsidR="00173C41" w:rsidRPr="00173C41">
        <w:rPr>
          <w:sz w:val="24"/>
          <w:lang w:val="cs-CZ"/>
        </w:rPr>
        <w:tab/>
      </w:r>
      <w:proofErr w:type="spellStart"/>
      <w:r w:rsidRPr="00173C41">
        <w:rPr>
          <w:sz w:val="24"/>
          <w:lang w:val="cs-CZ"/>
        </w:rPr>
        <w:t>Úř</w:t>
      </w:r>
      <w:proofErr w:type="spellEnd"/>
      <w:r w:rsidRPr="00173C41">
        <w:rPr>
          <w:sz w:val="24"/>
          <w:lang w:val="cs-CZ"/>
        </w:rPr>
        <w:t xml:space="preserve">. </w:t>
      </w:r>
      <w:proofErr w:type="spellStart"/>
      <w:proofErr w:type="gramStart"/>
      <w:r w:rsidRPr="00173C41">
        <w:rPr>
          <w:sz w:val="24"/>
          <w:lang w:val="cs-CZ"/>
        </w:rPr>
        <w:t>věst</w:t>
      </w:r>
      <w:proofErr w:type="spellEnd"/>
      <w:proofErr w:type="gramEnd"/>
      <w:r w:rsidRPr="00173C41">
        <w:rPr>
          <w:sz w:val="24"/>
          <w:lang w:val="cs-CZ"/>
        </w:rPr>
        <w:t xml:space="preserve">. L 295, </w:t>
      </w:r>
      <w:proofErr w:type="gramStart"/>
      <w:r w:rsidRPr="00173C41">
        <w:rPr>
          <w:sz w:val="24"/>
          <w:lang w:val="cs-CZ"/>
        </w:rPr>
        <w:t>21.11.2018</w:t>
      </w:r>
      <w:proofErr w:type="gramEnd"/>
      <w:r w:rsidRPr="00173C41">
        <w:rPr>
          <w:sz w:val="24"/>
          <w:lang w:val="cs-CZ"/>
        </w:rPr>
        <w:t>, s. 99.</w:t>
      </w:r>
    </w:p>
  </w:footnote>
  <w:footnote w:id="10">
    <w:p w:rsidR="00F073B6" w:rsidRPr="00173C41" w:rsidRDefault="00F073B6" w:rsidP="00173C41">
      <w:pPr>
        <w:pStyle w:val="FootnoteText"/>
        <w:ind w:left="567" w:hanging="567"/>
        <w:rPr>
          <w:sz w:val="24"/>
          <w:szCs w:val="24"/>
          <w:lang w:val="cs-CZ"/>
        </w:rPr>
      </w:pPr>
      <w:r w:rsidRPr="00173C41">
        <w:rPr>
          <w:rStyle w:val="FootnoteReference"/>
          <w:sz w:val="24"/>
          <w:lang w:val="cs-CZ"/>
        </w:rPr>
        <w:footnoteRef/>
      </w:r>
      <w:r w:rsidR="00173C41" w:rsidRPr="00173C41">
        <w:rPr>
          <w:sz w:val="24"/>
          <w:lang w:val="cs-CZ"/>
        </w:rPr>
        <w:t xml:space="preserve"> </w:t>
      </w:r>
      <w:r w:rsidR="00173C41" w:rsidRPr="00173C41">
        <w:rPr>
          <w:sz w:val="24"/>
          <w:lang w:val="cs-CZ"/>
        </w:rPr>
        <w:tab/>
      </w:r>
      <w:proofErr w:type="spellStart"/>
      <w:r w:rsidRPr="00173C41">
        <w:rPr>
          <w:sz w:val="24"/>
          <w:lang w:val="cs-CZ"/>
        </w:rPr>
        <w:t>Úř</w:t>
      </w:r>
      <w:proofErr w:type="spellEnd"/>
      <w:r w:rsidRPr="00173C41">
        <w:rPr>
          <w:sz w:val="24"/>
          <w:lang w:val="cs-CZ"/>
        </w:rPr>
        <w:t xml:space="preserve">. </w:t>
      </w:r>
      <w:proofErr w:type="spellStart"/>
      <w:proofErr w:type="gramStart"/>
      <w:r w:rsidRPr="00173C41">
        <w:rPr>
          <w:sz w:val="24"/>
          <w:lang w:val="cs-CZ"/>
        </w:rPr>
        <w:t>věst</w:t>
      </w:r>
      <w:proofErr w:type="spellEnd"/>
      <w:proofErr w:type="gramEnd"/>
      <w:r w:rsidRPr="00173C41">
        <w:rPr>
          <w:sz w:val="24"/>
          <w:lang w:val="cs-CZ"/>
        </w:rPr>
        <w:t xml:space="preserve">. L 122, </w:t>
      </w:r>
      <w:proofErr w:type="gramStart"/>
      <w:r w:rsidRPr="00173C41">
        <w:rPr>
          <w:sz w:val="24"/>
          <w:lang w:val="cs-CZ"/>
        </w:rPr>
        <w:t>10.5.2019</w:t>
      </w:r>
      <w:proofErr w:type="gramEnd"/>
      <w:r w:rsidRPr="00173C41">
        <w:rPr>
          <w:sz w:val="24"/>
          <w:lang w:val="cs-CZ"/>
        </w:rPr>
        <w:t>, s. 1.</w:t>
      </w:r>
    </w:p>
  </w:footnote>
  <w:footnote w:id="11">
    <w:p w:rsidR="00F073B6" w:rsidRPr="00173C41" w:rsidRDefault="00F073B6" w:rsidP="00173C41">
      <w:pPr>
        <w:pStyle w:val="FootnoteText"/>
        <w:ind w:left="567" w:hanging="567"/>
        <w:rPr>
          <w:sz w:val="24"/>
          <w:lang w:val="cs-CZ"/>
        </w:rPr>
      </w:pPr>
      <w:r w:rsidRPr="00173C41">
        <w:rPr>
          <w:sz w:val="24"/>
          <w:vertAlign w:val="superscript"/>
          <w:lang w:val="cs-CZ"/>
        </w:rPr>
        <w:footnoteRef/>
      </w:r>
      <w:r w:rsidR="00173C41" w:rsidRPr="00173C41">
        <w:rPr>
          <w:sz w:val="24"/>
          <w:lang w:val="cs-CZ"/>
        </w:rPr>
        <w:t xml:space="preserve"> </w:t>
      </w:r>
      <w:r w:rsidR="00173C41" w:rsidRPr="00173C41">
        <w:rPr>
          <w:sz w:val="24"/>
          <w:lang w:val="cs-CZ"/>
        </w:rPr>
        <w:tab/>
      </w:r>
      <w:proofErr w:type="spellStart"/>
      <w:r w:rsidRPr="00173C41">
        <w:rPr>
          <w:sz w:val="24"/>
          <w:lang w:val="cs-CZ"/>
        </w:rPr>
        <w:t>Úř</w:t>
      </w:r>
      <w:proofErr w:type="spellEnd"/>
      <w:r w:rsidRPr="00173C41">
        <w:rPr>
          <w:sz w:val="24"/>
          <w:lang w:val="cs-CZ"/>
        </w:rPr>
        <w:t xml:space="preserve">. </w:t>
      </w:r>
      <w:proofErr w:type="spellStart"/>
      <w:proofErr w:type="gramStart"/>
      <w:r w:rsidRPr="00173C41">
        <w:rPr>
          <w:sz w:val="24"/>
          <w:lang w:val="cs-CZ"/>
        </w:rPr>
        <w:t>věst</w:t>
      </w:r>
      <w:proofErr w:type="spellEnd"/>
      <w:proofErr w:type="gramEnd"/>
      <w:r w:rsidRPr="00173C41">
        <w:rPr>
          <w:sz w:val="24"/>
          <w:lang w:val="cs-CZ"/>
        </w:rPr>
        <w:t xml:space="preserve">. C 38, </w:t>
      </w:r>
      <w:proofErr w:type="gramStart"/>
      <w:r w:rsidRPr="00173C41">
        <w:rPr>
          <w:sz w:val="24"/>
          <w:lang w:val="cs-CZ"/>
        </w:rPr>
        <w:t>31.1.2023</w:t>
      </w:r>
      <w:proofErr w:type="gramEnd"/>
      <w:r w:rsidRPr="00173C41">
        <w:rPr>
          <w:sz w:val="24"/>
          <w:lang w:val="cs-CZ"/>
        </w:rPr>
        <w:t>, s. 103.</w:t>
      </w:r>
    </w:p>
  </w:footnote>
  <w:footnote w:id="12">
    <w:p w:rsidR="00F073B6" w:rsidRPr="00173C41" w:rsidRDefault="00F073B6" w:rsidP="00173C41">
      <w:pPr>
        <w:pStyle w:val="FootnoteText"/>
        <w:ind w:left="567" w:hanging="567"/>
        <w:rPr>
          <w:sz w:val="24"/>
          <w:lang w:val="cs-CZ"/>
        </w:rPr>
      </w:pPr>
      <w:r w:rsidRPr="00173C41">
        <w:rPr>
          <w:rStyle w:val="FootnoteReference"/>
          <w:sz w:val="24"/>
          <w:lang w:val="cs-CZ"/>
        </w:rPr>
        <w:footnoteRef/>
      </w:r>
      <w:r w:rsidR="00173C41" w:rsidRPr="00173C41">
        <w:rPr>
          <w:sz w:val="24"/>
          <w:lang w:val="cs-CZ"/>
        </w:rPr>
        <w:t xml:space="preserve"> </w:t>
      </w:r>
      <w:r w:rsidR="00173C41" w:rsidRPr="00173C41">
        <w:rPr>
          <w:sz w:val="24"/>
          <w:lang w:val="cs-CZ"/>
        </w:rPr>
        <w:tab/>
      </w:r>
      <w:r w:rsidR="00AF5131">
        <w:rPr>
          <w:sz w:val="24"/>
          <w:lang w:val="cs-CZ"/>
        </w:rPr>
        <w:t>Přijaté texty, P9_TA(2024)0280</w:t>
      </w:r>
      <w:bookmarkStart w:id="12" w:name="_GoBack"/>
      <w:bookmarkEnd w:id="12"/>
      <w:r w:rsidRPr="00173C41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73C4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73C4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73C4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9091318"/>
    <w:multiLevelType w:val="hybridMultilevel"/>
    <w:tmpl w:val="143224D2"/>
    <w:lvl w:ilvl="0" w:tplc="4A68EB9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D00DDCC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96B047CA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8EEC75CE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EA56AC02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3CACEC60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E144875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50A0F68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6074C6CE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462D6E49"/>
    <w:multiLevelType w:val="hybridMultilevel"/>
    <w:tmpl w:val="78B8CEFC"/>
    <w:lvl w:ilvl="0" w:tplc="C2A02D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32A7B0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A84257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1B8FE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E0212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3121A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EC461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3A219C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4B0294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2"/>
  </w:num>
  <w:num w:numId="45">
    <w:abstractNumId w:val="13"/>
  </w:num>
  <w:num w:numId="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05/2024"/>
    <w:docVar w:name="dvlangue" w:val="CS"/>
    <w:docVar w:name="dvnumam" w:val="0"/>
    <w:docVar w:name="dvpe" w:val="753.534"/>
    <w:docVar w:name="dvrapporteur" w:val="Zpravodaj: "/>
    <w:docVar w:name="dvtitre" w:val="1. Rozhodnutí Evropského parlamentu ze dne.... 2024 o udělení absolutoria za plnění rozpočtu Agentury Evropské unie pro provozní řízení rozsáhlých informačních systémů v prostoru svobody, bezpečnosti a práva (eu-LISA) na rozpočtový rok 2022(2023/2165(DEC))"/>
  </w:docVars>
  <w:rsids>
    <w:rsidRoot w:val="00646888"/>
    <w:rsid w:val="00002272"/>
    <w:rsid w:val="00064002"/>
    <w:rsid w:val="000677B9"/>
    <w:rsid w:val="000831BA"/>
    <w:rsid w:val="000A42CC"/>
    <w:rsid w:val="000E7DD9"/>
    <w:rsid w:val="0010095E"/>
    <w:rsid w:val="001011A1"/>
    <w:rsid w:val="00125B37"/>
    <w:rsid w:val="00173C41"/>
    <w:rsid w:val="00187494"/>
    <w:rsid w:val="001F32AE"/>
    <w:rsid w:val="00223518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53F81"/>
    <w:rsid w:val="00464BDF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46888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AF5131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3B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E142D5"/>
  <w15:chartTrackingRefBased/>
  <w15:docId w15:val="{A53A6CDB-5AB6-49ED-A332-BA6D98498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3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F073B6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F073B6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F073B6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F073B6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F073B6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F073B6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semiHidden/>
    <w:rsid w:val="00F073B6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F073B6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F073B6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nhideWhenUsed/>
    <w:qFormat/>
    <w:rsid w:val="00F073B6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F073B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F073B6"/>
    <w:pPr>
      <w:spacing w:before="480" w:after="240"/>
    </w:pPr>
  </w:style>
  <w:style w:type="paragraph" w:customStyle="1" w:styleId="TOCPage">
    <w:name w:val="TOC Page"/>
    <w:basedOn w:val="Normal"/>
    <w:next w:val="TOC1"/>
    <w:rsid w:val="00F073B6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F073B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F073B6"/>
    <w:rPr>
      <w:b/>
    </w:rPr>
  </w:style>
  <w:style w:type="paragraph" w:customStyle="1" w:styleId="NormalHanging12a">
    <w:name w:val="NormalHanging12a"/>
    <w:basedOn w:val="Normal"/>
    <w:link w:val="NormalHanging12aChar"/>
    <w:rsid w:val="00F073B6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F073B6"/>
    <w:pPr>
      <w:spacing w:after="480"/>
      <w:ind w:left="1417"/>
    </w:pPr>
  </w:style>
  <w:style w:type="paragraph" w:customStyle="1" w:styleId="CoverNormal">
    <w:name w:val="CoverNormal"/>
    <w:basedOn w:val="Normal"/>
    <w:rsid w:val="00F073B6"/>
    <w:pPr>
      <w:ind w:left="1418"/>
    </w:pPr>
  </w:style>
  <w:style w:type="paragraph" w:customStyle="1" w:styleId="NormalCenter12a">
    <w:name w:val="NormalCenter12a"/>
    <w:basedOn w:val="Normal"/>
    <w:rsid w:val="00F073B6"/>
    <w:pPr>
      <w:spacing w:after="240"/>
      <w:jc w:val="center"/>
    </w:pPr>
  </w:style>
  <w:style w:type="paragraph" w:customStyle="1" w:styleId="CoverReference">
    <w:name w:val="CoverReference"/>
    <w:basedOn w:val="Normal"/>
    <w:rsid w:val="00F073B6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F073B6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F073B6"/>
    <w:pPr>
      <w:spacing w:before="240" w:after="1200"/>
    </w:pPr>
  </w:style>
  <w:style w:type="paragraph" w:styleId="Header">
    <w:name w:val="header"/>
    <w:basedOn w:val="Normal"/>
    <w:link w:val="HeaderChar"/>
    <w:rsid w:val="00F073B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073B6"/>
    <w:rPr>
      <w:sz w:val="24"/>
      <w:lang w:val="cs-CZ"/>
    </w:rPr>
  </w:style>
  <w:style w:type="paragraph" w:customStyle="1" w:styleId="EPBody">
    <w:name w:val="EPBody"/>
    <w:basedOn w:val="Normal"/>
    <w:rsid w:val="00F073B6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F073B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RollCallTabs">
    <w:name w:val="RollCallTabs"/>
    <w:basedOn w:val="Normal"/>
    <w:qFormat/>
    <w:rsid w:val="00F073B6"/>
    <w:pPr>
      <w:tabs>
        <w:tab w:val="center" w:pos="284"/>
        <w:tab w:val="left" w:pos="426"/>
      </w:tabs>
    </w:pPr>
    <w:rPr>
      <w:snapToGrid w:val="0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locked/>
    <w:rsid w:val="00F073B6"/>
    <w:rPr>
      <w:sz w:val="24"/>
      <w:lang w:val="cs-CZ"/>
    </w:rPr>
  </w:style>
  <w:style w:type="character" w:customStyle="1" w:styleId="Normal12HangingChar">
    <w:name w:val="Normal12Hanging Char"/>
    <w:link w:val="Normal12Hanging"/>
    <w:locked/>
    <w:rsid w:val="00F073B6"/>
    <w:rPr>
      <w:sz w:val="24"/>
    </w:rPr>
  </w:style>
  <w:style w:type="paragraph" w:customStyle="1" w:styleId="Normal12Hanging">
    <w:name w:val="Normal12Hanging"/>
    <w:basedOn w:val="Normal"/>
    <w:link w:val="Normal12HangingChar"/>
    <w:rsid w:val="00F073B6"/>
    <w:pPr>
      <w:spacing w:after="240"/>
      <w:ind w:left="567" w:hanging="567"/>
    </w:pPr>
    <w:rPr>
      <w:lang w:val="en-GB"/>
    </w:rPr>
  </w:style>
  <w:style w:type="paragraph" w:customStyle="1" w:styleId="Normal24a">
    <w:name w:val="Normal24a"/>
    <w:basedOn w:val="Normal"/>
    <w:rsid w:val="00F073B6"/>
    <w:pPr>
      <w:spacing w:after="480"/>
    </w:pPr>
  </w:style>
  <w:style w:type="paragraph" w:customStyle="1" w:styleId="NormalBoldCenter">
    <w:name w:val="NormalBoldCenter"/>
    <w:basedOn w:val="Normal"/>
    <w:rsid w:val="00F073B6"/>
    <w:pPr>
      <w:jc w:val="center"/>
    </w:pPr>
    <w:rPr>
      <w:b/>
    </w:rPr>
  </w:style>
  <w:style w:type="paragraph" w:customStyle="1" w:styleId="Normal12a">
    <w:name w:val="Normal12a"/>
    <w:basedOn w:val="Normal"/>
    <w:rsid w:val="00F073B6"/>
    <w:pPr>
      <w:spacing w:after="240"/>
    </w:pPr>
  </w:style>
  <w:style w:type="paragraph" w:customStyle="1" w:styleId="PageHeadingNotTOC">
    <w:name w:val="PageHeadingNotTOC"/>
    <w:basedOn w:val="Normal"/>
    <w:rsid w:val="00F073B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RollCallSymbols14pt">
    <w:name w:val="RollCallSymbols14pt"/>
    <w:basedOn w:val="Normal"/>
    <w:rsid w:val="00F073B6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Votes">
    <w:name w:val="RollCallVotes"/>
    <w:basedOn w:val="Normal"/>
    <w:rsid w:val="00F073B6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F073B6"/>
    <w:pPr>
      <w:spacing w:before="120" w:after="120"/>
    </w:pPr>
    <w:rPr>
      <w:snapToGrid w:val="0"/>
      <w:sz w:val="16"/>
      <w:lang w:eastAsia="en-US"/>
    </w:rPr>
  </w:style>
  <w:style w:type="paragraph" w:customStyle="1" w:styleId="Normal12">
    <w:name w:val="Normal12"/>
    <w:basedOn w:val="Normal"/>
    <w:qFormat/>
    <w:rsid w:val="00F073B6"/>
    <w:pPr>
      <w:spacing w:after="240"/>
    </w:pPr>
    <w:rPr>
      <w:snapToGrid w:val="0"/>
      <w:lang w:bidi="en-GB"/>
    </w:rPr>
  </w:style>
  <w:style w:type="paragraph" w:styleId="Footer">
    <w:name w:val="footer"/>
    <w:basedOn w:val="Normal"/>
    <w:link w:val="FooterChar"/>
    <w:rsid w:val="00F073B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073B6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5105AB-C1CC-4633-ABDC-F84CA36E9B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6087</Words>
  <Characters>35638</Characters>
  <Application>Microsoft Office Word</Application>
  <DocSecurity>0</DocSecurity>
  <Lines>296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2024-04-11T13:25:00Z</dcterms:created>
  <dcterms:modified xsi:type="dcterms:W3CDTF">2024-04-11T13:25:00Z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A9-0105/2024</vt:lpwstr>
  </property>
  <property fmtid="{D5CDD505-2E9C-101B-9397-08002B2CF9AE}" pid="4" name="&lt;Type&gt;">
    <vt:lpwstr>RR</vt:lpwstr>
  </property>
</Properties>
</file>