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3B56" w14:paraId="7904F4CD" w14:textId="77777777" w:rsidTr="0010095E">
        <w:trPr>
          <w:trHeight w:hRule="exact" w:val="1418"/>
        </w:trPr>
        <w:tc>
          <w:tcPr>
            <w:tcW w:w="6804" w:type="dxa"/>
            <w:shd w:val="clear" w:color="auto" w:fill="auto"/>
            <w:vAlign w:val="center"/>
          </w:tcPr>
          <w:p w14:paraId="05B7DD4F" w14:textId="77777777" w:rsidR="00751A4A" w:rsidRPr="002E3B56" w:rsidRDefault="006D6C3C" w:rsidP="0010095E">
            <w:pPr>
              <w:pStyle w:val="EPName"/>
            </w:pPr>
            <w:r w:rsidRPr="002E3B56">
              <w:t>Europa-Parlamentet</w:t>
            </w:r>
          </w:p>
          <w:p w14:paraId="79B1E4A1" w14:textId="77777777" w:rsidR="00751A4A" w:rsidRPr="002E3B56" w:rsidRDefault="00817416" w:rsidP="00756632">
            <w:pPr>
              <w:pStyle w:val="EPTerm"/>
              <w:rPr>
                <w:rStyle w:val="HideTWBExt"/>
                <w:noProof w:val="0"/>
                <w:vanish w:val="0"/>
                <w:color w:val="auto"/>
              </w:rPr>
            </w:pPr>
            <w:r w:rsidRPr="002E3B56">
              <w:t>2019-2024</w:t>
            </w:r>
          </w:p>
        </w:tc>
        <w:tc>
          <w:tcPr>
            <w:tcW w:w="2268" w:type="dxa"/>
            <w:shd w:val="clear" w:color="auto" w:fill="auto"/>
          </w:tcPr>
          <w:p w14:paraId="389CF8E3" w14:textId="77777777" w:rsidR="00751A4A" w:rsidRPr="002E3B56" w:rsidRDefault="00187494" w:rsidP="0010095E">
            <w:pPr>
              <w:pStyle w:val="EPLogo"/>
            </w:pPr>
            <w:r w:rsidRPr="002E3B56">
              <w:rPr>
                <w:noProof/>
                <w:lang w:val="en-GB"/>
              </w:rPr>
              <w:drawing>
                <wp:inline distT="0" distB="0" distL="0" distR="0" wp14:anchorId="54DFD521" wp14:editId="2A00347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306298" w14:textId="77777777" w:rsidR="00D058B8" w:rsidRPr="002E3B56" w:rsidRDefault="00D058B8" w:rsidP="004C5D52">
      <w:pPr>
        <w:pStyle w:val="LineTop"/>
      </w:pPr>
    </w:p>
    <w:p w14:paraId="31434074" w14:textId="77777777" w:rsidR="00680577" w:rsidRPr="002E3B56" w:rsidRDefault="006D6C3C" w:rsidP="00680577">
      <w:pPr>
        <w:pStyle w:val="EPBodyTA1"/>
      </w:pPr>
      <w:r w:rsidRPr="002E3B56">
        <w:t>VEDTAGNE TEKSTER</w:t>
      </w:r>
    </w:p>
    <w:p w14:paraId="7C0C76CE" w14:textId="77777777" w:rsidR="00D058B8" w:rsidRPr="002E3B56" w:rsidRDefault="00D058B8" w:rsidP="00D058B8">
      <w:pPr>
        <w:pStyle w:val="LineBottom"/>
      </w:pPr>
    </w:p>
    <w:p w14:paraId="0536C6C8" w14:textId="555F400F" w:rsidR="006D6C3C" w:rsidRPr="002E3B56" w:rsidRDefault="006D6C3C" w:rsidP="006D6C3C">
      <w:pPr>
        <w:pStyle w:val="ATHeading1"/>
      </w:pPr>
      <w:bookmarkStart w:id="0" w:name="TANumber"/>
      <w:r w:rsidRPr="002E3B56">
        <w:t>P9_TA(2024)0</w:t>
      </w:r>
      <w:r w:rsidR="0090085C">
        <w:t>269</w:t>
      </w:r>
      <w:bookmarkEnd w:id="0"/>
    </w:p>
    <w:p w14:paraId="2174A992" w14:textId="77777777" w:rsidR="006D6C3C" w:rsidRPr="002E3B56" w:rsidRDefault="006D6C3C" w:rsidP="006D6C3C">
      <w:pPr>
        <w:pStyle w:val="ATHeading2"/>
      </w:pPr>
      <w:bookmarkStart w:id="1" w:name="title"/>
      <w:r w:rsidRPr="002E3B56">
        <w:t>Decharge 2022: Den Europæiske Unions Agentur for den Operationelle Forvaltning af Store IT-Systemer inden for Området med Frihed, Sikkerhed og Retfærdighed (eu-LISA)</w:t>
      </w:r>
      <w:bookmarkEnd w:id="1"/>
    </w:p>
    <w:p w14:paraId="139A0163" w14:textId="77777777" w:rsidR="006D6C3C" w:rsidRPr="002E3B56" w:rsidRDefault="006D6C3C" w:rsidP="006D6C3C">
      <w:pPr>
        <w:rPr>
          <w:i/>
          <w:vanish/>
        </w:rPr>
      </w:pPr>
      <w:r w:rsidRPr="002E3B56">
        <w:rPr>
          <w:i/>
        </w:rPr>
        <w:fldChar w:fldCharType="begin"/>
      </w:r>
      <w:r w:rsidRPr="002E3B56">
        <w:rPr>
          <w:i/>
        </w:rPr>
        <w:instrText xml:space="preserve"> TC"(</w:instrText>
      </w:r>
      <w:bookmarkStart w:id="2" w:name="DocNumber"/>
      <w:r w:rsidRPr="002E3B56">
        <w:rPr>
          <w:i/>
        </w:rPr>
        <w:instrText>A9-0105/2024</w:instrText>
      </w:r>
      <w:bookmarkEnd w:id="2"/>
      <w:r w:rsidRPr="002E3B56">
        <w:rPr>
          <w:i/>
        </w:rPr>
        <w:instrText xml:space="preserve"> - Ordfører: Petri Sarvamaa)"\l3 \n&gt; \* MERGEFORMAT </w:instrText>
      </w:r>
      <w:r w:rsidRPr="002E3B56">
        <w:rPr>
          <w:i/>
        </w:rPr>
        <w:fldChar w:fldCharType="end"/>
      </w:r>
    </w:p>
    <w:p w14:paraId="1633E10C" w14:textId="77777777" w:rsidR="006D6C3C" w:rsidRPr="002E3B56" w:rsidRDefault="006D6C3C" w:rsidP="006D6C3C">
      <w:pPr>
        <w:rPr>
          <w:vanish/>
        </w:rPr>
      </w:pPr>
      <w:bookmarkStart w:id="3" w:name="Commission"/>
      <w:r w:rsidRPr="002E3B56">
        <w:rPr>
          <w:vanish/>
        </w:rPr>
        <w:t>Budgetkontroludvalget</w:t>
      </w:r>
      <w:bookmarkEnd w:id="3"/>
    </w:p>
    <w:p w14:paraId="5F4D5808" w14:textId="77777777" w:rsidR="006D6C3C" w:rsidRPr="002E3B56" w:rsidRDefault="006D6C3C" w:rsidP="006D6C3C">
      <w:pPr>
        <w:rPr>
          <w:vanish/>
        </w:rPr>
      </w:pPr>
      <w:bookmarkStart w:id="4" w:name="PE"/>
      <w:r w:rsidRPr="002E3B56">
        <w:rPr>
          <w:vanish/>
        </w:rPr>
        <w:t>PE753.534</w:t>
      </w:r>
      <w:bookmarkEnd w:id="4"/>
    </w:p>
    <w:p w14:paraId="35372078" w14:textId="77777777" w:rsidR="006D6C3C" w:rsidRPr="002E3B56" w:rsidRDefault="006D6C3C" w:rsidP="006D6C3C">
      <w:pPr>
        <w:pStyle w:val="ATHeading3"/>
      </w:pPr>
      <w:bookmarkStart w:id="5" w:name="Sujet"/>
      <w:r w:rsidRPr="002E3B56">
        <w:t>1. Europa-Parlamentets afgørelse af 11. april 2024 om decharge for gennemførelsen af budgettet for Den Europæiske Unions Agentur for den Operationelle Forvaltning af Store IT-Systemer inden for Området med Frihed, Sikkerhed og Retfærdighed (eu-LISA) for regnskabsåret 2022</w:t>
      </w:r>
      <w:bookmarkEnd w:id="5"/>
      <w:r w:rsidRPr="002E3B56">
        <w:t xml:space="preserve"> </w:t>
      </w:r>
      <w:bookmarkStart w:id="6" w:name="References"/>
      <w:r w:rsidRPr="002E3B56">
        <w:t>(2023/2165(DEC))</w:t>
      </w:r>
      <w:bookmarkEnd w:id="6"/>
    </w:p>
    <w:p w14:paraId="1EE57536" w14:textId="77777777" w:rsidR="00D73E43" w:rsidRPr="002E3B56" w:rsidRDefault="00D73E43" w:rsidP="00D73E43">
      <w:pPr>
        <w:pStyle w:val="EPComma"/>
      </w:pPr>
      <w:bookmarkStart w:id="7" w:name="TextBodyBegin"/>
      <w:bookmarkEnd w:id="7"/>
      <w:r w:rsidRPr="002E3B56">
        <w:rPr>
          <w:i/>
        </w:rPr>
        <w:t>Europa-Parlamentet</w:t>
      </w:r>
      <w:r w:rsidRPr="002E3B56">
        <w:t>,</w:t>
      </w:r>
    </w:p>
    <w:p w14:paraId="63CE5562" w14:textId="77777777" w:rsidR="00D73E43" w:rsidRPr="002E3B56" w:rsidRDefault="00D73E43" w:rsidP="00D73E43">
      <w:pPr>
        <w:pStyle w:val="NormalHanging12a"/>
      </w:pPr>
      <w:r w:rsidRPr="002E3B56">
        <w:t>–</w:t>
      </w:r>
      <w:r w:rsidRPr="002E3B56">
        <w:tab/>
        <w:t>der henviser til det endelige årsregnskab for Det Europæiske Agentur for den Operationelle Forvaltning af Store IT-systemer inden for Området med Frihed, Sikkerhed og Retfærdighed (eu-LISA) for regnskabsåret 2022,</w:t>
      </w:r>
    </w:p>
    <w:p w14:paraId="7DAE765A" w14:textId="77777777" w:rsidR="00D73E43" w:rsidRPr="002E3B56" w:rsidRDefault="00D73E43" w:rsidP="00D73E43">
      <w:pPr>
        <w:pStyle w:val="NormalHanging12a"/>
      </w:pPr>
      <w:r w:rsidRPr="002E3B56">
        <w:t>–</w:t>
      </w:r>
      <w:r w:rsidRPr="002E3B56">
        <w:tab/>
        <w:t>der henviser til Revisionsrettens årsberetning om EU-agenturerne for regnskabsåret 2022, med agenturernes svar</w:t>
      </w:r>
      <w:r w:rsidRPr="002E3B56">
        <w:rPr>
          <w:rStyle w:val="FootnoteReference"/>
        </w:rPr>
        <w:footnoteReference w:id="1"/>
      </w:r>
      <w:r w:rsidRPr="002E3B56">
        <w:t>,</w:t>
      </w:r>
    </w:p>
    <w:p w14:paraId="28FF4E29" w14:textId="77777777" w:rsidR="00D73E43" w:rsidRPr="002E3B56" w:rsidRDefault="00D73E43" w:rsidP="00D73E43">
      <w:pPr>
        <w:pStyle w:val="NormalHanging12a"/>
      </w:pPr>
      <w:r w:rsidRPr="002E3B56">
        <w:t>–</w:t>
      </w:r>
      <w:r w:rsidRPr="002E3B56">
        <w:tab/>
        <w:t>der henviser til Revisionsrettens erklæring for regnskabsåret 2022 om regnskabernes rigtighed</w:t>
      </w:r>
      <w:r w:rsidRPr="002E3B56">
        <w:rPr>
          <w:rStyle w:val="FootnoteReference"/>
        </w:rPr>
        <w:footnoteReference w:id="2"/>
      </w:r>
      <w:r w:rsidRPr="002E3B56">
        <w:t xml:space="preserve"> og de underliggende transaktioners lovlighed og formelle rigtighed, jf. artikel 287 i traktaten om Den Europæiske Unions funktionsmåde,</w:t>
      </w:r>
    </w:p>
    <w:p w14:paraId="65665149" w14:textId="75086621" w:rsidR="00D73E43" w:rsidRPr="002E3B56" w:rsidRDefault="00D73E43" w:rsidP="00D73E43">
      <w:pPr>
        <w:pStyle w:val="NormalHanging12a"/>
      </w:pPr>
      <w:r w:rsidRPr="002E3B56">
        <w:t>–</w:t>
      </w:r>
      <w:r w:rsidRPr="002E3B56">
        <w:tab/>
        <w:t>der henviser til Rådets henstilling af 22. februar 2024 om decharge til agenturet for gennemførelsen af budgettet for regnskabsåret 2022 (0</w:t>
      </w:r>
      <w:r w:rsidR="00B121A9" w:rsidRPr="002E3B56">
        <w:t>6180</w:t>
      </w:r>
      <w:r w:rsidRPr="002E3B56">
        <w:t>/2024 – C9</w:t>
      </w:r>
      <w:r w:rsidRPr="002E3B56">
        <w:noBreakHyphen/>
        <w:t>0</w:t>
      </w:r>
      <w:r w:rsidR="00B121A9" w:rsidRPr="002E3B56">
        <w:t>103</w:t>
      </w:r>
      <w:r w:rsidRPr="002E3B56">
        <w:t>/2024),</w:t>
      </w:r>
    </w:p>
    <w:p w14:paraId="214947EB" w14:textId="77777777" w:rsidR="00D73E43" w:rsidRPr="002E3B56" w:rsidRDefault="00D73E43" w:rsidP="00D73E43">
      <w:pPr>
        <w:pStyle w:val="NormalHanging12a"/>
      </w:pPr>
      <w:r w:rsidRPr="002E3B56">
        <w:t>–</w:t>
      </w:r>
      <w:r w:rsidRPr="002E3B56">
        <w:tab/>
        <w:t>der henviser til artikel 319 i traktaten om Den Europæiske Unions funktionsmåde,</w:t>
      </w:r>
    </w:p>
    <w:p w14:paraId="1358D984" w14:textId="77777777" w:rsidR="00D73E43" w:rsidRPr="002E3B56" w:rsidRDefault="00D73E43" w:rsidP="00D73E43">
      <w:pPr>
        <w:pStyle w:val="NormalHanging12a"/>
      </w:pPr>
      <w:r w:rsidRPr="002E3B56">
        <w:t>–</w:t>
      </w:r>
      <w:r w:rsidRPr="002E3B56">
        <w:tab/>
        <w:t xml:space="preserve">der henviser til 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r w:rsidRPr="002E3B56">
        <w:lastRenderedPageBreak/>
        <w:t>Euratom) nr. 966/2012</w:t>
      </w:r>
      <w:r w:rsidRPr="002E3B56">
        <w:rPr>
          <w:rStyle w:val="FootnoteReference"/>
        </w:rPr>
        <w:footnoteReference w:id="3"/>
      </w:r>
      <w:r w:rsidRPr="002E3B56">
        <w:t>, særlig artikel 70,</w:t>
      </w:r>
    </w:p>
    <w:p w14:paraId="529D59F2" w14:textId="77777777" w:rsidR="00D73E43" w:rsidRPr="002E3B56" w:rsidRDefault="00D73E43" w:rsidP="00D73E43">
      <w:pPr>
        <w:pStyle w:val="NormalHanging12a"/>
      </w:pPr>
      <w:r w:rsidRPr="002E3B56">
        <w:t>–</w:t>
      </w:r>
      <w:r w:rsidRPr="002E3B56">
        <w:tab/>
        <w:t>der henviser til Europa-Parlamentets og Rådets forordning (EU) 2018/1726 af 14. november 2018 om Den Europæiske Unions Agentur for den Operationelle Forvaltning af Store IT-Systemer inden for Området med Frihed, Sikkerhed og Retfærdighed (eu-LISA) og om ændring af forordning (EF) nr. 1987/2006 og Rådets afgørelse 2007/533/RIA og om ophævelse af forordning (EU) nr. 1077/2011</w:t>
      </w:r>
      <w:r w:rsidRPr="002E3B56">
        <w:rPr>
          <w:rStyle w:val="FootnoteReference"/>
        </w:rPr>
        <w:footnoteReference w:id="4"/>
      </w:r>
      <w:r w:rsidRPr="002E3B56">
        <w:t>, særlig artikel 47,</w:t>
      </w:r>
    </w:p>
    <w:p w14:paraId="79906D35" w14:textId="77777777" w:rsidR="00D73E43" w:rsidRPr="002E3B56" w:rsidRDefault="00D73E43" w:rsidP="00D73E43">
      <w:pPr>
        <w:pStyle w:val="NormalHanging12a"/>
      </w:pPr>
      <w:r w:rsidRPr="002E3B56">
        <w:t>–</w:t>
      </w:r>
      <w:r w:rsidRPr="002E3B56">
        <w:tab/>
        <w:t>der henviser til Kommissionens delegerede forordning (EU) 2019/715 af 18. december 2018 om rammefinansforordningen for de organer, der er nedsat i henhold til TEUF og Euratomtraktaten og omhandlet i artikel 70 i Europa-Parlamentets og Rådets forordning (EU, Euratom) 2018/1046</w:t>
      </w:r>
      <w:r w:rsidRPr="002E3B56">
        <w:rPr>
          <w:rStyle w:val="FootnoteReference"/>
        </w:rPr>
        <w:footnoteReference w:id="5"/>
      </w:r>
      <w:r w:rsidRPr="002E3B56">
        <w:t>, særlig artikel 105,</w:t>
      </w:r>
    </w:p>
    <w:p w14:paraId="34BA715B" w14:textId="77777777" w:rsidR="00D73E43" w:rsidRPr="002E3B56" w:rsidRDefault="00D73E43" w:rsidP="00D73E43">
      <w:pPr>
        <w:pStyle w:val="NormalHanging12a"/>
      </w:pPr>
      <w:r w:rsidRPr="002E3B56">
        <w:t>–</w:t>
      </w:r>
      <w:r w:rsidRPr="002E3B56">
        <w:tab/>
        <w:t>der henviser til forretningsordenens artikel 100 og bilag V,</w:t>
      </w:r>
    </w:p>
    <w:p w14:paraId="6F9B877F" w14:textId="77777777" w:rsidR="00D73E43" w:rsidRPr="002E3B56" w:rsidRDefault="00D73E43" w:rsidP="00D73E43">
      <w:pPr>
        <w:pStyle w:val="NormalHanging12a"/>
      </w:pPr>
      <w:r w:rsidRPr="002E3B56">
        <w:t>–</w:t>
      </w:r>
      <w:r w:rsidRPr="002E3B56">
        <w:tab/>
        <w:t>der henviser til udtalelse fra Udvalget om Borgernes Rettigheder og Retlige og Indre Anliggender,</w:t>
      </w:r>
    </w:p>
    <w:p w14:paraId="3CAA125E" w14:textId="77777777" w:rsidR="00D73E43" w:rsidRPr="002E3B56" w:rsidRDefault="00D73E43" w:rsidP="00D73E43">
      <w:pPr>
        <w:pStyle w:val="NormalHanging12a"/>
      </w:pPr>
      <w:r w:rsidRPr="002E3B56">
        <w:t>–</w:t>
      </w:r>
      <w:r w:rsidRPr="002E3B56">
        <w:tab/>
        <w:t>der henviser til betænkning fra Budgetkontroludvalget (A9-0105/2024),</w:t>
      </w:r>
    </w:p>
    <w:p w14:paraId="638F641B" w14:textId="77777777" w:rsidR="00D73E43" w:rsidRPr="002E3B56" w:rsidRDefault="00D73E43" w:rsidP="00D73E43">
      <w:pPr>
        <w:pStyle w:val="NormalHanging12a"/>
      </w:pPr>
      <w:r w:rsidRPr="002E3B56">
        <w:t>1.</w:t>
      </w:r>
      <w:r w:rsidRPr="002E3B56">
        <w:tab/>
        <w:t>meddeler den administrerende direktør for Den Europæiske Unions Agentur for den Operationelle Forvaltning af Store IT-Systemer inden for Området med Frihed, Sikkerhed og Retfærdighed (eu-LISA) decharge for gennemførelsen af agenturets budget for regnskabsåret 2022;</w:t>
      </w:r>
    </w:p>
    <w:p w14:paraId="0F005659" w14:textId="77777777" w:rsidR="00D73E43" w:rsidRPr="002E3B56" w:rsidRDefault="00D73E43" w:rsidP="00D73E43">
      <w:pPr>
        <w:pStyle w:val="NormalHanging12a"/>
      </w:pPr>
      <w:r w:rsidRPr="002E3B56">
        <w:t>2.</w:t>
      </w:r>
      <w:r w:rsidRPr="002E3B56">
        <w:tab/>
        <w:t>fremsætter sine bemærkninger i nedenstående beslutning;</w:t>
      </w:r>
    </w:p>
    <w:p w14:paraId="1AFD5573" w14:textId="77777777" w:rsidR="00D73E43" w:rsidRPr="002E3B56" w:rsidRDefault="00D73E43" w:rsidP="00D73E43">
      <w:pPr>
        <w:pStyle w:val="NormalHanging12a"/>
      </w:pPr>
      <w:r w:rsidRPr="002E3B56">
        <w:t>3.</w:t>
      </w:r>
      <w:r w:rsidRPr="002E3B56">
        <w:tab/>
        <w:t xml:space="preserve">pålægger sin formand at sende denne afgørelse og beslutningen, der er en integrerende del heraf, til den administrerende direktør for Den Europæiske Unions Agentur for den Operationelle Forvaltning af Store IT-Systemer inden for Området med Frihed, Sikkerhed og Retfærdighed (eu-LISA), Rådet, Kommissionen og Revisionsretten og drage omsorg for, at de offentliggøres i </w:t>
      </w:r>
      <w:r w:rsidRPr="002E3B56">
        <w:rPr>
          <w:i/>
          <w:iCs/>
        </w:rPr>
        <w:t>Den Europæiske Unions Tidende</w:t>
      </w:r>
      <w:r w:rsidRPr="002E3B56">
        <w:t xml:space="preserve"> (L-udgaven).</w:t>
      </w:r>
    </w:p>
    <w:p w14:paraId="03C3CA56" w14:textId="77777777" w:rsidR="00D73E43" w:rsidRPr="002E3B56" w:rsidRDefault="00D73E43" w:rsidP="00D73E43"/>
    <w:p w14:paraId="09360981" w14:textId="77777777" w:rsidR="00D73E43" w:rsidRPr="002E3B56" w:rsidRDefault="00D73E43" w:rsidP="00D73E43">
      <w:pPr>
        <w:widowControl/>
        <w:rPr>
          <w:rFonts w:ascii="Arial" w:hAnsi="Arial" w:cs="Arial"/>
          <w:b/>
        </w:rPr>
        <w:sectPr w:rsidR="00D73E43" w:rsidRPr="002E3B56" w:rsidSect="00125B9D">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79175F8B" w14:textId="77777777" w:rsidR="00D73E43" w:rsidRPr="002E3B56" w:rsidRDefault="00D73E43" w:rsidP="001513A9">
      <w:pPr>
        <w:pStyle w:val="ATHeading3"/>
      </w:pPr>
      <w:bookmarkStart w:id="8" w:name="_Toc146793431"/>
      <w:bookmarkStart w:id="9" w:name="_Toc161153628"/>
      <w:bookmarkStart w:id="10" w:name="_Toc161824608"/>
      <w:r w:rsidRPr="002E3B56">
        <w:t xml:space="preserve">2. </w:t>
      </w:r>
      <w:r w:rsidR="001513A9" w:rsidRPr="002E3B56">
        <w:t>Europa-Parlamentets afgørelse</w:t>
      </w:r>
      <w:bookmarkEnd w:id="8"/>
      <w:bookmarkEnd w:id="9"/>
      <w:bookmarkEnd w:id="10"/>
      <w:r w:rsidR="001513A9" w:rsidRPr="002E3B56">
        <w:t xml:space="preserve"> af 11. april 2024 </w:t>
      </w:r>
      <w:r w:rsidRPr="002E3B56">
        <w:t>om afslutning af regnskaberne for Den Europæiske Unions Agentur for den Operationelle Forvaltning af Store IT-Systemer inden for Området med Frihed, Sikkerhed og Retfærdighed (eu-LISA) for regnskabsåret 2022</w:t>
      </w:r>
      <w:r w:rsidR="001513A9" w:rsidRPr="002E3B56">
        <w:t xml:space="preserve"> </w:t>
      </w:r>
      <w:r w:rsidRPr="002E3B56">
        <w:t>(2023/2165(DEC))</w:t>
      </w:r>
    </w:p>
    <w:p w14:paraId="10B954DB" w14:textId="77777777" w:rsidR="00D73E43" w:rsidRPr="002E3B56" w:rsidRDefault="00D73E43" w:rsidP="00D73E43">
      <w:pPr>
        <w:pStyle w:val="EPComma"/>
      </w:pPr>
      <w:r w:rsidRPr="002E3B56">
        <w:rPr>
          <w:i/>
          <w:iCs/>
        </w:rPr>
        <w:t>Europa-Parlamentet</w:t>
      </w:r>
      <w:r w:rsidRPr="002E3B56">
        <w:t>,</w:t>
      </w:r>
    </w:p>
    <w:p w14:paraId="30F904B1" w14:textId="77777777" w:rsidR="00D73E43" w:rsidRPr="002E3B56" w:rsidRDefault="00D73E43" w:rsidP="00D73E43">
      <w:pPr>
        <w:pStyle w:val="NormalHanging12a"/>
      </w:pPr>
      <w:r w:rsidRPr="002E3B56">
        <w:t>–</w:t>
      </w:r>
      <w:r w:rsidRPr="002E3B56">
        <w:tab/>
        <w:t>der henviser til det endelige årsregnskab for Det Europæiske Agentur for den Operationelle Forvaltning af Store IT-systemer inden for Området med Frihed, Sikkerhed og Retfærdighed (eu-LISA) for regnskabsåret 2022,</w:t>
      </w:r>
    </w:p>
    <w:p w14:paraId="5C35B771" w14:textId="77777777" w:rsidR="00D73E43" w:rsidRPr="002E3B56" w:rsidRDefault="00D73E43" w:rsidP="00D73E43">
      <w:pPr>
        <w:pStyle w:val="NormalHanging12a"/>
      </w:pPr>
      <w:r w:rsidRPr="002E3B56">
        <w:t>–</w:t>
      </w:r>
      <w:r w:rsidRPr="002E3B56">
        <w:tab/>
        <w:t>der henviser til Revisionsrettens årsberetning om EU-agenturerne for regnskabsåret 2022, med agenturernes svar</w:t>
      </w:r>
      <w:r w:rsidRPr="002E3B56">
        <w:rPr>
          <w:rStyle w:val="FootnoteReference"/>
        </w:rPr>
        <w:footnoteReference w:id="6"/>
      </w:r>
      <w:r w:rsidRPr="002E3B56">
        <w:t>,</w:t>
      </w:r>
    </w:p>
    <w:p w14:paraId="13CB4C49" w14:textId="77777777" w:rsidR="00D73E43" w:rsidRPr="002E3B56" w:rsidRDefault="00D73E43" w:rsidP="00D73E43">
      <w:pPr>
        <w:pStyle w:val="NormalHanging12a"/>
      </w:pPr>
      <w:r w:rsidRPr="002E3B56">
        <w:t>–</w:t>
      </w:r>
      <w:r w:rsidRPr="002E3B56">
        <w:tab/>
        <w:t>der henviser til Revisionsrettens erklæring for regnskabsåret 2022 om regnskabernes rigtighed</w:t>
      </w:r>
      <w:r w:rsidRPr="002E3B56">
        <w:rPr>
          <w:rStyle w:val="FootnoteReference"/>
        </w:rPr>
        <w:footnoteReference w:id="7"/>
      </w:r>
      <w:r w:rsidRPr="002E3B56">
        <w:t xml:space="preserve"> og de underliggende transaktioners lovlighed og formelle rigtighed, jf. artikel 287 i traktaten om Den Europæiske Unions funktionsmåde,</w:t>
      </w:r>
    </w:p>
    <w:p w14:paraId="793A4503" w14:textId="17514C3C" w:rsidR="00D73E43" w:rsidRPr="002E3B56" w:rsidRDefault="00D73E43" w:rsidP="00D73E43">
      <w:pPr>
        <w:pStyle w:val="NormalHanging12a"/>
      </w:pPr>
      <w:r w:rsidRPr="002E3B56">
        <w:t>–</w:t>
      </w:r>
      <w:r w:rsidRPr="002E3B56">
        <w:tab/>
        <w:t>der henviser til Rådets henstilling af 22. februar 2024 om decharge til agenturet for gennemførelsen af budgettet for regnskabsåret 2022 (0</w:t>
      </w:r>
      <w:r w:rsidR="00B121A9" w:rsidRPr="002E3B56">
        <w:t>6180</w:t>
      </w:r>
      <w:r w:rsidRPr="002E3B56">
        <w:t>/2024 – C9</w:t>
      </w:r>
      <w:r w:rsidRPr="002E3B56">
        <w:noBreakHyphen/>
        <w:t>0</w:t>
      </w:r>
      <w:r w:rsidR="00B121A9" w:rsidRPr="002E3B56">
        <w:t>103</w:t>
      </w:r>
      <w:r w:rsidRPr="002E3B56">
        <w:t>/2024),</w:t>
      </w:r>
    </w:p>
    <w:p w14:paraId="4B7682A5" w14:textId="77777777" w:rsidR="00D73E43" w:rsidRPr="002E3B56" w:rsidRDefault="00D73E43" w:rsidP="00D73E43">
      <w:pPr>
        <w:pStyle w:val="NormalHanging12a"/>
      </w:pPr>
      <w:r w:rsidRPr="002E3B56">
        <w:t>–</w:t>
      </w:r>
      <w:r w:rsidRPr="002E3B56">
        <w:tab/>
        <w:t>der henviser til artikel 319 i traktaten om Den Europæiske Unions funktionsmåde,</w:t>
      </w:r>
    </w:p>
    <w:p w14:paraId="1C7EC5D7" w14:textId="77777777" w:rsidR="00D73E43" w:rsidRPr="002E3B56" w:rsidRDefault="00D73E43" w:rsidP="00D73E43">
      <w:pPr>
        <w:pStyle w:val="NormalHanging12a"/>
      </w:pPr>
      <w:r w:rsidRPr="002E3B56">
        <w:t>–</w:t>
      </w:r>
      <w:r w:rsidRPr="002E3B56">
        <w:tab/>
        <w:t>der henviser til 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w:t>
      </w:r>
      <w:r w:rsidRPr="002E3B56">
        <w:rPr>
          <w:rStyle w:val="FootnoteReference"/>
        </w:rPr>
        <w:footnoteReference w:id="8"/>
      </w:r>
      <w:r w:rsidRPr="002E3B56">
        <w:t>, særlig artikel 70,</w:t>
      </w:r>
    </w:p>
    <w:p w14:paraId="46789109" w14:textId="77777777" w:rsidR="00D73E43" w:rsidRPr="002E3B56" w:rsidRDefault="00D73E43" w:rsidP="00D73E43">
      <w:pPr>
        <w:pStyle w:val="NormalHanging12a"/>
      </w:pPr>
      <w:r w:rsidRPr="002E3B56">
        <w:t>–</w:t>
      </w:r>
      <w:r w:rsidRPr="002E3B56">
        <w:tab/>
        <w:t>der henviser til Europa-Parlamentets og Rådets forordning (EU) 2018/1726 af 14. november 2018 om Den Europæiske Unions Agentur for den Operationelle Forvaltning af Store IT-Systemer inden for Området med Frihed, Sikkerhed og Retfærdighed (eu-LISA) og om ændring af forordning (EF) nr. 1987/2006 og Rådets afgørelse 2007/533/RIA og om ophævelse af forordning (EU) nr. 1077/2011</w:t>
      </w:r>
      <w:r w:rsidRPr="002E3B56">
        <w:rPr>
          <w:rStyle w:val="FootnoteReference"/>
        </w:rPr>
        <w:footnoteReference w:id="9"/>
      </w:r>
      <w:r w:rsidRPr="002E3B56">
        <w:t>, særlig artikel 47,</w:t>
      </w:r>
    </w:p>
    <w:p w14:paraId="1A60EE7F" w14:textId="77777777" w:rsidR="00D73E43" w:rsidRPr="002E3B56" w:rsidRDefault="00D73E43" w:rsidP="00D73E43">
      <w:pPr>
        <w:pStyle w:val="NormalHanging12a"/>
      </w:pPr>
      <w:r w:rsidRPr="002E3B56">
        <w:t>–</w:t>
      </w:r>
      <w:r w:rsidRPr="002E3B56">
        <w:tab/>
        <w:t>der henviser til Kommissionens delegerede forordning (EU) 2019/715 af 18. december 2018 om rammefinansforordningen for de organer, der er nedsat i henhold til TEUF og Euratomtraktaten og omhandlet i artikel 70 i Europa-Parlamentets og Rådets forordning (EU, Euratom) 2018/1046</w:t>
      </w:r>
      <w:r w:rsidRPr="002E3B56">
        <w:rPr>
          <w:rStyle w:val="FootnoteReference"/>
        </w:rPr>
        <w:footnoteReference w:id="10"/>
      </w:r>
      <w:r w:rsidRPr="002E3B56">
        <w:t>, særlig artikel 105,</w:t>
      </w:r>
    </w:p>
    <w:p w14:paraId="13AA4B04" w14:textId="77777777" w:rsidR="00D73E43" w:rsidRPr="002E3B56" w:rsidRDefault="00D73E43" w:rsidP="00D73E43">
      <w:pPr>
        <w:pStyle w:val="NormalHanging12a"/>
      </w:pPr>
      <w:r w:rsidRPr="002E3B56">
        <w:t>–</w:t>
      </w:r>
      <w:r w:rsidRPr="002E3B56">
        <w:tab/>
        <w:t>der henviser til forretningsordenens artikel 100 og bilag V,</w:t>
      </w:r>
    </w:p>
    <w:p w14:paraId="070C99DF" w14:textId="77777777" w:rsidR="00D73E43" w:rsidRPr="002E3B56" w:rsidRDefault="00D73E43" w:rsidP="00D73E43">
      <w:pPr>
        <w:pStyle w:val="NormalHanging12a"/>
      </w:pPr>
      <w:r w:rsidRPr="002E3B56">
        <w:t>–</w:t>
      </w:r>
      <w:r w:rsidRPr="002E3B56">
        <w:tab/>
        <w:t>der henviser til udtalelse fra Udvalget om Borgernes Rettigheder og Retlige og Indre Anliggender,</w:t>
      </w:r>
    </w:p>
    <w:p w14:paraId="0977A315" w14:textId="77777777" w:rsidR="00D73E43" w:rsidRPr="002E3B56" w:rsidRDefault="00D73E43" w:rsidP="00D73E43">
      <w:pPr>
        <w:pStyle w:val="NormalHanging12a"/>
      </w:pPr>
      <w:r w:rsidRPr="002E3B56">
        <w:t>–</w:t>
      </w:r>
      <w:r w:rsidRPr="002E3B56">
        <w:tab/>
        <w:t>der henviser til betænkning fra Budgetkontroludvalget (A9-0105/2024),</w:t>
      </w:r>
    </w:p>
    <w:p w14:paraId="4DB81067" w14:textId="77777777" w:rsidR="00D73E43" w:rsidRPr="002E3B56" w:rsidRDefault="00D73E43" w:rsidP="00D73E43">
      <w:pPr>
        <w:pStyle w:val="NormalHanging12a"/>
      </w:pPr>
      <w:r w:rsidRPr="002E3B56">
        <w:t>1.</w:t>
      </w:r>
      <w:r w:rsidRPr="002E3B56">
        <w:tab/>
        <w:t>godkender afslutningen af regnskaberne for Den Europæiske Unions Agentur for den Operationelle Forvaltning af Store IT-systemer inden for Området med Frihed, Sikkerhed og Retfærdighed (eu-LISA) for regnskabsåret 2022;</w:t>
      </w:r>
    </w:p>
    <w:p w14:paraId="295A2CF7" w14:textId="77777777" w:rsidR="00D73E43" w:rsidRPr="002E3B56" w:rsidRDefault="00D73E43" w:rsidP="00D73E43">
      <w:pPr>
        <w:pStyle w:val="NormalHanging12a"/>
      </w:pPr>
      <w:r w:rsidRPr="002E3B56">
        <w:t>2.</w:t>
      </w:r>
      <w:r w:rsidRPr="002E3B56">
        <w:tab/>
        <w:t xml:space="preserve">pålægger sin formand at sende denne afgørelse til den administrerende direktør for Den Europæiske Unions Agentur for den Operationelle Forvaltning af Store IT-Systemer inden for Området med Frihed, Sikkerhed og Retfærdighed (eu-LISA), Rådet, Kommissionen og Revisionsretten og drage omsorg for, at den offentliggøres i </w:t>
      </w:r>
      <w:r w:rsidRPr="002E3B56">
        <w:rPr>
          <w:i/>
          <w:iCs/>
        </w:rPr>
        <w:t>Den Europæiske Unions Tidende</w:t>
      </w:r>
      <w:r w:rsidRPr="002E3B56">
        <w:t xml:space="preserve"> (L-udgaven).</w:t>
      </w:r>
    </w:p>
    <w:p w14:paraId="037BC8A4" w14:textId="77777777" w:rsidR="00D73E43" w:rsidRPr="002E3B56" w:rsidRDefault="00D73E43" w:rsidP="00D73E43"/>
    <w:p w14:paraId="3ECCE4F0" w14:textId="77777777" w:rsidR="00D73E43" w:rsidRPr="002E3B56" w:rsidRDefault="00D73E43" w:rsidP="00D73E43">
      <w:pPr>
        <w:widowControl/>
        <w:rPr>
          <w:rFonts w:ascii="Arial" w:hAnsi="Arial" w:cs="Arial"/>
          <w:b/>
        </w:rPr>
        <w:sectPr w:rsidR="00D73E43" w:rsidRPr="002E3B56" w:rsidSect="00125B9D">
          <w:footnotePr>
            <w:numRestart w:val="eachPage"/>
          </w:footnotePr>
          <w:endnotePr>
            <w:numFmt w:val="decimal"/>
          </w:endnotePr>
          <w:pgSz w:w="11906" w:h="16838"/>
          <w:pgMar w:top="1134" w:right="1418" w:bottom="1418" w:left="1418" w:header="567" w:footer="567" w:gutter="0"/>
          <w:cols w:space="720"/>
          <w:docGrid w:linePitch="326"/>
        </w:sectPr>
      </w:pPr>
    </w:p>
    <w:p w14:paraId="5577AF37" w14:textId="77777777" w:rsidR="00D73E43" w:rsidRPr="002E3B56" w:rsidRDefault="00D73E43" w:rsidP="001513A9">
      <w:pPr>
        <w:pStyle w:val="ATHeading3"/>
      </w:pPr>
      <w:bookmarkStart w:id="11" w:name="_Toc146793432"/>
      <w:bookmarkStart w:id="12" w:name="_Toc161153629"/>
      <w:bookmarkStart w:id="13" w:name="_Toc161824609"/>
      <w:r w:rsidRPr="002E3B56">
        <w:t xml:space="preserve">3. </w:t>
      </w:r>
      <w:r w:rsidR="001513A9" w:rsidRPr="002E3B56">
        <w:t>Europa-Parlamentets beslutning</w:t>
      </w:r>
      <w:bookmarkEnd w:id="11"/>
      <w:bookmarkEnd w:id="12"/>
      <w:bookmarkEnd w:id="13"/>
      <w:r w:rsidR="001513A9" w:rsidRPr="002E3B56">
        <w:t xml:space="preserve"> af 11. april 2024 </w:t>
      </w:r>
      <w:r w:rsidRPr="002E3B56">
        <w:t>med bemærkningerne, der er en integrerende del af afgørelsen om decharge for gennemførelsen af budgettet for Den Europæiske Unions Agentur for den Operationelle Forvaltning af Store IT-Systemer inden for Området med Frihed, Sikkerhed og Retfærdighed (eu-LISA) for regnskabsåret 2022</w:t>
      </w:r>
      <w:r w:rsidR="001513A9" w:rsidRPr="002E3B56">
        <w:t xml:space="preserve"> </w:t>
      </w:r>
      <w:r w:rsidRPr="002E3B56">
        <w:t>(2023/2165(DEC))</w:t>
      </w:r>
    </w:p>
    <w:p w14:paraId="6B89BDA0" w14:textId="77777777" w:rsidR="00D73E43" w:rsidRPr="002E3B56" w:rsidRDefault="00D73E43" w:rsidP="00D73E43">
      <w:pPr>
        <w:pStyle w:val="EPComma"/>
      </w:pPr>
      <w:r w:rsidRPr="002E3B56">
        <w:rPr>
          <w:i/>
          <w:iCs/>
        </w:rPr>
        <w:t>Europa-Parlamentet</w:t>
      </w:r>
      <w:r w:rsidRPr="002E3B56">
        <w:t>,</w:t>
      </w:r>
    </w:p>
    <w:p w14:paraId="1E3C8B81" w14:textId="77777777" w:rsidR="00D73E43" w:rsidRPr="002E3B56" w:rsidRDefault="00D73E43" w:rsidP="00D73E43">
      <w:pPr>
        <w:pStyle w:val="NormalHanging12a"/>
      </w:pPr>
      <w:r w:rsidRPr="002E3B56">
        <w:t>–</w:t>
      </w:r>
      <w:r w:rsidRPr="002E3B56">
        <w:tab/>
        <w:t>der henviser til sin afgørelse om decharge for gennemførelsen af budgettet for Den Europæiske Unions Agentur for den Operationelle Forvaltning af Store IT-Systemer inden for Området med Frihed, Sikkerhed og Retfærdighed (eu-LISA) for regnskabsåret 2022,</w:t>
      </w:r>
    </w:p>
    <w:p w14:paraId="13C08864" w14:textId="77777777" w:rsidR="00D73E43" w:rsidRPr="002E3B56" w:rsidRDefault="00D73E43" w:rsidP="00D73E43">
      <w:pPr>
        <w:pStyle w:val="NormalHanging12a"/>
      </w:pPr>
      <w:r w:rsidRPr="002E3B56">
        <w:t>–</w:t>
      </w:r>
      <w:r w:rsidRPr="002E3B56">
        <w:tab/>
        <w:t>der henviser til forretningsordenens artikel 100 og bilag V,</w:t>
      </w:r>
    </w:p>
    <w:p w14:paraId="5C3D2477" w14:textId="77777777" w:rsidR="00D73E43" w:rsidRPr="002E3B56" w:rsidRDefault="00D73E43" w:rsidP="00D73E43">
      <w:pPr>
        <w:pStyle w:val="NormalHanging12a"/>
      </w:pPr>
      <w:r w:rsidRPr="002E3B56">
        <w:t>–</w:t>
      </w:r>
      <w:r w:rsidRPr="002E3B56">
        <w:tab/>
        <w:t>der henviser til udtalelse fra Udvalget om Borgernes Rettigheder og Retlige og Indre Anliggender,</w:t>
      </w:r>
    </w:p>
    <w:p w14:paraId="30ACD5A7" w14:textId="77777777" w:rsidR="00D73E43" w:rsidRPr="002E3B56" w:rsidRDefault="00D73E43" w:rsidP="00D73E43">
      <w:pPr>
        <w:pStyle w:val="NormalHanging12a"/>
      </w:pPr>
      <w:r w:rsidRPr="002E3B56">
        <w:t>–</w:t>
      </w:r>
      <w:r w:rsidRPr="002E3B56">
        <w:tab/>
        <w:t>der henviser til betænkning fra Budgetkontroludvalget (A9-0105/2024),</w:t>
      </w:r>
    </w:p>
    <w:p w14:paraId="718D3B23" w14:textId="77777777" w:rsidR="00D73E43" w:rsidRPr="002E3B56" w:rsidRDefault="00D73E43" w:rsidP="00D73E43">
      <w:pPr>
        <w:pStyle w:val="Normal12Hanging"/>
        <w:shd w:val="clear" w:color="auto" w:fill="FFFFFF" w:themeFill="background1"/>
        <w:rPr>
          <w:szCs w:val="24"/>
          <w:lang w:val="da-DK"/>
        </w:rPr>
      </w:pPr>
      <w:r w:rsidRPr="002E3B56">
        <w:rPr>
          <w:lang w:val="da-DK"/>
        </w:rPr>
        <w:t>A.</w:t>
      </w:r>
      <w:r w:rsidRPr="002E3B56">
        <w:rPr>
          <w:lang w:val="da-DK"/>
        </w:rPr>
        <w:tab/>
        <w:t>der henviser til, at det endelige budget for Den Europæiske Unions Agentur for den Operationelle Forvaltning af Store IT-systemer inden for Området med Frihed, Sikkerhed og Retfærdighed (eu-LISA) ("agenturet") for regnskabsåret 2022 ifølge dets oversigt over indtægter og udgifter</w:t>
      </w:r>
      <w:r w:rsidRPr="002E3B56">
        <w:rPr>
          <w:szCs w:val="24"/>
          <w:vertAlign w:val="superscript"/>
          <w:lang w:val="da-DK"/>
        </w:rPr>
        <w:footnoteReference w:id="11"/>
      </w:r>
      <w:r w:rsidRPr="002E3B56">
        <w:rPr>
          <w:lang w:val="da-DK"/>
        </w:rPr>
        <w:t xml:space="preserve"> var på 351 630 151 EUR, svarende til en stigning på 62,41 % i forhold til 2021; der henviser til, at agenturets budget næsten udelukkende stammer fra EU-budgettet;</w:t>
      </w:r>
    </w:p>
    <w:p w14:paraId="522294E4" w14:textId="77777777" w:rsidR="00D73E43" w:rsidRPr="002E3B56" w:rsidRDefault="00D73E43" w:rsidP="00D73E43">
      <w:pPr>
        <w:pStyle w:val="Normal12Hanging"/>
        <w:shd w:val="clear" w:color="auto" w:fill="FFFFFF" w:themeFill="background1"/>
        <w:rPr>
          <w:szCs w:val="24"/>
          <w:lang w:val="da-DK"/>
        </w:rPr>
      </w:pPr>
      <w:r w:rsidRPr="002E3B56">
        <w:rPr>
          <w:lang w:val="da-DK"/>
        </w:rPr>
        <w:t>B.</w:t>
      </w:r>
      <w:r w:rsidRPr="002E3B56">
        <w:rPr>
          <w:lang w:val="da-DK"/>
        </w:rPr>
        <w:tab/>
        <w:t>der henviser til, at forhøjelsen af eu-LISA's budget i 2022 hovedsagelig skyldes, at agenturet har fået ekstra opgaver vedrørende forvaltning af nye store IT-systemer og vedrørende IT-systemers interoperabilitet;</w:t>
      </w:r>
    </w:p>
    <w:p w14:paraId="13B6CD51" w14:textId="77777777" w:rsidR="00D73E43" w:rsidRPr="002E3B56" w:rsidRDefault="00D73E43" w:rsidP="00D73E43">
      <w:pPr>
        <w:pStyle w:val="Normal12Hanging"/>
        <w:shd w:val="clear" w:color="auto" w:fill="FFFFFF" w:themeFill="background1"/>
        <w:rPr>
          <w:szCs w:val="24"/>
          <w:lang w:val="da-DK"/>
        </w:rPr>
      </w:pPr>
      <w:r w:rsidRPr="002E3B56">
        <w:rPr>
          <w:lang w:val="da-DK"/>
        </w:rPr>
        <w:t>C.</w:t>
      </w:r>
      <w:r w:rsidRPr="002E3B56">
        <w:rPr>
          <w:lang w:val="da-DK"/>
        </w:rPr>
        <w:tab/>
        <w:t>der henviser til, at Revisionsretten i sin beretning om agenturets årsregnskab for regnskabsåret 2022 ("Revisionsrettens beretning") fastslår, at den har fået rimelig sikkerhed for, at agenturets årsregnskab er rigtigt, og at de underliggende transaktioner med hensyn til indtægter i alt væsentligt er lovlige og formelt rigtige; der henviser til, at Revisionsretten konstaterede, at der i 2022 var foretaget regelstridige betalinger for et samlet beløb på 17,8 mio. EUR, hvoraf 10,9 mio. EUR i betalinger knyttet til tre specifikke kontrakter blev anset for at være regelstridige, og 6,8 mio. EUR blev anset for ikke at være i overensstemmelse med bestemmelserne i de relevante rammeaftaler, hvilket samlet set udgjorde 4,80 % af de betalingsbevillinger, der var til rådighed i 2022, og således oversteg den væsentlighedstærskel, der var fastsat for revisionen, og resulterede i en erklæring med forbehold om lovligheden og den formelle rigtighed af de betalinger, der ligger til grund for regnskaberne; der henviser til, at Revisionsretten bortset fra disse regelstridige betalinger konkluderer, at de underliggende transaktioner for så vidt angår betalinger for det regnskabsår, der afsluttedes den 31. december 2022, i alt væsentligt er lovlige og formelt rigtige;</w:t>
      </w:r>
    </w:p>
    <w:p w14:paraId="66EF51C6" w14:textId="77777777" w:rsidR="00D73E43" w:rsidRPr="002E3B56" w:rsidRDefault="00D73E43" w:rsidP="00D73E43">
      <w:pPr>
        <w:pStyle w:val="Normal12Hanging"/>
        <w:shd w:val="clear" w:color="auto" w:fill="FFFFFF" w:themeFill="background1"/>
        <w:rPr>
          <w:b/>
          <w:i/>
          <w:szCs w:val="24"/>
          <w:lang w:val="da-DK"/>
        </w:rPr>
      </w:pPr>
      <w:r w:rsidRPr="002E3B56">
        <w:rPr>
          <w:b/>
          <w:i/>
          <w:lang w:val="da-DK"/>
        </w:rPr>
        <w:t>Budgetmæssig og økonomisk forvaltning</w:t>
      </w:r>
    </w:p>
    <w:p w14:paraId="0620FF5C" w14:textId="77777777" w:rsidR="00D73E43" w:rsidRPr="002E3B56" w:rsidRDefault="00D73E43" w:rsidP="00D73E43">
      <w:pPr>
        <w:shd w:val="clear" w:color="auto" w:fill="FFFFFF" w:themeFill="background1"/>
        <w:spacing w:after="240"/>
        <w:ind w:left="567" w:hanging="567"/>
        <w:rPr>
          <w:szCs w:val="24"/>
        </w:rPr>
      </w:pPr>
      <w:r w:rsidRPr="002E3B56">
        <w:t>1.</w:t>
      </w:r>
      <w:r w:rsidRPr="002E3B56">
        <w:tab/>
        <w:t>bemærker, at budgetovervågningsindsatsen i regnskabsåret 2022 resulterede i en budgetgennemførelsesgrad på 91,13 % i forpligtelsesbevillinger, hvilket svarer til et fald på 8,87 % i forhold til 2021; bemærker desuden med bekymring, at udnyttelsesgraden for betalingsbevillingerne var på 86,71 % svarende til en stigning på 7,94 % i forhold til 2021;</w:t>
      </w:r>
    </w:p>
    <w:p w14:paraId="3AF12B83" w14:textId="77777777" w:rsidR="00D73E43" w:rsidRPr="002E3B56" w:rsidRDefault="00D73E43" w:rsidP="00D73E43">
      <w:pPr>
        <w:pStyle w:val="NormalHanging12a"/>
        <w:shd w:val="clear" w:color="auto" w:fill="FFFFFF" w:themeFill="background1"/>
        <w:rPr>
          <w:szCs w:val="24"/>
        </w:rPr>
      </w:pPr>
      <w:r w:rsidRPr="002E3B56">
        <w:t>2.</w:t>
      </w:r>
      <w:r w:rsidRPr="002E3B56">
        <w:tab/>
        <w:t>bemærker med bekymring, at agenturet ifølge Revisionsrettens beretning fremførte over 14,4 mio. EUR (23 %) af de disponible forpligtelsesbevillinger for 2022 til 2023, og at dette beløb omfattede 13,7 mio. EUR (eller 95 %) af bevillingerne under afsnit II vedrørende administrationsudgifter (97 % i 2021); bemærker, at der igen er fremført bevillinger, hvilket fik Revisionsretten til at minde om, at gentagne høje fremførselsniveauer er i strid med budgetprincippet om etårighed og er et tegn på strukturelle problemer med budgetgennemførelsen eller dårlig budgetplanlægning; bemærker agenturets svar om, at fremførslerne i 2022 blev foretaget med henblik på administrative aktiviteter, som var nødvendige eller tilbagevendende, og gav sikkerhed med hensyn til forsvarlig økonomisk forvaltning af de underliggende transaktioner; noterer sig, at agenturet ifølge dets rapport om de opfølgende foranstaltninger, der er truffet i lyset af dechargen for gennemførelsen af agenturets budget for regnskabsåret 2021 ("agenturets opfølgningsrapport"), har udarbejdet en handlingsplan, som indeholder en række foranstaltninger, der gennemføres fra 2023 med henblik på at overholde princippet om etårighed og nedbringe fremførselsniveauet; bemærker i den forbindelse, at undertegnelsen i fjerde kvartal af 2023 af den nye rammeaftale om levering af eksterne støttetjenester er afgørende for at nå disse mål; forventer, at gennemførelsen af denne handlingsplan vil føre til en betydelig forbedring, og opfordrer agenturet til at aflægge rapport til dechargemyndigheden om de fremskridt, der gøres i denne henseende;</w:t>
      </w:r>
    </w:p>
    <w:p w14:paraId="511F182E" w14:textId="77777777" w:rsidR="00D73E43" w:rsidRPr="002E3B56" w:rsidRDefault="00D73E43" w:rsidP="00D73E43">
      <w:pPr>
        <w:pStyle w:val="Normal12Hanging"/>
        <w:shd w:val="clear" w:color="auto" w:fill="FFFFFF" w:themeFill="background1"/>
        <w:rPr>
          <w:szCs w:val="24"/>
          <w:lang w:val="da-DK"/>
        </w:rPr>
      </w:pPr>
      <w:r w:rsidRPr="002E3B56">
        <w:rPr>
          <w:b/>
          <w:i/>
          <w:lang w:val="da-DK"/>
        </w:rPr>
        <w:t>Performance</w:t>
      </w:r>
    </w:p>
    <w:p w14:paraId="30EF8384" w14:textId="77777777" w:rsidR="00D73E43" w:rsidRPr="002E3B56" w:rsidRDefault="00D73E43" w:rsidP="00D73E43">
      <w:pPr>
        <w:pStyle w:val="NormalHanging12a"/>
        <w:shd w:val="clear" w:color="auto" w:fill="FFFFFF" w:themeFill="background1"/>
        <w:rPr>
          <w:szCs w:val="24"/>
        </w:rPr>
      </w:pPr>
      <w:r w:rsidRPr="002E3B56">
        <w:t>3.</w:t>
      </w:r>
      <w:r w:rsidRPr="002E3B56">
        <w:tab/>
        <w:t>bifalder, at agenturet anvender visse værktøjer som centrale resultatindikatorer til at vurdere merværdien af sine aktiviteter og forbedre sin budgetforvaltning; bemærker, at dets årlige arbejdsprogram for 2022 omfattede 135 aktiviteter, hvoraf 90 aktiviteter var gennemført (67 %), 16 igangværende (12 %), 20 igangværende og forsinket (15 %) og ni blev udsat (7 %); noterer sig agenturets nye tilgang, hvorved dets aktiviteter strømlines i porteføljer og programmer for at afspejle agenturets driftsmodel og den indbyrdes afhængighed mellem projekter og aktiviteter; anmoder agenturet om at udpege og rapportere om de forbedringer, der er opnået som følge af denne nye tilgang;</w:t>
      </w:r>
    </w:p>
    <w:p w14:paraId="6F951A85" w14:textId="77777777" w:rsidR="00D73E43" w:rsidRPr="002E3B56" w:rsidRDefault="00D73E43" w:rsidP="00D73E43">
      <w:pPr>
        <w:pStyle w:val="NormalHanging12a"/>
        <w:shd w:val="clear" w:color="auto" w:fill="FFFFFF" w:themeFill="background1"/>
        <w:rPr>
          <w:szCs w:val="24"/>
        </w:rPr>
      </w:pPr>
      <w:r w:rsidRPr="002E3B56">
        <w:t>4.</w:t>
      </w:r>
      <w:r w:rsidRPr="002E3B56">
        <w:tab/>
        <w:t>roser agenturet for at vedtage alle lovpligtige programmeringsdokumenter og obligatoriske virksomhedsrapporter i overensstemmelse med de reguleringsmæssige krav og inden for de lovbestemte frister, bl.a. enhedsprogrammeringsdokumentet for 2023-2025; bemærker, at agenturet også vedtog en køreplan for gennemførelsen af strategien for at tilpasse sine strategiske operationelle mål og overvåge gennemførelsen af agenturets langsigtede strategi for 2021-2027; bemærker endvidere agenturets bestræbelser på at forbedre sine flerårige og årlige planlægningsprocesser ved hjælp af et nyt værktøj (Anaplan); bemærker, at agenturet anvendte KvalitetsVærktøjet til udvikling af Innovation og Kompetence (KVIK) til at analysere sine styrker og svagheder, hvilket førte til, at der i april 2022 blev leveret en selvevalueringsrapport med en handlingsplan, der skulle tjene køreplanen ved at præcisere agenturets prioriteter for operationel udvikling; bemærker, at agenturet ansøgte om mærket "Effektiv KVIK-bruger";</w:t>
      </w:r>
    </w:p>
    <w:p w14:paraId="462749AA" w14:textId="77777777" w:rsidR="00D73E43" w:rsidRPr="002E3B56" w:rsidRDefault="00D73E43" w:rsidP="00D73E43">
      <w:pPr>
        <w:pStyle w:val="NormalHanging12a"/>
        <w:shd w:val="clear" w:color="auto" w:fill="FFFFFF" w:themeFill="background1"/>
        <w:rPr>
          <w:szCs w:val="24"/>
        </w:rPr>
      </w:pPr>
      <w:r w:rsidRPr="002E3B56">
        <w:rPr>
          <w:shd w:val="clear" w:color="auto" w:fill="FFFFFF"/>
        </w:rPr>
        <w:t>5.</w:t>
      </w:r>
      <w:r w:rsidRPr="002E3B56">
        <w:rPr>
          <w:shd w:val="clear" w:color="auto" w:fill="FFFFFF"/>
        </w:rPr>
        <w:tab/>
        <w:t>glæder sig over agenturets fortsatte støtte til gennemførelsen af Unionens politikker på områderne fri bevægelighed for personer og varer, fælles rejsevisum, grænsekontrol samt indvandring og asyl og til samarbejdet mellem nationale retshåndhævende og retslige myndigheder, herunder med hensyn til bekæmpelse af organiseret kriminalitet, menneskesmugling og menneskehandel samt terrorisme; forventer et betydeligt bidrag fra agenturet til digitaliseringen af retsvæsenet med henblik på at forbedre samarbejdet mellem Unionens retlige myndigheder og give Unionens borgere og virksomheder bedre adgang til domstolsprøvelse;</w:t>
      </w:r>
    </w:p>
    <w:p w14:paraId="6C41E795" w14:textId="77777777" w:rsidR="00D73E43" w:rsidRPr="002E3B56" w:rsidRDefault="00D73E43" w:rsidP="00D73E43">
      <w:pPr>
        <w:pStyle w:val="NormalHanging12a"/>
        <w:shd w:val="clear" w:color="auto" w:fill="FFFFFF" w:themeFill="background1"/>
        <w:rPr>
          <w:szCs w:val="24"/>
        </w:rPr>
      </w:pPr>
      <w:r w:rsidRPr="002E3B56">
        <w:t>6.</w:t>
      </w:r>
      <w:r w:rsidRPr="002E3B56">
        <w:tab/>
        <w:t>minder om agenturets centrale rolle med hensyn til at sikre stabil drift og løbende tilgængelighed samt udviklingen og vedligeholdelsen af Unionens informationssystemer vedrørende retlige og indre anliggender (RIA) såsom Schengeninformationssystemet (SIS), visuminformationssystemet (VIS) og den europæiske fingeraftryksdatabase for asyl (Eurodac); minder om, at disse systemer er meget vigtige inden for grænsekontrol og retshåndhævelsessamarbejde, visumforsikring og -kontrol og behandling af asylansøgninger; bemærker, at alle kernevirksomhedssystemerne, bortset fra visse hændelser, der resulterede i kortvarig utilgængelighed og forsinkelser, overholdt deres respektive serviceleveranceaftaler i 2022 med tilgængelighed til SIS på 99,94 %, tilgængelighed til VIS på 99,69 % og tilgængelighed til Eurodac på 99,88 %;</w:t>
      </w:r>
    </w:p>
    <w:p w14:paraId="375E1D64" w14:textId="77777777" w:rsidR="00D73E43" w:rsidRPr="002E3B56" w:rsidRDefault="00D73E43" w:rsidP="00D73E43">
      <w:pPr>
        <w:pStyle w:val="NormalHanging12a"/>
        <w:shd w:val="clear" w:color="auto" w:fill="FFFFFF" w:themeFill="background1"/>
        <w:rPr>
          <w:szCs w:val="24"/>
        </w:rPr>
      </w:pPr>
      <w:r w:rsidRPr="002E3B56">
        <w:t>7.</w:t>
      </w:r>
      <w:r w:rsidRPr="002E3B56">
        <w:tab/>
        <w:t>roser idriftsættelsen af det fornyede SIS i marts 2023 (udsat fra november 2022); bemærker de fremskridt, der er gjort, omend med forsinkelser på forskellige niveauer, med hensyn til analyse, udformning, udvikling og testning af de nye RIA-systemer, nemlig ind- og udrejsesystemet (EES), det europæiske system vedrørende rejseinformation og rejsetilladelse (ETIAS) og det europæiske informationssystem til udveksling af oplysninger fra strafferegistre vedrørende tredjelandsstatsborgere (ECRIS-TCN), samt med hensyn til integrationen af disse systemer, herunder den fælles biometriske matchtjeneste; bemærker endvidere, at 947 transportvirksomheder (både EU- og ikke-EU-virksomheder) og 54 softwareleverandører til transportvirksomheder, lod sig registrere hos agenturet eller ansøgte om en sådan registrering med henblik på at etablere system-til-system-forbindelser til EES og ETIAS; roser i den forbindelse tilrettelæggelsen af rundbordsmødet for industrien under overskriften "EES, ETIAS and Carriers Getting Ready for the Entry into Operation" og registrerings- og oplysningskampagnen for transportvirksomheder, der havde til formål at øge bevidstheden og sætte skub i registreringerne; anerkender, at VIS undergår store ændringer i overensstemmelse med den reviderede VIS-forordning; bemærker i den forbindelse, at agenturet i 2022 iværksatte to projekter – ét om det reviderede VIS og ét om interoperabilitet i VIS, med henblik på at strukturere udviklingen af VIS;</w:t>
      </w:r>
    </w:p>
    <w:p w14:paraId="309A4C49" w14:textId="77777777" w:rsidR="00D73E43" w:rsidRPr="002E3B56" w:rsidRDefault="00D73E43" w:rsidP="00D73E43">
      <w:pPr>
        <w:pStyle w:val="NormalHanging12a"/>
        <w:shd w:val="clear" w:color="auto" w:fill="FFFFFF" w:themeFill="background1"/>
        <w:rPr>
          <w:szCs w:val="24"/>
        </w:rPr>
      </w:pPr>
      <w:r w:rsidRPr="002E3B56">
        <w:t>8.</w:t>
      </w:r>
      <w:r w:rsidRPr="002E3B56">
        <w:tab/>
        <w:t>bemærker endvidere de fremskridt, der er gjort med hensyn til den nye interoperabilitetsstruktur, som vil integrere alle de informationssystemer, der forvaltes af agenturet, med henblik på at forbedre informationsudvekslingen og samarbejdet mellem retshåndhævende og retslige myndigheder i hele Unionen; bemærker i den forbindelse, at selv om agenturet ifølge dets konsoliderede årlige aktivitetsrapport for 2022 stadig var fast besluttet på at levere disse nye systemer, førte de hindrende virkninger af forstyrrelserne i forsyningskæden kombineret med nogle af agenturets kontrahenters vanskeligheder med at overholde gennemførelsesplanerne til forsinkelser, som nødvendiggjorde en gennemgang og revision af den oprindelige plan; bemærker, at disse forsinkelser, navnlig med hensyn til idriftsættelsen af det centrale EES-system, som er en hjørnesten i interoperabilitetsarkitekturen, har haft en dominoeffekt på rettidigheden og gennemførelsen af alle de dermed forbundne projekter; noterer sig de foranstaltninger, som agenturet har truffet for at løse dette problem ved at godkende en ny strategi for gennemførelsen af ind- og udrejsesystemet, "minimum viable product"-tilgangen og en ny køreplan for interoperabilitet, hvor den fuldstændige revision af tidsplanen for interoperabilitet består af en række "bølger" med sigte på at levere komponenterne i interoperabilitetsarkitekturen med periodiske frigivelser hver 6.-9. måned frem til 2026, som beskrevet i agenturets opfølgningsrapport; noterer sig, at de forlængede tidsfrister for idriftsættelsen af EES-programmet ifølge revisionserklæringen fra agenturets administrerende direktør sandsynligvis vil påvirke de ressourcer, der er nødvendige for at fuldføre udviklingen;</w:t>
      </w:r>
    </w:p>
    <w:p w14:paraId="2A6D66E2" w14:textId="77777777" w:rsidR="00D73E43" w:rsidRPr="002E3B56" w:rsidRDefault="00D73E43" w:rsidP="00D73E43">
      <w:pPr>
        <w:pStyle w:val="NormalHanging12a"/>
      </w:pPr>
      <w:r w:rsidRPr="002E3B56">
        <w:t>9.</w:t>
      </w:r>
      <w:r w:rsidRPr="002E3B56">
        <w:tab/>
        <w:t>bemærker med tilfredshed, at agenturet fortsatte med at levere resultater i forhold til flere andre nært forbundne vedtægtsmæssige mål såsom uddannelse for medlemsstaterne i brugen af RIA-informationssystemer og udarbejdelse af lovpligtige rapporter om deres tekniske performance, årlige statistikker og lister over udpegede myndigheder; roser i den forbindelse, at agenturet i 2022 gennemførte 48 uddannelsesaktiviteter, som nåede ud til over 3 000 deltagere, opgraderede sin e-læringsplatform og færdiggjorde medlemsstaternes uddannelseskøreplan og den tilhørende handlingsplan; bemærker endvidere, at agenturet fortsatte med at udvide sin rolle på Unionens retlige område ved at påbegynde forberedelserne til overtagelsen af e-CODEX-systemet (en platform, der letter grænseoverskridende retssager gennem sikker overførsel af oplysninger), offentliggjorde en rapport om, hvordan digitaliseringen af internationale rejser vil påvirke rejsende, der rejser ind i Unionen, og sammen med Den Europæiske Unions Agentur for Strafferetligt Samarbejde (Eurojust) var medforfatter til en rapport om brug af kunstig intelligens til støtte for grænseoverskridende samarbejde på det strafferetlige område;</w:t>
      </w:r>
    </w:p>
    <w:p w14:paraId="4210C830" w14:textId="77777777" w:rsidR="00D73E43" w:rsidRPr="002E3B56" w:rsidRDefault="00D73E43" w:rsidP="00D73E43">
      <w:pPr>
        <w:pStyle w:val="NormalHanging12a"/>
        <w:rPr>
          <w:szCs w:val="24"/>
        </w:rPr>
      </w:pPr>
      <w:r w:rsidRPr="002E3B56">
        <w:t>10.</w:t>
      </w:r>
      <w:r w:rsidRPr="002E3B56">
        <w:tab/>
        <w:t>bemærker agenturets samarbejde med andre EU-agenturer, navnlig med Det Europæiske Agentur for Grænse- og Kystbevogtning (Frontex) om udviklingen af ETIAS, med Den Europæiske Unions Agentur for Retshåndhævelsessamarbejde (Europol) om gennemførelsen af SIS-omarbejdningen, ind- og udrejsesystemet, ETIAS og interoperabilitetsforordningerne, med Eurojust om gennemførelsen af ECRIS-TCN og e-CODEX, interoperabilitetsforordningerne og koordineringen af aktiviteter i forbindelse med digitaliseringen af det retlige samarbejde, med Den Europæiske Unions Asylagentur (EUAA) om gennemførelsen af Kommissionens forordning om det elektroniske kommunikationsnet "DubliNet", med Den Europæiske Unions Agentur for Uddannelse inden for Retshåndhævelse (Cepol) om tilrettelæggelse af fælles uddannelseskurser om brugen af RIA-systemer og med Den Europæiske Unions Agentur for Grundlæggende Rettigheder om tilrettelæggelse af fælles uddannelseskurser, der fremhæver aspektet af grundlæggende rettigheder i forvaltningen af RIA-informationssystemer; tilskynder agenturet til at fortsætte sit samarbejde med andre EU-agenturer;</w:t>
      </w:r>
    </w:p>
    <w:p w14:paraId="18DCBC58" w14:textId="77777777" w:rsidR="00D73E43" w:rsidRPr="002E3B56" w:rsidRDefault="00D73E43" w:rsidP="00D73E43">
      <w:pPr>
        <w:pStyle w:val="Normal12Hanging"/>
        <w:shd w:val="clear" w:color="auto" w:fill="FFFFFF" w:themeFill="background1"/>
        <w:rPr>
          <w:b/>
          <w:i/>
          <w:szCs w:val="24"/>
          <w:lang w:val="da-DK"/>
        </w:rPr>
      </w:pPr>
      <w:r w:rsidRPr="002E3B56">
        <w:rPr>
          <w:b/>
          <w:i/>
          <w:lang w:val="da-DK"/>
        </w:rPr>
        <w:t>Effektivitet og gevinster</w:t>
      </w:r>
    </w:p>
    <w:p w14:paraId="67324CD0" w14:textId="77777777" w:rsidR="00D73E43" w:rsidRPr="002E3B56" w:rsidRDefault="00D73E43" w:rsidP="00D73E43">
      <w:pPr>
        <w:pStyle w:val="Normal12Hanging"/>
        <w:shd w:val="clear" w:color="auto" w:fill="FFFFFF" w:themeFill="background1"/>
        <w:rPr>
          <w:szCs w:val="24"/>
          <w:lang w:val="da-DK"/>
        </w:rPr>
      </w:pPr>
      <w:r w:rsidRPr="002E3B56">
        <w:rPr>
          <w:lang w:val="da-DK"/>
        </w:rPr>
        <w:t>11.</w:t>
      </w:r>
      <w:r w:rsidRPr="002E3B56">
        <w:rPr>
          <w:lang w:val="da-DK"/>
        </w:rPr>
        <w:tab/>
        <w:t>noterer sig de foranstaltninger, som agenturet har truffet for at forbedre sin energieffektivitet og miljøpræstation, herunder med hensyn til målene om klimaneutralitet, som beskrevet i agenturets opfølgningsrapport, agenturets konsoliderede årlige aktivitetsrapport, agenturets svar på Parlamentets skriftlige spørgsmål og Revisionsrettens beretning; bemærker i den forbindelse, at agenturet i 2022 begyndte gradvist at indføre sit eget miljøledelsessystem baseret på principperne i EMAS og Kommissionens handlingsplan for den europæiske grønne pagt og vedtog sin miljøpolitik; bemærker, at den fulde gennemførelse af miljøledelsessystemet og dermed EMAS-registreringen forventes opnået senest i 2024; glæder sig over agenturets deltagelse i netværket for den grønne omstilling under EU-agenturernes netværk (EUAN), som giver mulighed for at drage nytte af materialer fra andre agenturer, der har større erfaring med gennemførelse af EMAS; bemærker endvidere, at agenturet anvender kriterier for grønne offentlige indkøb inden for forretningsområder som forvaltning af faciliteter, hardwareprojekter samt IT-infrastruktur og -projekter; roser agenturet for at rapportere om sine miljøpræstationer gennem en central resultatindikator, der angiver agenturets CO</w:t>
      </w:r>
      <w:r w:rsidRPr="002E3B56">
        <w:rPr>
          <w:vertAlign w:val="subscript"/>
          <w:lang w:val="da-DK"/>
        </w:rPr>
        <w:t>2</w:t>
      </w:r>
      <w:r w:rsidRPr="002E3B56">
        <w:rPr>
          <w:lang w:val="da-DK"/>
        </w:rPr>
        <w:t>-aftryk; bemærker, at referencescenariet for måleindikatorer for vand, energi, papirforbrug og affaldsproduktion vil blive fastsat i 2023 med henblik på beregning og evaluering af sådanne indikatorer fremover;</w:t>
      </w:r>
    </w:p>
    <w:p w14:paraId="0FB9C765" w14:textId="77777777" w:rsidR="00D73E43" w:rsidRPr="002E3B56" w:rsidRDefault="00D73E43" w:rsidP="00D73E43">
      <w:pPr>
        <w:pStyle w:val="Normal12Hanging"/>
        <w:shd w:val="clear" w:color="auto" w:fill="FFFFFF" w:themeFill="background1"/>
        <w:rPr>
          <w:szCs w:val="24"/>
          <w:lang w:val="da-DK"/>
        </w:rPr>
      </w:pPr>
      <w:r w:rsidRPr="002E3B56">
        <w:rPr>
          <w:lang w:val="da-DK"/>
        </w:rPr>
        <w:t>12.</w:t>
      </w:r>
      <w:r w:rsidRPr="002E3B56">
        <w:rPr>
          <w:lang w:val="da-DK"/>
        </w:rPr>
        <w:tab/>
        <w:t>noterer sig, at agenturet ifølge dets skriftlige svar på Parlamentets horisontale spørgsmål har indgået serviceleveranceaftaler med flere andre EU-agenturer om at yde støtte med hensyn til forretningskontinuitet og øge effektiviteten på andre samarbejdsområder; bemærker i den forbindelse, at agenturet har serviceleveranceaftaler med Frontex og EUAA om at hoste deres katastrofeberedskabssites og en årlig serviceleveranceaftale med Europol om tilrettelæggelsen af møder i det fælles sikkerhedsudvalg for Europol og eu-LISA; opfordrer agenturet til at fortsætte sit samarbejde med andre EU-agenturer, så alle disponible ressourcer kan blive udnyttet; roser agenturet for dets samarbejde med Den Europæiske Unions Agentur for Cybersikkerhed (ENISA) gennem en serviceleveranceaftale, som omfatter støttetjenester, der tilbydes af ENISA, inden for planlægning, gennemførelse og evaluering af årlige cybersikkerhedsøvelser;</w:t>
      </w:r>
    </w:p>
    <w:p w14:paraId="65231C85" w14:textId="77777777" w:rsidR="00D73E43" w:rsidRPr="002E3B56" w:rsidRDefault="00D73E43" w:rsidP="00D73E43">
      <w:pPr>
        <w:pStyle w:val="Normal12Hanging"/>
        <w:shd w:val="clear" w:color="auto" w:fill="FFFFFF" w:themeFill="background1"/>
        <w:rPr>
          <w:szCs w:val="24"/>
          <w:lang w:val="da-DK"/>
        </w:rPr>
      </w:pPr>
      <w:r w:rsidRPr="002E3B56">
        <w:rPr>
          <w:lang w:val="da-DK"/>
        </w:rPr>
        <w:t>13.</w:t>
      </w:r>
      <w:r w:rsidRPr="002E3B56">
        <w:rPr>
          <w:lang w:val="da-DK"/>
        </w:rPr>
        <w:tab/>
        <w:t>bemærker, at agenturet i februar 2022 vedtog en rekrutteringsstrategi for at præcisere og harmonisere sin planlægning af menneskelige ressourcer (HR) med henblik på at optimere anvendelsen af ressourcer, navnlig for at skabe balance i den overordnede sammensætning af agenturets menneskelige ressourcer (dvs. det relative forhold mellem internt personale og eksterne tjenesteydere); bemærker endvidere, at agenturet opnåede effektivitetsgevinster ved at bruge eksisterende reservelister, der var oprettet i forbindelse med tidligere udvælgelsesprocedurer, samt grupperede profiler og længere reservelister med henblik på at dække flere stillinger inden for én ansættelsesprocedure;</w:t>
      </w:r>
    </w:p>
    <w:p w14:paraId="0F0A0850" w14:textId="77777777" w:rsidR="00D73E43" w:rsidRPr="002E3B56" w:rsidRDefault="00D73E43" w:rsidP="00D73E43">
      <w:pPr>
        <w:pStyle w:val="Normal12Hanging"/>
        <w:shd w:val="clear" w:color="auto" w:fill="FFFFFF" w:themeFill="background1"/>
        <w:rPr>
          <w:szCs w:val="24"/>
          <w:lang w:val="da-DK"/>
        </w:rPr>
      </w:pPr>
      <w:r w:rsidRPr="002E3B56">
        <w:rPr>
          <w:lang w:val="da-DK"/>
        </w:rPr>
        <w:t>14.</w:t>
      </w:r>
      <w:r w:rsidRPr="002E3B56">
        <w:rPr>
          <w:lang w:val="da-DK"/>
        </w:rPr>
        <w:tab/>
        <w:t>roser agenturet for de fremskridt, der blev gjort i 2022 hen imod digitalisering af dets processer; bemærker på HR-området, at agenturet indførte nye moduler i Sysper-systemet (Kommissionens integrerede informationssystem for HR-forvaltning), nemlig HR-rapporteringsmodulet og ATS-modulet; bemærker, at agenturet på udbudsområdet i 2022 begyndte at sætte sig ind i Kommissionens værktøj til forvaltning af offentlige udbud (PPMT) og dets krav med henblik på at opfylde forudsætningerne for onboarding, som blev afsluttet med succes i 2023; bemærker, at agenturet anvender eSubmission-modulet ved indkaldelser af tilbud på over 15 000 EUR; bemærker endvidere, at tilbudsgivernes fysiske underskrift ikke længere skal påføres efter indførelsen af dette modul; opfordrer agenturet til at optrappe sine bestræbelser på at få indført PPMT fuldt ud; bemærker endelig, at agenturet inden for forebyggelse og håndtering af interessekonflikter har digitaliseret indgivelsen af de obligatoriske erklæringer eller anmodninger om gennemførelse af de relevante regler;</w:t>
      </w:r>
    </w:p>
    <w:p w14:paraId="0EEDB16B" w14:textId="77777777" w:rsidR="00D73E43" w:rsidRPr="002E3B56" w:rsidRDefault="00D73E43" w:rsidP="00D73E43">
      <w:pPr>
        <w:pStyle w:val="Normal12Hanging"/>
        <w:shd w:val="clear" w:color="auto" w:fill="FFFFFF" w:themeFill="background1"/>
        <w:rPr>
          <w:szCs w:val="24"/>
          <w:lang w:val="da-DK"/>
        </w:rPr>
      </w:pPr>
      <w:r w:rsidRPr="002E3B56">
        <w:rPr>
          <w:b/>
          <w:i/>
          <w:lang w:val="da-DK"/>
        </w:rPr>
        <w:t>Personalepolitik</w:t>
      </w:r>
    </w:p>
    <w:p w14:paraId="4FBC0CDE" w14:textId="77777777" w:rsidR="00D73E43" w:rsidRPr="002E3B56" w:rsidRDefault="00D73E43" w:rsidP="00D73E43">
      <w:pPr>
        <w:pStyle w:val="Normal12Hanging"/>
        <w:shd w:val="clear" w:color="auto" w:fill="FFFFFF" w:themeFill="background1"/>
        <w:rPr>
          <w:szCs w:val="24"/>
          <w:lang w:val="da-DK"/>
        </w:rPr>
      </w:pPr>
      <w:r w:rsidRPr="002E3B56">
        <w:rPr>
          <w:lang w:val="da-DK"/>
        </w:rPr>
        <w:t>15.</w:t>
      </w:r>
      <w:r w:rsidRPr="002E3B56">
        <w:rPr>
          <w:lang w:val="da-DK"/>
        </w:rPr>
        <w:tab/>
        <w:t>bemærker, at gennemførelsesgraden for stillingsfortegnelsen pr. 31. december 2022 var på 89,3 % med 192 midlertidigt ansatte (193 i 2021) ud af de 215 midlertidigt ansatte, som var godkendt i henhold til Unionens budget (i forhold til 213 godkendte stillinger i 2021); bemærker, at der derudover arbejdede 121 kontraktansatte og 11 udstationerede nationale eksperter for agenturet i 2022, ud af 167 godkendte stillinger for kontraktansatte og 11 for udstationerede nationale eksperter; bemærker, at antallet af budgetterede stillinger for kontraktansatte steg med 35 fra 132 til 167 som følge af godkendelsen af budgettet for de nye opgaver, agenturet har fået betroet (revideret VIS, ETIAS og interoperabilitet); bemærker, at personaleudskiftningen på trods af agenturets indsats steg fra 5,5 % i 2021 til 7,1 % i 2022, og at besættelsesgraden faldt til 82 %, hvilket er lavere end agenturets mål på 94 %, navnlig på grund af et antal korttidsstillinger og stillinger i de lavere lønklasser, som agenturet er tvunget til at udbyde;</w:t>
      </w:r>
    </w:p>
    <w:p w14:paraId="7C4686EC" w14:textId="77777777" w:rsidR="00D73E43" w:rsidRPr="002E3B56" w:rsidRDefault="00D73E43" w:rsidP="00D73E43">
      <w:pPr>
        <w:pStyle w:val="NormalHanging12a"/>
      </w:pPr>
      <w:r w:rsidRPr="002E3B56">
        <w:t>16.</w:t>
      </w:r>
      <w:r w:rsidRPr="002E3B56">
        <w:tab/>
        <w:t>bemærker med bekymring kønssammensætningen blandt agenturets top</w:t>
      </w:r>
      <w:r w:rsidRPr="002E3B56">
        <w:noBreakHyphen/>
        <w:t xml:space="preserve"> og mellemledere med tolv mænd (86 %) og to kvinder (2 %), i bestyrelsen med 50 mænd (82 %) og 11 kvinder (18 %) og blandt personalet generelt med 209 mænd (67 %) og 101 kvinder (33 %); noterer sig, at agenturet ifølge dets opfølgningsrapport fortsætter indsatsen for at opnå gennemgående kønsbalance med fokus på kommunikationen og ansættelsesprocedurerne for at tiltrække et større antal kvindelige ansøgere; glæder sig over agenturets deltagelse i den globale onlinekarrieremesse "Women in Tech" i 2022; glæder sig endvidere over udnævnelsen af den nye administrerende direktør og dermed opnåelsen af en ligelig kønsfordeling i toplederstillingerne; minder om vigtigheden af at sikre kønsbalance og opfordrer agenturet til at fortsætte sine bestræbelser på at opnå kønsbalance på alle niveauer gennem konkrete foranstaltninger, der tiltrækker ansøgninger fra kvinder til stillinger udbudt af agenturet; anmoder Kommissionen og medlemsstaterne om at tage hensyn til vigtigheden af at sikre kønsbalance, når de indstiller deres medlemmer til agenturets bestyrelse;</w:t>
      </w:r>
    </w:p>
    <w:p w14:paraId="38B3099D" w14:textId="77777777" w:rsidR="00D73E43" w:rsidRPr="002E3B56" w:rsidRDefault="00D73E43" w:rsidP="00D73E43">
      <w:pPr>
        <w:pStyle w:val="Normal12Hanging"/>
        <w:shd w:val="clear" w:color="auto" w:fill="FFFFFF" w:themeFill="background1"/>
        <w:rPr>
          <w:szCs w:val="24"/>
          <w:lang w:val="da-DK"/>
        </w:rPr>
      </w:pPr>
      <w:r w:rsidRPr="002E3B56">
        <w:rPr>
          <w:lang w:val="da-DK"/>
        </w:rPr>
        <w:t>17.</w:t>
      </w:r>
      <w:r w:rsidRPr="002E3B56">
        <w:rPr>
          <w:lang w:val="da-DK"/>
        </w:rPr>
        <w:tab/>
        <w:t>roser agenturet for dets indsats på HR-området, idet det stræber efter at tiltrække en mangfoldig pulje af kandidater, at placere agenturet som en arbejdsgiver, folk vælger til, og at fastholde talentfulde medarbejdere; bemærker i den forbindelse, at agenturet i 2022 repræsenterede EUAN på den virtuelle karrieremesse for internationale organisationer og intensiverede sine arbejdsgiverbrandingaktiviteter gennem målrettede kampagner såsom anbefalinger fra medarbejderne på de sociale medier; roser agenturet for at iværksætte et pilotprogram for intern mobilitet, som har til formål at udnytte medarbejdernes eksisterende kompetencer og fremme løbende faglig vækst i agenturet for dets ansatte; bemærker i den forbindelse, at agenturet er begyndt at udvikle sin kompetencebaserede HR-forvaltningsstrategi og revidere sin kompetenceramme, hvilket vil få indvirkning på stillingsopslag og kandidatbedømmelser;</w:t>
      </w:r>
    </w:p>
    <w:p w14:paraId="4784ABDE" w14:textId="77777777" w:rsidR="00D73E43" w:rsidRPr="002E3B56" w:rsidRDefault="00D73E43" w:rsidP="00D73E43">
      <w:pPr>
        <w:pStyle w:val="NormalHanging12a"/>
        <w:shd w:val="clear" w:color="auto" w:fill="FFFFFF" w:themeFill="background1"/>
      </w:pPr>
      <w:r w:rsidRPr="002E3B56">
        <w:t>18.</w:t>
      </w:r>
      <w:r w:rsidRPr="002E3B56">
        <w:tab/>
        <w:t>roser agenturets politik om nultolerance over for chikane; noterer sig, at der i 2022 internt blev gennemført og afsluttet tre administrative undersøgelser vedrørende chikane, og at der yderligere blev indbragt en sag for domstolene; opfordrer agenturet til at handle hurtigt for at drage de ansvarlige for uacceptabel opførsel til ansvar; bemærker, at agenturet siden 2022 har indgået en kontrakt med et eksternt advokatfirma for hurtigt at kunne håndtere et voksende behov for administrative undersøgelser, herunder undersøgelser vedrørende seksuel eller psykisk chikane eller andre disciplinære spørgsmål; bemærker, at agenturet færdiggjorde udvælgelsen af de nye fortrolige rådgivere, og at der blev udvalgt fem nye rådgivere, som blev uddannet til at støtte organisationen i at fremme større respekt og værdighed på arbejdspladsen og støtte personale, der søger bistand i situationer, der opfattes som psykisk eller seksuel chikane;</w:t>
      </w:r>
    </w:p>
    <w:p w14:paraId="47C249B3" w14:textId="77777777" w:rsidR="00D73E43" w:rsidRPr="002E3B56" w:rsidRDefault="00D73E43" w:rsidP="00D73E43">
      <w:pPr>
        <w:pStyle w:val="NormalHanging12a"/>
        <w:shd w:val="clear" w:color="auto" w:fill="FFFFFF" w:themeFill="background1"/>
      </w:pPr>
      <w:r w:rsidRPr="002E3B56">
        <w:t>19.</w:t>
      </w:r>
      <w:r w:rsidRPr="002E3B56">
        <w:tab/>
        <w:t>bemærker agenturets foranstaltninger for at forbedre sine ansattes oplevelser og trivsel; bemærker, at der blev iværksat et program for mental sundhed for personalet og deres familier, som omfatter en selvpleje-abonnementstjeneste, webinarer og individuelle rådgivningsmøder; bemærker, at agenturet efter at være blevet indrømmet en undtagelse i forventning om en standardafgørelse ikke anvendte Kommissionens afgørelse af 24. marts 2022 om arbejdstid og hybridarbejde analogt; bemærker, at agenturet fra og med september 2022 anvendte en afgørelse fra den administrerende direktør om midlertidige hybride arbejdsordninger; bemærker endvidere, at agenturet den 16. november 2023 vedtog standardafgørelsen med ikrafttrædelsesdato den 1. januar 2024; bemærker endelig med tilfredshed, at agenturet har vedtaget EUAN's charter om mangfoldighed og inklusion;</w:t>
      </w:r>
    </w:p>
    <w:p w14:paraId="03924102" w14:textId="77777777" w:rsidR="00D73E43" w:rsidRPr="002E3B56" w:rsidRDefault="00D73E43" w:rsidP="00D73E43">
      <w:pPr>
        <w:pStyle w:val="Normal12Hanging"/>
        <w:shd w:val="clear" w:color="auto" w:fill="FFFFFF" w:themeFill="background1"/>
        <w:rPr>
          <w:b/>
          <w:i/>
          <w:szCs w:val="24"/>
          <w:lang w:val="da-DK"/>
        </w:rPr>
      </w:pPr>
      <w:r w:rsidRPr="002E3B56">
        <w:rPr>
          <w:b/>
          <w:i/>
          <w:lang w:val="da-DK"/>
        </w:rPr>
        <w:t>Udbud</w:t>
      </w:r>
    </w:p>
    <w:p w14:paraId="1CD48933" w14:textId="77777777" w:rsidR="00D73E43" w:rsidRPr="002E3B56" w:rsidRDefault="00D73E43" w:rsidP="00D73E43">
      <w:pPr>
        <w:pStyle w:val="NormalHanging12a"/>
      </w:pPr>
      <w:r w:rsidRPr="002E3B56">
        <w:t>20.</w:t>
      </w:r>
      <w:r w:rsidRPr="002E3B56">
        <w:tab/>
        <w:t>fremhæver de bemærkninger i Revisionsrettens beretning, som førte til en erklæring med forbehold, fordi en række betalinger foretaget i 2022 på i alt 17,8 mio. EUR i forbindelse med syv specifikke kontrakter var regelstridige, hvilket svarer til 4,8 % af de samlede betalingsbevillinger, der var til rådighed i 2022; bemærker, at disse betalingers uregelmæssighed hovedsagelig skyldes afvigelser fra de tilhørende rammeaftaler; bemærker, at uregelmæssighederne med hensyn til betalinger foretaget i 2022 ifølge agenturets svar på Parlamentets skriftlige spørgmål kan inddeles i tre kategorier, nemlig ændring af tidsbegrænsede kontrakter (6,5 mio. EUR), forlængelse af specifikke kontrakter ud over den maksimalt tilladte periode (3,7 mio. EUR) og manglende detaljer om kravene i specifikke kontrakter (7,5 mio. EUR); bemærker, at nogle af disse regelstridige betalinger på i alt 10,5 mio. EUR vedrører tre specifikke kontrakter, på grundlag af hvilke der også blev foretaget betalinger i 2021, og som Revisionsretten i sin årsberetning om EU-agenturerne for det pågældende år fastslog var regelstridige; bemærker, at seks af de syv specifikke kontrakter, der blev peget på i Revisionsrettens beretning, er udløbet uden udestående betalinger ifølge udsagnene fra agenturets administrerende direktør under hendes møde med Parlamentets Budgetudvalg den 29. november 2023 ("den administrerende direktørs udsagn"); fremhæver, at dette har været et tilbagevendende problem for agenturet; noterer sig de foranstaltninger, som agenturet har truffet for at imødegå det, som beskrevet i agenturets svar på Revisionsrettens bemærkninger; opfordrer agenturet til fortsat at imødegå dette problem fuldt ud og rapportere tilbage til dechargemyndigheden om de opnåede fremskridt;</w:t>
      </w:r>
    </w:p>
    <w:p w14:paraId="20A02818" w14:textId="77777777" w:rsidR="00D73E43" w:rsidRPr="002E3B56" w:rsidRDefault="00D73E43" w:rsidP="00D73E43">
      <w:pPr>
        <w:pStyle w:val="Normal12Hanging"/>
        <w:shd w:val="clear" w:color="auto" w:fill="FFFFFF" w:themeFill="background1"/>
        <w:rPr>
          <w:szCs w:val="24"/>
          <w:lang w:val="da-DK"/>
        </w:rPr>
      </w:pPr>
      <w:r w:rsidRPr="002E3B56">
        <w:rPr>
          <w:lang w:val="da-DK"/>
        </w:rPr>
        <w:t>21.</w:t>
      </w:r>
      <w:r w:rsidRPr="002E3B56">
        <w:rPr>
          <w:lang w:val="da-DK"/>
        </w:rPr>
        <w:tab/>
        <w:t>bemærker med alvorlig bekymring, at 2022 var det tredje år i træk, for hvilket Revisionsretten afgav en erklæring med forbehold vedrørende agenturets udbud og kontraktforvaltning, idet agenturet havde afholdt høje omkostninger på grund af uregelmæssigheder, forsinkede og utilstrækkelige udbudsprocedurer og udvist manglende omhu med hensyn til overholdelse af udbudsreglerne; noterer sig agenturets handlingsplan for en dybdegående gennemgang af dets processer med henblik på at indkredse og fjerne de grundlæggende årsager til Revisionsrettens tilbagevendende bemærkninger på dette område som beskrevet i agenturets svar på Parlamentets skriftlige spørgsmål, i agenturets opfølgningsrapport og i den administrerende direktørs udsagn; forventer derfor en varig forbedring som følge af gennemførelsen af denne handlingsplan, navnlig i betragtning af at seks af de syv specifikke kontrakter, som Revisionsretten anså for regelstridige, er udløbet uden udestående betalinger; opfordrer agenturet til med jævne mellemrum at underrette dechargemyndigheden om de fremskridt, der opnås med gennemførelsen af handlingsplanen, og eventuelle korrigerende foranstaltninger der træffes;</w:t>
      </w:r>
    </w:p>
    <w:p w14:paraId="3B2EEDE5" w14:textId="77777777" w:rsidR="00D73E43" w:rsidRPr="002E3B56" w:rsidRDefault="00D73E43" w:rsidP="00D73E43">
      <w:pPr>
        <w:pStyle w:val="Normal12Hanging"/>
        <w:shd w:val="clear" w:color="auto" w:fill="FFFFFF" w:themeFill="background1"/>
        <w:rPr>
          <w:szCs w:val="24"/>
          <w:lang w:val="da-DK"/>
        </w:rPr>
      </w:pPr>
      <w:r w:rsidRPr="002E3B56">
        <w:rPr>
          <w:lang w:val="da-DK"/>
        </w:rPr>
        <w:t>22.</w:t>
      </w:r>
      <w:r w:rsidRPr="002E3B56">
        <w:rPr>
          <w:lang w:val="da-DK"/>
        </w:rPr>
        <w:tab/>
        <w:t>fremhæver, at agenturet ifølge Revisionsrettens beretning i 2022 ligesom i 2021 foretog betalinger på grundlag af en specifik kontrakt (til et beløb på 40 mio. EUR), som ikke på korrekt vis gennemførte den tilhørende rammeaftale, fordi den ikke specificerede detaljerne om de erhvervede tjenesteydelser (mængderne og leveringsdatoen); bemærker, at agenturet betalte 7,5 mio. EUR i henhold til denne kontrakt i 2022; anerkender på baggrund af agenturets bemærkninger, som er medtaget i notatet af 13. november 2023 med titlen "2022 Discharge - ECA findings on eu-LISA. Brief note for MEPs", at den bagvedliggende årsag til den tidsubestemte karakter af denne kontrakt, som blev underskrevet i slutningen af 2018, var behovet for at fastholde midlerne til EES-VIS-interoperabilitet, hvortil budgetplanlægningen, som lå uden for agenturets kontrol, ændredes betydeligt fra det øjeblik, hvor den relevante lovgivning faktisk blev vedtaget; bemærker, at uden denne kontrakt ville det tilhørende beløb, der var nødvendigt for at sikre interoperabilitet, være gået tabt; noterer sig de korrigerende foranstaltninger som anført i agenturets svar på Revisionsrettens bemærkning, som agenturet har truffet via en ændring af kontrakten, hvorved der blev tilføjet en mere detaljeret beskrivelse af de leverede tjenester; bemærker, at agenturet ikke forlængede denne kontrakt, som udløb i 2022; minder i den forbindelse om, at forsinkelser med vedtagelsen og gennemførelsen af relevante retsakter er vigtige faktorer, som er afgørende for, hvilken detaljeringsgrad og nøjagtighed agenturet kan komme med, når det i første omgang udarbejder rammeaftaler; noterer sig det synspunkt, der fremsættes i agenturets opfølgningsrapport, at en afkortning af det tidsrum, det tager at udarbejde gennemførelsesretsakterne, ville have en direkte indvirkning på agenturets mulighed for at planlægge sine udbud bedre og begrænse kontraktændringer;</w:t>
      </w:r>
    </w:p>
    <w:p w14:paraId="1269477B" w14:textId="77777777" w:rsidR="00D73E43" w:rsidRPr="002E3B56" w:rsidRDefault="00D73E43" w:rsidP="00D73E43">
      <w:pPr>
        <w:pStyle w:val="NormalHanging12a"/>
      </w:pPr>
      <w:r w:rsidRPr="002E3B56">
        <w:t>23.</w:t>
      </w:r>
      <w:r w:rsidRPr="002E3B56">
        <w:tab/>
        <w:t>bemærker med bekymring, at agenturet ifølge Revisionsrettens beretning anvendte et udbud med forhandling til at tildele en kontrakt uden forudgående offentliggørelse af en udbudsbekendtgørelse; bemærker, at agenturet, selv om dets egen indkøbstjeneste og juridiske tjeneste frarådede det, begrundede denne beslutning med, at kontraktens indgåelse var yderst påtrængende; noterer sig Revisionsrettens begrundelser for, at anvendelsen af denne procedure ikke var berettiget; noterer sig ikke desto mindre agenturets svar om, at der ville være opstået en risiko for et vedligeholdelsesefterslæb på adskillige måneder, fordi fristerne for gennemførelsen af EES-programmet først formelt blev ændret på et senere tidspunkt, og den samlede tid, der var nødvendig til tildeling af kontrakten og overgangen til en ny kontrahent, blev anslået til mindst otte måneder; mener på den baggrund, at agenturets tilgang var fornuftig; noterer sig, at den tildelte kontrakt ifølge agenturets svar er udløbet i mellemtiden;</w:t>
      </w:r>
    </w:p>
    <w:p w14:paraId="6BE7F2A0" w14:textId="77777777" w:rsidR="00D73E43" w:rsidRPr="002E3B56" w:rsidRDefault="00D73E43" w:rsidP="00D73E43">
      <w:pPr>
        <w:pStyle w:val="Normal12Hanging"/>
        <w:rPr>
          <w:szCs w:val="24"/>
          <w:lang w:val="da-DK"/>
        </w:rPr>
      </w:pPr>
      <w:r w:rsidRPr="002E3B56">
        <w:rPr>
          <w:lang w:val="da-DK"/>
        </w:rPr>
        <w:t>24.</w:t>
      </w:r>
      <w:r w:rsidRPr="002E3B56">
        <w:rPr>
          <w:lang w:val="da-DK"/>
        </w:rPr>
        <w:tab/>
        <w:t>noterer sig yderligere to bemærkninger i Revisionsrettens beretning vedrørende agenturets forvaltnings- og kontrolsystemer; noterer sig den første bemærkning vedrørende indkøb af hardware (27,7 mio. EUR) om, at eu-LISA ikke havde fået hardwareleverandørernes prislister og ikke havde foretaget forudgående kontrol; noterer sig den anden bemærkning vedrørende indgåelsen af en rammeaftale om tværgående operationer til en anslået værdi af 490 mio. EUR om, at der i forbindelse med seks møder i evalueringsudvalget ikke var taget mødereferater, og at kun den endelige rapport var blevet underskrevet; opfordrer agenturet til at forbedre sine interne kontrolsystemer for at undgå sådanne mangler fremover;</w:t>
      </w:r>
    </w:p>
    <w:p w14:paraId="3C53E620" w14:textId="77777777" w:rsidR="00D73E43" w:rsidRPr="002E3B56" w:rsidRDefault="00D73E43" w:rsidP="00D73E43">
      <w:pPr>
        <w:pStyle w:val="Normal12Hanging"/>
        <w:rPr>
          <w:szCs w:val="24"/>
          <w:lang w:val="da-DK"/>
        </w:rPr>
      </w:pPr>
      <w:r w:rsidRPr="002E3B56">
        <w:rPr>
          <w:lang w:val="da-DK"/>
        </w:rPr>
        <w:t>25.</w:t>
      </w:r>
      <w:r w:rsidRPr="002E3B56">
        <w:rPr>
          <w:lang w:val="da-DK"/>
        </w:rPr>
        <w:tab/>
        <w:t>noterer sig, at agenturet har otte bemærkninger fra Revisionsrettens beretninger fra tidligere år (2017, 2018 og 2021) med status som "udestående"; opfordrer indtrængende agenturet til snarest muligt at afslutte disse bemærkninger og aflægge rapport til dechargemyndigheden om de fremskridt, der er gjort i den henseende;</w:t>
      </w:r>
    </w:p>
    <w:p w14:paraId="79B03928" w14:textId="77777777" w:rsidR="00D73E43" w:rsidRPr="002E3B56" w:rsidRDefault="00D73E43" w:rsidP="00D73E43">
      <w:pPr>
        <w:pStyle w:val="Normal12Hanging"/>
        <w:rPr>
          <w:b/>
          <w:i/>
          <w:szCs w:val="24"/>
          <w:lang w:val="da-DK"/>
        </w:rPr>
      </w:pPr>
      <w:r w:rsidRPr="002E3B56">
        <w:rPr>
          <w:b/>
          <w:i/>
          <w:lang w:val="da-DK"/>
        </w:rPr>
        <w:t>Forebyggelse og håndtering af interessekonflikter samt gennemsigtighed</w:t>
      </w:r>
    </w:p>
    <w:p w14:paraId="788DA412" w14:textId="77777777" w:rsidR="00D73E43" w:rsidRPr="002E3B56" w:rsidRDefault="00D73E43" w:rsidP="00D73E43">
      <w:pPr>
        <w:pStyle w:val="NormalHanging12a"/>
        <w:shd w:val="clear" w:color="auto" w:fill="FFFFFF" w:themeFill="background1"/>
        <w:rPr>
          <w:rFonts w:cstheme="minorHAnsi"/>
        </w:rPr>
      </w:pPr>
      <w:r w:rsidRPr="002E3B56">
        <w:t>26.</w:t>
      </w:r>
      <w:r w:rsidRPr="002E3B56">
        <w:tab/>
        <w:t>bemærker, at agenturet har gennemført afgørelser om forebyggelse og håndtering af interessekonflikter hos sit personale og om eksterne aktiviteter under og efter tjeneste i agenturet; glæder sig over, at alle medarbejdere skal indgive interesseerklæringer hvert andet år med undtagelse af medarbejdere, der er involveret i finansielle kredsløb, og medarbejdere i toplederstillinger, der skal indgive sådanne erklæringer hvert år; bemærker endvidere, at alle agenturets medarbejdere er forpligtet til også at indgive sådanne erklæringer på et hvilket som helst tidspunkt, når situationen ændrer sig; bemærker, at agenturet offentliggør interesseerklæringer og CV'er for medarbejdere i toplederstillinger på sit websted; glæder sig over, at der fra og med 2022 er offentliggjort både interesseerklæringer og CV'er for bestyrelsesmedlemmerne og deres suppleanter;</w:t>
      </w:r>
    </w:p>
    <w:p w14:paraId="6CDC4025" w14:textId="77777777" w:rsidR="00D73E43" w:rsidRPr="002E3B56" w:rsidRDefault="00D73E43" w:rsidP="00D73E43">
      <w:pPr>
        <w:pStyle w:val="NormalHanging12a"/>
      </w:pPr>
      <w:r w:rsidRPr="002E3B56">
        <w:t>27.</w:t>
      </w:r>
      <w:r w:rsidRPr="002E3B56">
        <w:tab/>
        <w:t>glæder sig over, at agenturet i marts 2022 vedtog de reviderede retningslinjer om whistleblowing; noterer sig agenturets udsagn om, at det i 2022 øgede klarheden og synligheden af de særskilte kommunikationskanaler, der er til rådighed for personalet, såsom fortrolige rådgivere eller til whistleblowing; glæder sig endvidere over vedtagelsen af retningslinjerne for aktindsigt; glæder sig over ikrafttrædelsen fra og med september 2022 af agenturets afgørelse 09/08/2022 om oprettelse af et åbenhedsregister, hvorved møder mellem agenturets topledelse og økonomiske aktører bliver offentliggjort på dets websted;</w:t>
      </w:r>
    </w:p>
    <w:p w14:paraId="5895C426" w14:textId="77777777" w:rsidR="00D73E43" w:rsidRPr="002E3B56" w:rsidRDefault="00D73E43" w:rsidP="00D73E43">
      <w:pPr>
        <w:pStyle w:val="Normal12Hanging"/>
        <w:shd w:val="clear" w:color="auto" w:fill="FFFFFF" w:themeFill="background1"/>
        <w:rPr>
          <w:b/>
          <w:i/>
          <w:szCs w:val="24"/>
          <w:lang w:val="da-DK"/>
        </w:rPr>
      </w:pPr>
      <w:r w:rsidRPr="002E3B56">
        <w:rPr>
          <w:b/>
          <w:i/>
          <w:lang w:val="da-DK"/>
        </w:rPr>
        <w:t>Intern kontrol</w:t>
      </w:r>
    </w:p>
    <w:p w14:paraId="0492D7A0" w14:textId="77777777" w:rsidR="00D73E43" w:rsidRPr="002E3B56" w:rsidRDefault="00D73E43" w:rsidP="00D73E43">
      <w:pPr>
        <w:pStyle w:val="Normal12Hanging"/>
        <w:shd w:val="clear" w:color="auto" w:fill="FFFFFF" w:themeFill="background1"/>
        <w:rPr>
          <w:szCs w:val="24"/>
          <w:lang w:val="da-DK"/>
        </w:rPr>
      </w:pPr>
      <w:r w:rsidRPr="002E3B56">
        <w:rPr>
          <w:lang w:val="da-DK"/>
        </w:rPr>
        <w:t>28.</w:t>
      </w:r>
      <w:r w:rsidRPr="002E3B56">
        <w:rPr>
          <w:lang w:val="da-DK"/>
        </w:rPr>
        <w:tab/>
        <w:t>erkender vigtigheden af eksterne revisioner af overholdelsen af databeskyttelsesreglerne for at sikre et højt niveau af beskyttelse i forbindelse med agenturets behandling af personoplysninger; bemærker, at agenturet i 2022 løbende fulgte op på gennemførelsen af de henstillinger, der blev identificeret i de revisioner, som Den Europæiske Tilsynsførende for Databeskyttelse (EDPS) foretog af SIS, VIS og Eurodac; bemærker, at der i 2022 blev foretaget en ny EDPS-inspektion af Eurodac, VIS og SIS II, som havde fokus på den overordnede forvaltning af IT-sikkerhed, sikkerhedshændelser og brud på datasikkerheden samt metodologi og praksis for sikker udvikling og afprøvning af systemerne, med fokus på forvaltningen af adgangskontrol i de forskellige miljøer; noterer sig, at status for EDPS-revisionen af VIS og SIS i 2018 ifølge agenturets opfølgningsrapport er "afsluttet", eftersom alle 43 henstillinger er afsluttet, mens status for EDPS-revisionen af Eurodac i 2019 er "delvist gennemført", idet 23 ud af 29 henstillinger er afsluttet;</w:t>
      </w:r>
    </w:p>
    <w:p w14:paraId="1066C53B" w14:textId="77777777" w:rsidR="00D73E43" w:rsidRPr="002E3B56" w:rsidRDefault="00D73E43" w:rsidP="00D73E43">
      <w:pPr>
        <w:pStyle w:val="Normal12Hanging"/>
        <w:shd w:val="clear" w:color="auto" w:fill="FFFFFF" w:themeFill="background1"/>
        <w:rPr>
          <w:szCs w:val="24"/>
          <w:lang w:val="da-DK"/>
        </w:rPr>
      </w:pPr>
      <w:r w:rsidRPr="002E3B56">
        <w:rPr>
          <w:lang w:val="da-DK"/>
        </w:rPr>
        <w:t>29.</w:t>
      </w:r>
      <w:r w:rsidRPr="002E3B56">
        <w:rPr>
          <w:lang w:val="da-DK"/>
        </w:rPr>
        <w:tab/>
        <w:t>ser med tilfredshed på agenturets årlige selvevaluering af dets interne kontrolsystem, som i 2022 kom frem til det resultat, at 81 % af agenturets kriterier for intern kontrolovervågning blev opfyldt eller delvist opfyldt; bemærker, at konklusionen på denne vurdering er, at det interne kontrolsystem er til stede, fungerer og er effektivt, omend der er behov for visse forbedringer med hensyn til bl.a. håndhævelse af ansvarlighed, forudgående kontrol og kontraktforvaltning; bemærker, at der for tredje år i træk er en væsentlig mangel for så vidt angår princip 10 "Vælger og udvikler kontrolaktiviteter" under komponenten "Kontrolaktiviteter"; bemærker, at agenturet i 2022 fortsatte med at styrke sin kontrol af informationsstyring med revisionen af agenturets politik for langvarig opbevaring og dokumentopbevaringsprocedurer og med vedtagelsen af retningslinjer for aktindsigt; opfordrer agenturet til at fortsætte sine bestræbelser på at mindske svaghederne inden for kontrolaktiviteter med henblik på at afbøde risici i forbindelse med opfyldelsen af politikker, operationelle og interne kontrolmål;</w:t>
      </w:r>
    </w:p>
    <w:p w14:paraId="51A93370" w14:textId="77777777" w:rsidR="00D73E43" w:rsidRPr="002E3B56" w:rsidRDefault="00D73E43" w:rsidP="00D73E43">
      <w:pPr>
        <w:pStyle w:val="Normal12Hanging"/>
        <w:shd w:val="clear" w:color="auto" w:fill="FFFFFF" w:themeFill="background1"/>
        <w:rPr>
          <w:szCs w:val="24"/>
          <w:lang w:val="da-DK"/>
        </w:rPr>
      </w:pPr>
      <w:r w:rsidRPr="002E3B56">
        <w:rPr>
          <w:lang w:val="da-DK"/>
        </w:rPr>
        <w:t>30.</w:t>
      </w:r>
      <w:r w:rsidRPr="002E3B56">
        <w:rPr>
          <w:lang w:val="da-DK"/>
        </w:rPr>
        <w:tab/>
        <w:t>bemærker, at gennemførelsesgraden for revisionsanbefalinger fra forskellige revisions- og undersøgelsesorganer ved udgangen af 2022 var på 63 %, idet 20 ud af 32 anbefalinger var blevet gennemført (12 anbefalinger havde overskredet tidsfristen); bemærker, at der i alt var 33 åbne anbefalinger ved udgangen af 2022, hvoraf tre var "kritiske"; opfordrer agenturet til at gennemføre de udestående anbefalinger og aflægge rapport til dechargemyndigheden om de fremskridt, der gøres;</w:t>
      </w:r>
    </w:p>
    <w:p w14:paraId="632722B5" w14:textId="77777777" w:rsidR="00D73E43" w:rsidRPr="002E3B56" w:rsidRDefault="00D73E43" w:rsidP="00D73E43">
      <w:pPr>
        <w:pStyle w:val="NormalHanging12a"/>
        <w:shd w:val="clear" w:color="auto" w:fill="FFFFFF" w:themeFill="background1"/>
        <w:rPr>
          <w:szCs w:val="24"/>
        </w:rPr>
      </w:pPr>
      <w:r w:rsidRPr="002E3B56">
        <w:t>31.</w:t>
      </w:r>
      <w:r w:rsidRPr="002E3B56">
        <w:tab/>
        <w:t>bemærker, at agenturet i 2022 anmodede Det Europæiske Kontor for Bekæmpelse af Svig (OLAF) om at vurdere to tilfælde af påstået svig i forbindelse med ansættelsesprocedurer og et tilfælde af mulige svigagtige aktiviteter foretaget af en medarbejder; bemærker, at OLAF som svar på alle tre anmodninger besluttede ikke at indlede en undersøgelse; bemærker, at agenturet i 2022 adresserede henstillinger fra OLAF's undersøgelser vedrørende sag OC/2020/0441/A2 og sag OC/2017/1121/A2; glæder sig over vedtagelsen af agenturets strategi for bekæmpelse af svig 2022-2024 sammen med en handlingsplan, der omfatter 12 foranstaltninger;</w:t>
      </w:r>
    </w:p>
    <w:p w14:paraId="6F6B5D7B" w14:textId="77777777" w:rsidR="00D73E43" w:rsidRPr="002E3B56" w:rsidRDefault="00D73E43" w:rsidP="00D73E43">
      <w:pPr>
        <w:pStyle w:val="Normal12Hanging"/>
        <w:shd w:val="clear" w:color="auto" w:fill="FFFFFF" w:themeFill="background1"/>
        <w:rPr>
          <w:b/>
          <w:i/>
          <w:szCs w:val="24"/>
          <w:lang w:val="da-DK"/>
        </w:rPr>
      </w:pPr>
      <w:r w:rsidRPr="002E3B56">
        <w:rPr>
          <w:b/>
          <w:i/>
          <w:lang w:val="da-DK"/>
        </w:rPr>
        <w:t>Øvrige bemærkninger</w:t>
      </w:r>
    </w:p>
    <w:p w14:paraId="04EE2ED3" w14:textId="77777777" w:rsidR="00D73E43" w:rsidRPr="002E3B56" w:rsidRDefault="00D73E43" w:rsidP="00D73E43">
      <w:pPr>
        <w:pStyle w:val="NormalHanging12a"/>
        <w:shd w:val="clear" w:color="auto" w:fill="FFFFFF" w:themeFill="background1"/>
        <w:rPr>
          <w:szCs w:val="24"/>
        </w:rPr>
      </w:pPr>
      <w:r w:rsidRPr="002E3B56">
        <w:t>32.</w:t>
      </w:r>
      <w:r w:rsidRPr="002E3B56">
        <w:tab/>
        <w:t>bemærker, at agenturet i 2022 fokuserede på at sikre synligheden af agenturets resultater og øge offentlighedens kendskab til dets rolle med hensyn til at tjene EU-borgernes interesser og levere IT-tjenester til sine interessenter; roser i den forbindelse agenturet for færdiggørelsen af dets nye onlineportal "Discover eu-LISA 2.0", som giver interessenterne et opdateret overblik over agenturets kerneopgaver og forretningsområder, og for offentliggørelsen af en særlig brochure i anledning af dets 10-års jubilæum, som blev markeret ved afholdelsen i samarbejde med det tjekkiske rådsformandskab af agenturets konference "10 år som Schengenområdets digitale centrum", hvor der var 20 talere og 388 deltagere; roser agenturet for at have modtaget Forbes Social Award i 2022 for sine innovative og inspirerende initiativer inden for offentlig kommunikation, idet det har skilt sig ud med sit stærke etiske engagement og sin anvendelse af innovative kommunikationsstrategier, ‑teknikker og -værktøjer; noterer sig forbedringen af agenturets målinger på sociale medier i 2022;</w:t>
      </w:r>
    </w:p>
    <w:p w14:paraId="408700EF" w14:textId="77777777" w:rsidR="00D73E43" w:rsidRPr="002E3B56" w:rsidRDefault="00D73E43" w:rsidP="00D73E43">
      <w:pPr>
        <w:pStyle w:val="NormalHanging12a"/>
        <w:shd w:val="clear" w:color="auto" w:fill="FFFFFF" w:themeFill="background1"/>
        <w:rPr>
          <w:szCs w:val="24"/>
        </w:rPr>
      </w:pPr>
      <w:r w:rsidRPr="002E3B56">
        <w:t>33.</w:t>
      </w:r>
      <w:r w:rsidRPr="002E3B56">
        <w:tab/>
        <w:t>bemærker, at agenturet i 2022 vedtog et stort antal sikkerheds- og virksomhedskontinuitetsplaner for sine kernevirksomhedssystemer med henblik på at sikre et højere niveau af cybersikkerhed og modstandsdygtighed som krævet i henhold til de retlige instrumenter, og organiserede en cybersikkerhedsøvelse for at kontrollere effektiviteten af de sikkerhedsforanstaltninger, der er gennemført for at beskytte det centrale SIS; bemærker, at agenturet i væsentlig grad øgede graden af overvågning af de interne IT-systemer, der er forbundet til internettet, på grund af det øgede cybertrusselsniveau som følge af Ruslands ulovlige angrebskrig mod Ukraine;</w:t>
      </w:r>
    </w:p>
    <w:p w14:paraId="163BB814" w14:textId="77777777" w:rsidR="00D73E43" w:rsidRPr="002E3B56" w:rsidRDefault="00D73E43" w:rsidP="00D73E43">
      <w:pPr>
        <w:pStyle w:val="NormalHanging12a"/>
        <w:ind w:left="560" w:hanging="560"/>
      </w:pPr>
      <w:r w:rsidRPr="002E3B56">
        <w:t>34.</w:t>
      </w:r>
      <w:r w:rsidRPr="002E3B56">
        <w:tab/>
        <w:t>bemærker den fortsatte levering af hostingtjenester til Frontex' og EUAA's backupsystemer; bemærker udviklingen og indførelsen af "data-centre-as-a-service" til centralisering af den operationelle forvaltning, overvågning og kapacitetsplanlægning af den IT-infrastruktur, der anvendes af RIA-systemerne; glæder sig over de fremskridt, der er gjort med forberedelserne til det fremtidige modulopbyggede datacenter, som vil tilvejebringe yderligere bufferkapacitet og en kapacitetsforøgelse på 50 % til hosting af nye RIA-systemer; minder om vigtigheden af at overholde EU-retten, navnlig med hensyn til databeskyttelse;</w:t>
      </w:r>
    </w:p>
    <w:p w14:paraId="0C119649" w14:textId="77777777" w:rsidR="00D73E43" w:rsidRPr="002E3B56" w:rsidRDefault="00D73E43" w:rsidP="00D73E43">
      <w:pPr>
        <w:pStyle w:val="NormalCenter12a"/>
        <w:shd w:val="clear" w:color="auto" w:fill="FFFFFF" w:themeFill="background1"/>
      </w:pPr>
      <w:r w:rsidRPr="002E3B56">
        <w:t>°</w:t>
      </w:r>
    </w:p>
    <w:p w14:paraId="19BF18C8" w14:textId="77777777" w:rsidR="00D73E43" w:rsidRPr="002E3B56" w:rsidRDefault="00D73E43" w:rsidP="00D73E43">
      <w:pPr>
        <w:pStyle w:val="NormalCenter12a"/>
        <w:shd w:val="clear" w:color="auto" w:fill="FFFFFF" w:themeFill="background1"/>
      </w:pPr>
      <w:r w:rsidRPr="002E3B56">
        <w:t>°</w:t>
      </w:r>
      <w:r w:rsidRPr="002E3B56">
        <w:tab/>
        <w:t>°</w:t>
      </w:r>
    </w:p>
    <w:p w14:paraId="53267537" w14:textId="24E66A46" w:rsidR="00D73E43" w:rsidRPr="002E3B56" w:rsidRDefault="00D73E43" w:rsidP="00D73E43">
      <w:pPr>
        <w:pStyle w:val="NormalHanging12a"/>
        <w:shd w:val="clear" w:color="auto" w:fill="FFFFFF" w:themeFill="background1"/>
      </w:pPr>
      <w:r w:rsidRPr="002E3B56">
        <w:t>35.</w:t>
      </w:r>
      <w:r w:rsidRPr="002E3B56">
        <w:tab/>
        <w:t xml:space="preserve">henviser med hensyn til de øvrige bemærkninger, der ledsager dechargeafgørelsen, og som er af horisontal karakter, til sin beslutning af </w:t>
      </w:r>
      <w:r w:rsidR="00B121A9" w:rsidRPr="002E3B56">
        <w:t xml:space="preserve">11. april </w:t>
      </w:r>
      <w:r w:rsidRPr="002E3B56">
        <w:t>2024</w:t>
      </w:r>
      <w:r w:rsidRPr="002E3B56">
        <w:rPr>
          <w:rStyle w:val="FootnoteReference"/>
        </w:rPr>
        <w:footnoteReference w:id="12"/>
      </w:r>
      <w:r w:rsidRPr="002E3B56">
        <w:t xml:space="preserve"> </w:t>
      </w:r>
      <w:bookmarkStart w:id="14" w:name="_GoBack"/>
      <w:bookmarkEnd w:id="14"/>
      <w:r w:rsidRPr="002E3B56">
        <w:t>om agenturernes resultater, økonomiske forvaltning og kontrol.</w:t>
      </w:r>
    </w:p>
    <w:p w14:paraId="056BA08A" w14:textId="77777777" w:rsidR="00E365E1" w:rsidRPr="002E3B56" w:rsidRDefault="00E365E1" w:rsidP="006D6C3C">
      <w:bookmarkStart w:id="15" w:name="TextBodyEnd"/>
      <w:bookmarkEnd w:id="15"/>
    </w:p>
    <w:sectPr w:rsidR="00E365E1" w:rsidRPr="002E3B56" w:rsidSect="00125B9D">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E73741" w14:textId="77777777" w:rsidR="006D6C3C" w:rsidRPr="00125B9D" w:rsidRDefault="006D6C3C">
      <w:r w:rsidRPr="00125B9D">
        <w:separator/>
      </w:r>
    </w:p>
  </w:endnote>
  <w:endnote w:type="continuationSeparator" w:id="0">
    <w:p w14:paraId="6BEEEDDD" w14:textId="77777777" w:rsidR="006D6C3C" w:rsidRPr="00125B9D" w:rsidRDefault="006D6C3C">
      <w:r w:rsidRPr="00125B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BCA81" w14:textId="77777777" w:rsidR="00D73E43" w:rsidRPr="00125B9D" w:rsidRDefault="00D73E43" w:rsidP="009D4847">
    <w:pPr>
      <w:pStyle w:val="EPFooter"/>
    </w:pPr>
    <w:r w:rsidRPr="00125B9D">
      <w:t>PE</w:t>
    </w:r>
    <w:r w:rsidRPr="00125B9D">
      <w:rPr>
        <w:rStyle w:val="HideTWBExt"/>
      </w:rPr>
      <w:t>&lt;NoPE&gt;</w:t>
    </w:r>
    <w:r w:rsidRPr="00125B9D">
      <w:t>753.534</w:t>
    </w:r>
    <w:r w:rsidRPr="00125B9D">
      <w:rPr>
        <w:rStyle w:val="HideTWBExt"/>
      </w:rPr>
      <w:t>&lt;/NoPE&gt;&lt;Version&gt;</w:t>
    </w:r>
    <w:r w:rsidRPr="00125B9D">
      <w:t>v02-00</w:t>
    </w:r>
    <w:r w:rsidRPr="00125B9D">
      <w:rPr>
        <w:rStyle w:val="HideTWBExt"/>
      </w:rPr>
      <w:t>&lt;/Version&gt;</w:t>
    </w:r>
    <w:r w:rsidRPr="00125B9D">
      <w:tab/>
    </w:r>
    <w:r w:rsidRPr="00125B9D">
      <w:fldChar w:fldCharType="begin"/>
    </w:r>
    <w:r w:rsidRPr="00125B9D">
      <w:instrText xml:space="preserve"> PAGE  \* MERGEFORMAT </w:instrText>
    </w:r>
    <w:r w:rsidRPr="00125B9D">
      <w:fldChar w:fldCharType="separate"/>
    </w:r>
    <w:r w:rsidRPr="00125B9D">
      <w:rPr>
        <w:noProof/>
      </w:rPr>
      <w:t>4</w:t>
    </w:r>
    <w:r w:rsidRPr="00125B9D">
      <w:fldChar w:fldCharType="end"/>
    </w:r>
    <w:r w:rsidRPr="00125B9D">
      <w:t>/</w:t>
    </w:r>
    <w:r w:rsidR="0090085C">
      <w:fldChar w:fldCharType="begin"/>
    </w:r>
    <w:r w:rsidR="0090085C">
      <w:instrText xml:space="preserve"> NUMPAGES  \* MERGEFORMAT </w:instrText>
    </w:r>
    <w:r w:rsidR="0090085C">
      <w:fldChar w:fldCharType="separate"/>
    </w:r>
    <w:r w:rsidRPr="00125B9D">
      <w:rPr>
        <w:noProof/>
      </w:rPr>
      <w:t>4</w:t>
    </w:r>
    <w:r w:rsidR="0090085C">
      <w:rPr>
        <w:noProof/>
      </w:rPr>
      <w:fldChar w:fldCharType="end"/>
    </w:r>
    <w:r w:rsidRPr="00125B9D">
      <w:tab/>
    </w:r>
    <w:r w:rsidRPr="00125B9D">
      <w:rPr>
        <w:rStyle w:val="HideTWBExt"/>
      </w:rPr>
      <w:t>&lt;PathFdR&gt;</w:t>
    </w:r>
    <w:r w:rsidRPr="00125B9D">
      <w:t>RR\1298800DA.docx</w:t>
    </w:r>
    <w:r w:rsidRPr="00125B9D">
      <w:rPr>
        <w:rStyle w:val="HideTWBExt"/>
      </w:rPr>
      <w:t>&lt;/PathFdR&gt;</w:t>
    </w:r>
  </w:p>
  <w:p w14:paraId="5EC489BB" w14:textId="77777777" w:rsidR="00D73E43" w:rsidRPr="00125B9D" w:rsidRDefault="00D73E43" w:rsidP="009D4847">
    <w:pPr>
      <w:pStyle w:val="EPFooter2"/>
    </w:pPr>
    <w:r w:rsidRPr="00125B9D">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B6965F" w14:textId="77777777" w:rsidR="00D73E43" w:rsidRPr="00125B9D" w:rsidRDefault="00D73E43" w:rsidP="009D4847">
    <w:pPr>
      <w:pStyle w:val="EPFooter"/>
    </w:pPr>
    <w:r w:rsidRPr="00125B9D">
      <w:rPr>
        <w:rStyle w:val="HideTWBExt"/>
      </w:rPr>
      <w:t>&lt;PathFdR&gt;</w:t>
    </w:r>
    <w:r w:rsidRPr="00125B9D">
      <w:t>RR\1298800DA.docx</w:t>
    </w:r>
    <w:r w:rsidRPr="00125B9D">
      <w:rPr>
        <w:rStyle w:val="HideTWBExt"/>
      </w:rPr>
      <w:t>&lt;/PathFdR&gt;</w:t>
    </w:r>
    <w:r w:rsidRPr="00125B9D">
      <w:tab/>
    </w:r>
    <w:r w:rsidRPr="00125B9D">
      <w:tab/>
      <w:t>PE</w:t>
    </w:r>
    <w:r w:rsidRPr="00125B9D">
      <w:rPr>
        <w:rStyle w:val="HideTWBExt"/>
      </w:rPr>
      <w:t>&lt;NoPE&gt;</w:t>
    </w:r>
    <w:r w:rsidRPr="00125B9D">
      <w:t>753.534</w:t>
    </w:r>
    <w:r w:rsidRPr="00125B9D">
      <w:rPr>
        <w:rStyle w:val="HideTWBExt"/>
      </w:rPr>
      <w:t>&lt;/NoPE&gt;&lt;Version&gt;</w:t>
    </w:r>
    <w:r w:rsidRPr="00125B9D">
      <w:t>v02-00</w:t>
    </w:r>
    <w:r w:rsidRPr="00125B9D">
      <w:rPr>
        <w:rStyle w:val="HideTWBExt"/>
      </w:rPr>
      <w:t>&lt;/Version&gt;</w:t>
    </w:r>
  </w:p>
  <w:p w14:paraId="42B38C42" w14:textId="77777777" w:rsidR="00D73E43" w:rsidRPr="00125B9D" w:rsidRDefault="00D73E43" w:rsidP="009D4847">
    <w:pPr>
      <w:pStyle w:val="EPFooter2"/>
    </w:pPr>
    <w:r w:rsidRPr="00125B9D">
      <w:t>DA</w:t>
    </w:r>
    <w:r w:rsidRPr="00125B9D">
      <w:tab/>
    </w:r>
    <w:r w:rsidRPr="00125B9D">
      <w:rPr>
        <w:b w:val="0"/>
        <w:i/>
        <w:color w:val="C0C0C0"/>
        <w:sz w:val="22"/>
      </w:rPr>
      <w:t>Forenet i mangfoldighed</w:t>
    </w:r>
    <w:r w:rsidRPr="00125B9D">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2E48E" w14:textId="77777777" w:rsidR="00064002" w:rsidRPr="00125B9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651D7" w14:textId="77777777" w:rsidR="00064002" w:rsidRPr="00125B9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18801" w14:textId="77777777" w:rsidR="00064002" w:rsidRPr="00125B9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57B06B" w14:textId="77777777" w:rsidR="006D6C3C" w:rsidRPr="00125B9D" w:rsidRDefault="006D6C3C">
      <w:r w:rsidRPr="00125B9D">
        <w:separator/>
      </w:r>
    </w:p>
  </w:footnote>
  <w:footnote w:type="continuationSeparator" w:id="0">
    <w:p w14:paraId="054D8D8C" w14:textId="77777777" w:rsidR="006D6C3C" w:rsidRPr="00125B9D" w:rsidRDefault="006D6C3C">
      <w:r w:rsidRPr="00125B9D">
        <w:continuationSeparator/>
      </w:r>
    </w:p>
  </w:footnote>
  <w:footnote w:id="1">
    <w:p w14:paraId="2807F3B9" w14:textId="77777777" w:rsidR="00D73E43" w:rsidRPr="002E3B56" w:rsidRDefault="00D73E43" w:rsidP="00125B9D">
      <w:pPr>
        <w:pStyle w:val="FootnoteText"/>
        <w:ind w:left="567" w:hanging="567"/>
        <w:rPr>
          <w:sz w:val="24"/>
        </w:rPr>
      </w:pPr>
      <w:r w:rsidRPr="00125B9D">
        <w:rPr>
          <w:rStyle w:val="FootnoteReference"/>
          <w:sz w:val="24"/>
          <w:lang w:val="da-DK"/>
        </w:rPr>
        <w:footnoteRef/>
      </w:r>
      <w:r w:rsidR="00125B9D" w:rsidRPr="002E3B56">
        <w:rPr>
          <w:sz w:val="24"/>
        </w:rPr>
        <w:t xml:space="preserve"> </w:t>
      </w:r>
      <w:r w:rsidR="00125B9D" w:rsidRPr="002E3B56">
        <w:rPr>
          <w:sz w:val="24"/>
        </w:rPr>
        <w:tab/>
      </w:r>
      <w:r w:rsidRPr="002E3B56">
        <w:rPr>
          <w:sz w:val="24"/>
        </w:rPr>
        <w:t>EUT C, C/2023/594, 27.10.2023.</w:t>
      </w:r>
    </w:p>
  </w:footnote>
  <w:footnote w:id="2">
    <w:p w14:paraId="541DC36B" w14:textId="77777777" w:rsidR="00D73E43" w:rsidRPr="002E3B56" w:rsidRDefault="00D73E43" w:rsidP="00125B9D">
      <w:pPr>
        <w:pStyle w:val="FootnoteText"/>
        <w:ind w:left="567" w:hanging="567"/>
        <w:rPr>
          <w:sz w:val="24"/>
        </w:rPr>
      </w:pPr>
      <w:r w:rsidRPr="00125B9D">
        <w:rPr>
          <w:rStyle w:val="FootnoteReference"/>
          <w:sz w:val="24"/>
          <w:lang w:val="da-DK"/>
        </w:rPr>
        <w:footnoteRef/>
      </w:r>
      <w:r w:rsidR="00125B9D" w:rsidRPr="002E3B56">
        <w:rPr>
          <w:sz w:val="24"/>
        </w:rPr>
        <w:t xml:space="preserve"> </w:t>
      </w:r>
      <w:r w:rsidR="00125B9D" w:rsidRPr="002E3B56">
        <w:rPr>
          <w:sz w:val="24"/>
        </w:rPr>
        <w:tab/>
      </w:r>
      <w:r w:rsidRPr="002E3B56">
        <w:rPr>
          <w:sz w:val="24"/>
        </w:rPr>
        <w:t>EUT C, C/2023/112, 12.10.2023.</w:t>
      </w:r>
    </w:p>
  </w:footnote>
  <w:footnote w:id="3">
    <w:p w14:paraId="14DEB717" w14:textId="77777777" w:rsidR="00D73E43" w:rsidRPr="00125B9D" w:rsidRDefault="00D73E43" w:rsidP="00125B9D">
      <w:pPr>
        <w:pStyle w:val="FootnoteText"/>
        <w:ind w:left="567" w:hanging="567"/>
        <w:rPr>
          <w:sz w:val="24"/>
          <w:lang w:val="da-DK"/>
        </w:rPr>
      </w:pPr>
      <w:r w:rsidRPr="00125B9D">
        <w:rPr>
          <w:rStyle w:val="FootnoteReference"/>
          <w:sz w:val="24"/>
          <w:lang w:val="da-DK"/>
        </w:rPr>
        <w:footnoteRef/>
      </w:r>
      <w:r w:rsidR="00125B9D" w:rsidRPr="00125B9D">
        <w:rPr>
          <w:sz w:val="24"/>
          <w:lang w:val="da-DK"/>
        </w:rPr>
        <w:t xml:space="preserve"> </w:t>
      </w:r>
      <w:r w:rsidR="00125B9D" w:rsidRPr="00125B9D">
        <w:rPr>
          <w:sz w:val="24"/>
          <w:lang w:val="da-DK"/>
        </w:rPr>
        <w:tab/>
      </w:r>
      <w:r w:rsidRPr="00125B9D">
        <w:rPr>
          <w:sz w:val="24"/>
          <w:lang w:val="da-DK"/>
        </w:rPr>
        <w:t>EUT L 193 af 30.7.2018, s. 1.</w:t>
      </w:r>
    </w:p>
  </w:footnote>
  <w:footnote w:id="4">
    <w:p w14:paraId="3F22B151" w14:textId="77777777" w:rsidR="00D73E43" w:rsidRPr="00125B9D" w:rsidRDefault="00D73E43" w:rsidP="00125B9D">
      <w:pPr>
        <w:pStyle w:val="FootnoteText"/>
        <w:ind w:left="567" w:hanging="567"/>
        <w:rPr>
          <w:sz w:val="24"/>
          <w:szCs w:val="24"/>
          <w:lang w:val="da-DK"/>
        </w:rPr>
      </w:pPr>
      <w:r w:rsidRPr="00125B9D">
        <w:rPr>
          <w:rStyle w:val="FootnoteReference"/>
          <w:sz w:val="24"/>
          <w:lang w:val="da-DK"/>
        </w:rPr>
        <w:footnoteRef/>
      </w:r>
      <w:r w:rsidR="00125B9D" w:rsidRPr="00125B9D">
        <w:rPr>
          <w:sz w:val="24"/>
          <w:lang w:val="da-DK"/>
        </w:rPr>
        <w:t xml:space="preserve"> </w:t>
      </w:r>
      <w:r w:rsidR="00125B9D" w:rsidRPr="00125B9D">
        <w:rPr>
          <w:sz w:val="24"/>
          <w:lang w:val="da-DK"/>
        </w:rPr>
        <w:tab/>
      </w:r>
      <w:r w:rsidRPr="00125B9D">
        <w:rPr>
          <w:sz w:val="24"/>
          <w:lang w:val="da-DK"/>
        </w:rPr>
        <w:t>EUT L 295 af 21.11.2018, s. 99.</w:t>
      </w:r>
    </w:p>
  </w:footnote>
  <w:footnote w:id="5">
    <w:p w14:paraId="30F9409A" w14:textId="77777777" w:rsidR="00D73E43" w:rsidRPr="00125B9D" w:rsidRDefault="00D73E43" w:rsidP="00125B9D">
      <w:pPr>
        <w:pStyle w:val="FootnoteText"/>
        <w:ind w:left="567" w:hanging="567"/>
        <w:rPr>
          <w:sz w:val="24"/>
          <w:lang w:val="da-DK"/>
        </w:rPr>
      </w:pPr>
      <w:r w:rsidRPr="00125B9D">
        <w:rPr>
          <w:rStyle w:val="FootnoteReference"/>
          <w:sz w:val="24"/>
          <w:lang w:val="da-DK"/>
        </w:rPr>
        <w:footnoteRef/>
      </w:r>
      <w:r w:rsidR="00125B9D" w:rsidRPr="00125B9D">
        <w:rPr>
          <w:sz w:val="24"/>
          <w:lang w:val="da-DK"/>
        </w:rPr>
        <w:t xml:space="preserve"> </w:t>
      </w:r>
      <w:r w:rsidR="00125B9D" w:rsidRPr="00125B9D">
        <w:rPr>
          <w:sz w:val="24"/>
          <w:lang w:val="da-DK"/>
        </w:rPr>
        <w:tab/>
      </w:r>
      <w:r w:rsidRPr="00125B9D">
        <w:rPr>
          <w:sz w:val="24"/>
          <w:lang w:val="da-DK"/>
        </w:rPr>
        <w:t>EUT L 122 af 10.5.2019, s. 1.</w:t>
      </w:r>
    </w:p>
  </w:footnote>
  <w:footnote w:id="6">
    <w:p w14:paraId="6530150E" w14:textId="77777777" w:rsidR="00D73E43" w:rsidRPr="00125B9D" w:rsidRDefault="00D73E43" w:rsidP="00125B9D">
      <w:pPr>
        <w:pStyle w:val="FootnoteText"/>
        <w:ind w:left="567" w:hanging="567"/>
        <w:rPr>
          <w:sz w:val="24"/>
          <w:lang w:val="da-DK"/>
        </w:rPr>
      </w:pPr>
      <w:r w:rsidRPr="00125B9D">
        <w:rPr>
          <w:rStyle w:val="FootnoteReference"/>
          <w:sz w:val="24"/>
          <w:lang w:val="da-DK"/>
        </w:rPr>
        <w:footnoteRef/>
      </w:r>
      <w:r w:rsidR="00125B9D" w:rsidRPr="00125B9D">
        <w:rPr>
          <w:sz w:val="24"/>
          <w:lang w:val="da-DK"/>
        </w:rPr>
        <w:t xml:space="preserve"> </w:t>
      </w:r>
      <w:r w:rsidR="00125B9D" w:rsidRPr="00125B9D">
        <w:rPr>
          <w:sz w:val="24"/>
          <w:lang w:val="da-DK"/>
        </w:rPr>
        <w:tab/>
      </w:r>
      <w:r w:rsidRPr="00125B9D">
        <w:rPr>
          <w:sz w:val="24"/>
          <w:lang w:val="da-DK"/>
        </w:rPr>
        <w:t>EUT C, C/2023/594, 27.10.2023.</w:t>
      </w:r>
    </w:p>
  </w:footnote>
  <w:footnote w:id="7">
    <w:p w14:paraId="00A4B460" w14:textId="77777777" w:rsidR="00D73E43" w:rsidRPr="002E3B56" w:rsidRDefault="00D73E43" w:rsidP="00125B9D">
      <w:pPr>
        <w:pStyle w:val="FootnoteText"/>
        <w:ind w:left="567" w:hanging="567"/>
        <w:rPr>
          <w:sz w:val="24"/>
        </w:rPr>
      </w:pPr>
      <w:r w:rsidRPr="00125B9D">
        <w:rPr>
          <w:rStyle w:val="FootnoteReference"/>
          <w:sz w:val="24"/>
          <w:lang w:val="da-DK"/>
        </w:rPr>
        <w:footnoteRef/>
      </w:r>
      <w:r w:rsidR="00125B9D" w:rsidRPr="002E3B56">
        <w:rPr>
          <w:sz w:val="24"/>
        </w:rPr>
        <w:t xml:space="preserve"> </w:t>
      </w:r>
      <w:r w:rsidR="00125B9D" w:rsidRPr="002E3B56">
        <w:rPr>
          <w:sz w:val="24"/>
        </w:rPr>
        <w:tab/>
      </w:r>
      <w:r w:rsidRPr="002E3B56">
        <w:rPr>
          <w:sz w:val="24"/>
        </w:rPr>
        <w:t>EUT C, C/2023/112, 12.10.2023.</w:t>
      </w:r>
    </w:p>
  </w:footnote>
  <w:footnote w:id="8">
    <w:p w14:paraId="49A864C5" w14:textId="77777777" w:rsidR="00D73E43" w:rsidRPr="002E3B56" w:rsidRDefault="00D73E43" w:rsidP="00125B9D">
      <w:pPr>
        <w:pStyle w:val="FootnoteText"/>
        <w:ind w:left="567" w:hanging="567"/>
        <w:rPr>
          <w:sz w:val="24"/>
        </w:rPr>
      </w:pPr>
      <w:r w:rsidRPr="00125B9D">
        <w:rPr>
          <w:rStyle w:val="FootnoteReference"/>
          <w:sz w:val="24"/>
          <w:lang w:val="da-DK"/>
        </w:rPr>
        <w:footnoteRef/>
      </w:r>
      <w:r w:rsidR="00125B9D" w:rsidRPr="002E3B56">
        <w:rPr>
          <w:sz w:val="24"/>
        </w:rPr>
        <w:t xml:space="preserve"> </w:t>
      </w:r>
      <w:r w:rsidR="00125B9D" w:rsidRPr="002E3B56">
        <w:rPr>
          <w:sz w:val="24"/>
        </w:rPr>
        <w:tab/>
      </w:r>
      <w:r w:rsidRPr="002E3B56">
        <w:rPr>
          <w:sz w:val="24"/>
        </w:rPr>
        <w:t>EUT L 193 af 30.7.2018, s. 1.</w:t>
      </w:r>
    </w:p>
  </w:footnote>
  <w:footnote w:id="9">
    <w:p w14:paraId="5C2EC59D" w14:textId="77777777" w:rsidR="00D73E43" w:rsidRPr="00125B9D" w:rsidRDefault="00D73E43" w:rsidP="00125B9D">
      <w:pPr>
        <w:pStyle w:val="FootnoteText"/>
        <w:ind w:left="567" w:hanging="567"/>
        <w:rPr>
          <w:sz w:val="24"/>
          <w:lang w:val="da-DK"/>
        </w:rPr>
      </w:pPr>
      <w:r w:rsidRPr="00125B9D">
        <w:rPr>
          <w:rStyle w:val="FootnoteReference"/>
          <w:sz w:val="24"/>
          <w:lang w:val="da-DK"/>
        </w:rPr>
        <w:footnoteRef/>
      </w:r>
      <w:r w:rsidR="00125B9D" w:rsidRPr="00125B9D">
        <w:rPr>
          <w:sz w:val="24"/>
          <w:lang w:val="da-DK"/>
        </w:rPr>
        <w:t xml:space="preserve"> </w:t>
      </w:r>
      <w:r w:rsidR="00125B9D" w:rsidRPr="00125B9D">
        <w:rPr>
          <w:sz w:val="24"/>
          <w:lang w:val="da-DK"/>
        </w:rPr>
        <w:tab/>
      </w:r>
      <w:r w:rsidRPr="00125B9D">
        <w:rPr>
          <w:sz w:val="24"/>
          <w:lang w:val="da-DK"/>
        </w:rPr>
        <w:t>EUT L 295 af 21.11.2018, s. 99.</w:t>
      </w:r>
    </w:p>
  </w:footnote>
  <w:footnote w:id="10">
    <w:p w14:paraId="095FFA7F" w14:textId="77777777" w:rsidR="00D73E43" w:rsidRPr="00125B9D" w:rsidRDefault="00D73E43" w:rsidP="00125B9D">
      <w:pPr>
        <w:pStyle w:val="FootnoteText"/>
        <w:ind w:left="567" w:hanging="567"/>
        <w:rPr>
          <w:sz w:val="24"/>
          <w:szCs w:val="24"/>
          <w:lang w:val="da-DK"/>
        </w:rPr>
      </w:pPr>
      <w:r w:rsidRPr="00125B9D">
        <w:rPr>
          <w:rStyle w:val="FootnoteReference"/>
          <w:sz w:val="24"/>
          <w:lang w:val="da-DK"/>
        </w:rPr>
        <w:footnoteRef/>
      </w:r>
      <w:r w:rsidR="00125B9D" w:rsidRPr="00125B9D">
        <w:rPr>
          <w:sz w:val="24"/>
          <w:lang w:val="da-DK"/>
        </w:rPr>
        <w:t xml:space="preserve"> </w:t>
      </w:r>
      <w:r w:rsidR="00125B9D" w:rsidRPr="00125B9D">
        <w:rPr>
          <w:sz w:val="24"/>
          <w:lang w:val="da-DK"/>
        </w:rPr>
        <w:tab/>
      </w:r>
      <w:r w:rsidRPr="00125B9D">
        <w:rPr>
          <w:sz w:val="24"/>
          <w:lang w:val="da-DK"/>
        </w:rPr>
        <w:t>EUT L 122 af 10.5.2019, s. 1.</w:t>
      </w:r>
    </w:p>
  </w:footnote>
  <w:footnote w:id="11">
    <w:p w14:paraId="4219812D" w14:textId="77777777" w:rsidR="00D73E43" w:rsidRPr="00125B9D" w:rsidRDefault="00D73E43" w:rsidP="00125B9D">
      <w:pPr>
        <w:pStyle w:val="FootnoteText"/>
        <w:ind w:left="567" w:hanging="567"/>
        <w:rPr>
          <w:sz w:val="24"/>
          <w:lang w:val="da-DK"/>
        </w:rPr>
      </w:pPr>
      <w:r w:rsidRPr="00125B9D">
        <w:rPr>
          <w:sz w:val="24"/>
          <w:vertAlign w:val="superscript"/>
          <w:lang w:val="da-DK"/>
        </w:rPr>
        <w:footnoteRef/>
      </w:r>
      <w:r w:rsidR="00125B9D" w:rsidRPr="00125B9D">
        <w:rPr>
          <w:sz w:val="24"/>
          <w:lang w:val="da-DK"/>
        </w:rPr>
        <w:t xml:space="preserve"> </w:t>
      </w:r>
      <w:r w:rsidR="00125B9D" w:rsidRPr="00125B9D">
        <w:rPr>
          <w:sz w:val="24"/>
          <w:lang w:val="da-DK"/>
        </w:rPr>
        <w:tab/>
      </w:r>
      <w:r w:rsidRPr="00125B9D">
        <w:rPr>
          <w:sz w:val="24"/>
          <w:lang w:val="da-DK"/>
        </w:rPr>
        <w:t>EUT C 38 af 31.1.2023, s. 103.</w:t>
      </w:r>
    </w:p>
  </w:footnote>
  <w:footnote w:id="12">
    <w:p w14:paraId="677D672C" w14:textId="112AF3E7" w:rsidR="00D73E43" w:rsidRPr="00125B9D" w:rsidRDefault="00D73E43" w:rsidP="00125B9D">
      <w:pPr>
        <w:pStyle w:val="FootnoteText"/>
        <w:ind w:left="567" w:hanging="567"/>
        <w:rPr>
          <w:sz w:val="24"/>
          <w:lang w:val="da-DK"/>
        </w:rPr>
      </w:pPr>
      <w:r w:rsidRPr="00125B9D">
        <w:rPr>
          <w:rStyle w:val="FootnoteReference"/>
          <w:sz w:val="24"/>
          <w:lang w:val="da-DK"/>
        </w:rPr>
        <w:footnoteRef/>
      </w:r>
      <w:r w:rsidR="00125B9D" w:rsidRPr="00125B9D">
        <w:rPr>
          <w:sz w:val="24"/>
          <w:lang w:val="da-DK"/>
        </w:rPr>
        <w:t xml:space="preserve"> </w:t>
      </w:r>
      <w:r w:rsidR="00125B9D" w:rsidRPr="00125B9D">
        <w:rPr>
          <w:sz w:val="24"/>
          <w:lang w:val="da-DK"/>
        </w:rPr>
        <w:tab/>
      </w:r>
      <w:r w:rsidRPr="00125B9D">
        <w:rPr>
          <w:sz w:val="24"/>
          <w:lang w:val="da-DK"/>
        </w:rPr>
        <w:t>Vedtagne tekster, P9_TA(2024)</w:t>
      </w:r>
      <w:r w:rsidR="0090085C">
        <w:rPr>
          <w:sz w:val="24"/>
          <w:lang w:val="da-DK"/>
        </w:rPr>
        <w:t>0280.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CBCD59" w14:textId="77777777" w:rsidR="00064002" w:rsidRPr="00125B9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08A632" w14:textId="77777777" w:rsidR="00064002" w:rsidRPr="00125B9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391BE7" w14:textId="77777777" w:rsidR="00064002" w:rsidRPr="00125B9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5/2024"/>
    <w:docVar w:name="dvlangue" w:val="DA"/>
    <w:docVar w:name="dvnumam" w:val="0"/>
    <w:docVar w:name="dvpe" w:val="753.534"/>
    <w:docVar w:name="dvrapporteur" w:val="Ordfører: "/>
    <w:docVar w:name="dvtitre" w:val="1. Europa-Parlamentets afgørelse af 11. april 2024 om decharge for gennemførelsen af budgettet for Den Europæiske Unions Agentur for den Operationelle Forvaltning af Store IT-Systemer inden for Området med Frihed, Sikkerhed og Retfærdighed (eu-LISA) for regnskabsåret 2022(2023/2165(DEC))"/>
  </w:docVars>
  <w:rsids>
    <w:rsidRoot w:val="006D6C3C"/>
    <w:rsid w:val="00002272"/>
    <w:rsid w:val="00064002"/>
    <w:rsid w:val="000677B9"/>
    <w:rsid w:val="000831BA"/>
    <w:rsid w:val="000A42CC"/>
    <w:rsid w:val="000E7DD9"/>
    <w:rsid w:val="0010095E"/>
    <w:rsid w:val="00125B37"/>
    <w:rsid w:val="00125B9D"/>
    <w:rsid w:val="001513A9"/>
    <w:rsid w:val="00187494"/>
    <w:rsid w:val="001F32AE"/>
    <w:rsid w:val="002767FF"/>
    <w:rsid w:val="002B18FE"/>
    <w:rsid w:val="002B5493"/>
    <w:rsid w:val="002E3B5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D6C3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085C"/>
    <w:rsid w:val="00930C23"/>
    <w:rsid w:val="0093193B"/>
    <w:rsid w:val="009509D8"/>
    <w:rsid w:val="00950B64"/>
    <w:rsid w:val="00981893"/>
    <w:rsid w:val="00A1687D"/>
    <w:rsid w:val="00A43E52"/>
    <w:rsid w:val="00A4678D"/>
    <w:rsid w:val="00A778C7"/>
    <w:rsid w:val="00AB441E"/>
    <w:rsid w:val="00AB6293"/>
    <w:rsid w:val="00AE0928"/>
    <w:rsid w:val="00AF3B82"/>
    <w:rsid w:val="00B121A9"/>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3E43"/>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B1BD4C"/>
  <w15:chartTrackingRefBased/>
  <w15:docId w15:val="{CF429684-B1DF-447A-9C98-BD2A3F222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73E4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73E43"/>
    <w:pPr>
      <w:spacing w:before="480" w:after="240"/>
    </w:pPr>
  </w:style>
  <w:style w:type="paragraph" w:customStyle="1" w:styleId="PageHeading">
    <w:name w:val="PageHeading"/>
    <w:basedOn w:val="Normal"/>
    <w:rsid w:val="00D73E43"/>
    <w:pPr>
      <w:keepNext/>
      <w:spacing w:after="480"/>
      <w:jc w:val="center"/>
    </w:pPr>
    <w:rPr>
      <w:rFonts w:ascii="Arial" w:hAnsi="Arial" w:cs="Arial"/>
      <w:b/>
    </w:rPr>
  </w:style>
  <w:style w:type="paragraph" w:customStyle="1" w:styleId="NormalBold">
    <w:name w:val="NormalBold"/>
    <w:basedOn w:val="Normal"/>
    <w:rsid w:val="00D73E43"/>
    <w:rPr>
      <w:b/>
    </w:rPr>
  </w:style>
  <w:style w:type="paragraph" w:customStyle="1" w:styleId="NormalHanging12a">
    <w:name w:val="NormalHanging12a"/>
    <w:basedOn w:val="Normal"/>
    <w:link w:val="NormalHanging12aChar"/>
    <w:rsid w:val="00D73E43"/>
    <w:pPr>
      <w:spacing w:after="240"/>
      <w:ind w:left="567" w:hanging="567"/>
    </w:pPr>
  </w:style>
  <w:style w:type="paragraph" w:customStyle="1" w:styleId="NormalCenter12a">
    <w:name w:val="NormalCenter12a"/>
    <w:basedOn w:val="Normal"/>
    <w:rsid w:val="00D73E43"/>
    <w:pPr>
      <w:spacing w:after="240"/>
      <w:jc w:val="center"/>
    </w:pPr>
  </w:style>
  <w:style w:type="paragraph" w:styleId="Header">
    <w:name w:val="header"/>
    <w:basedOn w:val="Normal"/>
    <w:link w:val="HeaderChar"/>
    <w:rsid w:val="00D73E43"/>
    <w:pPr>
      <w:tabs>
        <w:tab w:val="center" w:pos="4513"/>
        <w:tab w:val="right" w:pos="9026"/>
      </w:tabs>
    </w:pPr>
  </w:style>
  <w:style w:type="character" w:customStyle="1" w:styleId="HeaderChar">
    <w:name w:val="Header Char"/>
    <w:basedOn w:val="DefaultParagraphFont"/>
    <w:link w:val="Header"/>
    <w:rsid w:val="00D73E43"/>
    <w:rPr>
      <w:sz w:val="24"/>
      <w:lang w:val="da-DK"/>
    </w:rPr>
  </w:style>
  <w:style w:type="paragraph" w:customStyle="1" w:styleId="EPFooter">
    <w:name w:val="EPFooter"/>
    <w:basedOn w:val="Normal"/>
    <w:rsid w:val="00D73E43"/>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D73E43"/>
    <w:rPr>
      <w:sz w:val="24"/>
      <w:lang w:val="da-DK"/>
    </w:rPr>
  </w:style>
  <w:style w:type="character" w:customStyle="1" w:styleId="Normal12HangingChar">
    <w:name w:val="Normal12Hanging Char"/>
    <w:link w:val="Normal12Hanging"/>
    <w:locked/>
    <w:rsid w:val="00D73E43"/>
    <w:rPr>
      <w:sz w:val="24"/>
    </w:rPr>
  </w:style>
  <w:style w:type="paragraph" w:customStyle="1" w:styleId="Normal12Hanging">
    <w:name w:val="Normal12Hanging"/>
    <w:basedOn w:val="Normal"/>
    <w:link w:val="Normal12HangingChar"/>
    <w:rsid w:val="00D73E43"/>
    <w:pPr>
      <w:spacing w:after="240"/>
      <w:ind w:left="567" w:hanging="567"/>
    </w:pPr>
    <w:rPr>
      <w:lang w:val="en-GB"/>
    </w:rPr>
  </w:style>
  <w:style w:type="paragraph" w:styleId="Footer">
    <w:name w:val="footer"/>
    <w:basedOn w:val="Normal"/>
    <w:link w:val="FooterChar"/>
    <w:rsid w:val="001513A9"/>
    <w:pPr>
      <w:tabs>
        <w:tab w:val="center" w:pos="4513"/>
        <w:tab w:val="right" w:pos="9026"/>
      </w:tabs>
    </w:pPr>
  </w:style>
  <w:style w:type="character" w:customStyle="1" w:styleId="FooterChar">
    <w:name w:val="Footer Char"/>
    <w:basedOn w:val="DefaultParagraphFont"/>
    <w:link w:val="Footer"/>
    <w:rsid w:val="001513A9"/>
    <w:rPr>
      <w:sz w:val="24"/>
      <w:lang w:val="da-DK"/>
    </w:rPr>
  </w:style>
  <w:style w:type="character" w:styleId="CommentReference">
    <w:name w:val="annotation reference"/>
    <w:basedOn w:val="DefaultParagraphFont"/>
    <w:rsid w:val="00B121A9"/>
    <w:rPr>
      <w:sz w:val="16"/>
      <w:szCs w:val="16"/>
    </w:rPr>
  </w:style>
  <w:style w:type="paragraph" w:styleId="CommentText">
    <w:name w:val="annotation text"/>
    <w:basedOn w:val="Normal"/>
    <w:link w:val="CommentTextChar"/>
    <w:rsid w:val="00B121A9"/>
    <w:rPr>
      <w:sz w:val="20"/>
    </w:rPr>
  </w:style>
  <w:style w:type="character" w:customStyle="1" w:styleId="CommentTextChar">
    <w:name w:val="Comment Text Char"/>
    <w:basedOn w:val="DefaultParagraphFont"/>
    <w:link w:val="CommentText"/>
    <w:rsid w:val="00B121A9"/>
    <w:rPr>
      <w:lang w:val="da-DK"/>
    </w:rPr>
  </w:style>
  <w:style w:type="paragraph" w:styleId="CommentSubject">
    <w:name w:val="annotation subject"/>
    <w:basedOn w:val="CommentText"/>
    <w:next w:val="CommentText"/>
    <w:link w:val="CommentSubjectChar"/>
    <w:rsid w:val="00B121A9"/>
    <w:rPr>
      <w:b/>
      <w:bCs/>
    </w:rPr>
  </w:style>
  <w:style w:type="character" w:customStyle="1" w:styleId="CommentSubjectChar">
    <w:name w:val="Comment Subject Char"/>
    <w:basedOn w:val="CommentTextChar"/>
    <w:link w:val="CommentSubject"/>
    <w:rsid w:val="00B121A9"/>
    <w:rPr>
      <w:b/>
      <w:bCs/>
      <w:lang w:val="da-DK"/>
    </w:rPr>
  </w:style>
  <w:style w:type="paragraph" w:styleId="BalloonText">
    <w:name w:val="Balloon Text"/>
    <w:basedOn w:val="Normal"/>
    <w:link w:val="BalloonTextChar"/>
    <w:rsid w:val="00B121A9"/>
    <w:rPr>
      <w:rFonts w:ascii="Segoe UI" w:hAnsi="Segoe UI" w:cs="Segoe UI"/>
      <w:sz w:val="18"/>
      <w:szCs w:val="18"/>
    </w:rPr>
  </w:style>
  <w:style w:type="character" w:customStyle="1" w:styleId="BalloonTextChar">
    <w:name w:val="Balloon Text Char"/>
    <w:basedOn w:val="DefaultParagraphFont"/>
    <w:link w:val="BalloonText"/>
    <w:rsid w:val="00B121A9"/>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CEAD19-9C4F-4F6D-B93B-36A281009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5898</Words>
  <Characters>37713</Characters>
  <Application>Microsoft Office Word</Application>
  <DocSecurity>0</DocSecurity>
  <Lines>314</Lines>
  <Paragraphs>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2024-04-11T12:14:00Z</dcterms:created>
  <dcterms:modified xsi:type="dcterms:W3CDTF">2024-04-11T12:14:00Z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A9-0105/2024</vt:lpwstr>
  </property>
  <property fmtid="{D5CDD505-2E9C-101B-9397-08002B2CF9AE}" pid="4" name="&lt;Type&gt;">
    <vt:lpwstr>RR</vt:lpwstr>
  </property>
</Properties>
</file>