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2D1E" w:rsidTr="0010095E">
        <w:trPr>
          <w:trHeight w:hRule="exact" w:val="1418"/>
        </w:trPr>
        <w:tc>
          <w:tcPr>
            <w:tcW w:w="6804" w:type="dxa"/>
            <w:shd w:val="clear" w:color="auto" w:fill="auto"/>
            <w:vAlign w:val="center"/>
          </w:tcPr>
          <w:p w:rsidR="00751A4A" w:rsidRPr="006D2D1E" w:rsidRDefault="00900AA2" w:rsidP="0010095E">
            <w:pPr>
              <w:pStyle w:val="EPName"/>
            </w:pPr>
            <w:r w:rsidRPr="006D2D1E">
              <w:t>Ευρωπαϊκό Κοινοβούλιο</w:t>
            </w:r>
          </w:p>
          <w:p w:rsidR="00751A4A" w:rsidRPr="006D2D1E" w:rsidRDefault="00817416" w:rsidP="00756632">
            <w:pPr>
              <w:pStyle w:val="EPTerm"/>
              <w:rPr>
                <w:rStyle w:val="HideTWBExt"/>
                <w:noProof w:val="0"/>
                <w:vanish w:val="0"/>
                <w:color w:val="auto"/>
              </w:rPr>
            </w:pPr>
            <w:r w:rsidRPr="006D2D1E">
              <w:t>2019-2024</w:t>
            </w:r>
          </w:p>
        </w:tc>
        <w:tc>
          <w:tcPr>
            <w:tcW w:w="2268" w:type="dxa"/>
            <w:shd w:val="clear" w:color="auto" w:fill="auto"/>
          </w:tcPr>
          <w:p w:rsidR="00751A4A" w:rsidRPr="006D2D1E" w:rsidRDefault="00187494" w:rsidP="0010095E">
            <w:pPr>
              <w:pStyle w:val="EPLogo"/>
            </w:pPr>
            <w:r w:rsidRPr="006D2D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2D1E" w:rsidRDefault="00D058B8" w:rsidP="004C5D52">
      <w:pPr>
        <w:pStyle w:val="LineTop"/>
      </w:pPr>
    </w:p>
    <w:p w:rsidR="00680577" w:rsidRPr="006D2D1E" w:rsidRDefault="00900AA2" w:rsidP="00680577">
      <w:pPr>
        <w:pStyle w:val="EPBodyTA1"/>
      </w:pPr>
      <w:r w:rsidRPr="006D2D1E">
        <w:t>ΚΕΙΜΕΝΑ ΠΟΥ ΕΓΚΡΙΘΗΚΑΝ</w:t>
      </w:r>
    </w:p>
    <w:p w:rsidR="00D058B8" w:rsidRPr="006D2D1E" w:rsidRDefault="00D058B8" w:rsidP="00D058B8">
      <w:pPr>
        <w:pStyle w:val="LineBottom"/>
      </w:pPr>
    </w:p>
    <w:p w:rsidR="00900AA2" w:rsidRPr="006D2D1E" w:rsidRDefault="00900AA2" w:rsidP="00900AA2">
      <w:pPr>
        <w:pStyle w:val="ATHeading1"/>
      </w:pPr>
      <w:bookmarkStart w:id="0" w:name="TANumber"/>
      <w:r w:rsidRPr="006D2D1E">
        <w:t>P9_TA(2024)</w:t>
      </w:r>
      <w:bookmarkEnd w:id="0"/>
      <w:r w:rsidR="009433A6" w:rsidRPr="006D2D1E">
        <w:t>0</w:t>
      </w:r>
      <w:r w:rsidR="009433A6">
        <w:t>269</w:t>
      </w:r>
    </w:p>
    <w:p w:rsidR="00900AA2" w:rsidRPr="006D2D1E" w:rsidRDefault="00900AA2" w:rsidP="00900AA2">
      <w:pPr>
        <w:pStyle w:val="ATHeading2"/>
      </w:pPr>
      <w:bookmarkStart w:id="1" w:name="title"/>
      <w:r w:rsidRPr="006D2D1E">
        <w:t>Απαλλαγή 2022: Οργανισμός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Pr="006D2D1E">
        <w:t>eu</w:t>
      </w:r>
      <w:proofErr w:type="spellEnd"/>
      <w:r w:rsidRPr="006D2D1E">
        <w:t>-LISA)</w:t>
      </w:r>
      <w:bookmarkEnd w:id="1"/>
    </w:p>
    <w:p w:rsidR="00900AA2" w:rsidRPr="006D2D1E" w:rsidRDefault="00900AA2" w:rsidP="00900AA2">
      <w:pPr>
        <w:rPr>
          <w:i/>
          <w:vanish/>
        </w:rPr>
      </w:pPr>
      <w:r w:rsidRPr="006D2D1E">
        <w:rPr>
          <w:i/>
        </w:rPr>
        <w:fldChar w:fldCharType="begin"/>
      </w:r>
      <w:r w:rsidRPr="006D2D1E">
        <w:rPr>
          <w:i/>
        </w:rPr>
        <w:instrText xml:space="preserve"> TC"(</w:instrText>
      </w:r>
      <w:bookmarkStart w:id="2" w:name="DocNumber"/>
      <w:r w:rsidRPr="006D2D1E">
        <w:rPr>
          <w:i/>
        </w:rPr>
        <w:instrText>A9-0105/2024</w:instrText>
      </w:r>
      <w:bookmarkEnd w:id="2"/>
      <w:r w:rsidRPr="006D2D1E">
        <w:rPr>
          <w:i/>
        </w:rPr>
        <w:instrText xml:space="preserve"> - Εισηγητής: </w:instrText>
      </w:r>
      <w:proofErr w:type="spellStart"/>
      <w:r w:rsidRPr="006D2D1E">
        <w:rPr>
          <w:i/>
        </w:rPr>
        <w:instrText>Petri</w:instrText>
      </w:r>
      <w:proofErr w:type="spellEnd"/>
      <w:r w:rsidRPr="006D2D1E">
        <w:rPr>
          <w:i/>
        </w:rPr>
        <w:instrText xml:space="preserve"> </w:instrText>
      </w:r>
      <w:proofErr w:type="spellStart"/>
      <w:r w:rsidRPr="006D2D1E">
        <w:rPr>
          <w:i/>
        </w:rPr>
        <w:instrText>Sarvamaa</w:instrText>
      </w:r>
      <w:proofErr w:type="spellEnd"/>
      <w:r w:rsidRPr="006D2D1E">
        <w:rPr>
          <w:i/>
        </w:rPr>
        <w:instrText xml:space="preserve">)"\l3 \n&gt; \* MERGEFORMAT </w:instrText>
      </w:r>
      <w:r w:rsidRPr="006D2D1E">
        <w:rPr>
          <w:i/>
        </w:rPr>
        <w:fldChar w:fldCharType="end"/>
      </w:r>
    </w:p>
    <w:p w:rsidR="00900AA2" w:rsidRPr="006D2D1E" w:rsidRDefault="00900AA2" w:rsidP="00900AA2">
      <w:pPr>
        <w:rPr>
          <w:vanish/>
        </w:rPr>
      </w:pPr>
      <w:bookmarkStart w:id="3" w:name="Commission"/>
      <w:r w:rsidRPr="006D2D1E">
        <w:rPr>
          <w:vanish/>
        </w:rPr>
        <w:t>Επιτροπή Ελέγχου του Προϋπολογισμού</w:t>
      </w:r>
      <w:bookmarkStart w:id="4" w:name="_GoBack"/>
      <w:bookmarkEnd w:id="3"/>
      <w:bookmarkEnd w:id="4"/>
    </w:p>
    <w:p w:rsidR="00900AA2" w:rsidRPr="006D2D1E" w:rsidRDefault="00900AA2" w:rsidP="00900AA2">
      <w:pPr>
        <w:rPr>
          <w:vanish/>
        </w:rPr>
      </w:pPr>
      <w:bookmarkStart w:id="5" w:name="PE"/>
      <w:r w:rsidRPr="006D2D1E">
        <w:rPr>
          <w:vanish/>
        </w:rPr>
        <w:t>PE753.534</w:t>
      </w:r>
      <w:bookmarkEnd w:id="5"/>
    </w:p>
    <w:p w:rsidR="00900AA2" w:rsidRPr="006D2D1E" w:rsidRDefault="00A74A83" w:rsidP="00900AA2">
      <w:pPr>
        <w:pStyle w:val="ATHeading3"/>
      </w:pPr>
      <w:bookmarkStart w:id="6" w:name="Sujet"/>
      <w:r>
        <w:t xml:space="preserve">1. </w:t>
      </w:r>
      <w:r w:rsidR="00900AA2" w:rsidRPr="006D2D1E">
        <w:t xml:space="preserve">Απόφαση του Ευρωπαϊκού Κοινοβουλίου </w:t>
      </w:r>
      <w:r>
        <w:t xml:space="preserve">της 11ης Απριλίου 2024 </w:t>
      </w:r>
      <w:r w:rsidR="00900AA2" w:rsidRPr="006D2D1E">
        <w:t>σχετικά με την απαλλαγή όσον αφορά την εκτέλεση του προϋπολογισμού του Οργανισμού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00900AA2" w:rsidRPr="006D2D1E">
        <w:t>eu</w:t>
      </w:r>
      <w:proofErr w:type="spellEnd"/>
      <w:r w:rsidR="00900AA2" w:rsidRPr="006D2D1E">
        <w:t>-LISA) για το οικονομικό έτος 2022</w:t>
      </w:r>
      <w:bookmarkEnd w:id="6"/>
      <w:r w:rsidR="00900AA2" w:rsidRPr="006D2D1E">
        <w:t xml:space="preserve"> </w:t>
      </w:r>
      <w:bookmarkStart w:id="7" w:name="References"/>
      <w:r w:rsidR="00900AA2" w:rsidRPr="006D2D1E">
        <w:t>(2023/2165(DEC))</w:t>
      </w:r>
      <w:bookmarkEnd w:id="7"/>
    </w:p>
    <w:p w:rsidR="00192E7E" w:rsidRPr="006D2D1E" w:rsidRDefault="00192E7E" w:rsidP="00192E7E">
      <w:pPr>
        <w:pStyle w:val="EPComma"/>
      </w:pPr>
      <w:bookmarkStart w:id="8" w:name="TextBodyBegin"/>
      <w:bookmarkEnd w:id="8"/>
      <w:r w:rsidRPr="006D2D1E">
        <w:rPr>
          <w:i/>
        </w:rPr>
        <w:t>Το Ευρωπαϊκό Κοινοβούλιο</w:t>
      </w:r>
      <w:r w:rsidRPr="006D2D1E">
        <w:t>,</w:t>
      </w:r>
    </w:p>
    <w:p w:rsidR="00192E7E" w:rsidRPr="006D2D1E" w:rsidRDefault="00192E7E" w:rsidP="00192E7E">
      <w:pPr>
        <w:pStyle w:val="NormalHanging12a"/>
      </w:pPr>
      <w:r w:rsidRPr="006D2D1E">
        <w:t>–</w:t>
      </w:r>
      <w:r w:rsidRPr="006D2D1E">
        <w:tab/>
        <w:t>έχοντας υπόψη τους οριστικούς ετήσιους λογαριασμούς του Οργανισμού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Pr="006D2D1E">
        <w:t>eu</w:t>
      </w:r>
      <w:proofErr w:type="spellEnd"/>
      <w:r w:rsidRPr="006D2D1E">
        <w:t>-LISA) για το οικονομικό έτος 2022,</w:t>
      </w:r>
    </w:p>
    <w:p w:rsidR="00192E7E" w:rsidRPr="006D2D1E" w:rsidRDefault="00192E7E" w:rsidP="00192E7E">
      <w:pPr>
        <w:pStyle w:val="NormalHanging12a"/>
      </w:pPr>
      <w:r w:rsidRPr="006D2D1E">
        <w:t>–</w:t>
      </w:r>
      <w:r w:rsidRPr="006D2D1E">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6D2D1E">
        <w:rPr>
          <w:rStyle w:val="FootnoteReference"/>
        </w:rPr>
        <w:footnoteReference w:id="1"/>
      </w:r>
      <w:r w:rsidRPr="006D2D1E">
        <w:t>,</w:t>
      </w:r>
    </w:p>
    <w:p w:rsidR="00192E7E" w:rsidRPr="006D2D1E" w:rsidRDefault="00192E7E" w:rsidP="00192E7E">
      <w:pPr>
        <w:pStyle w:val="NormalHanging12a"/>
      </w:pPr>
      <w:r w:rsidRPr="006D2D1E">
        <w:t>–</w:t>
      </w:r>
      <w:r w:rsidRPr="006D2D1E">
        <w:tab/>
        <w:t>έχοντας υπόψη τη δήλωση αξιοπιστίας</w:t>
      </w:r>
      <w:r w:rsidRPr="006D2D1E">
        <w:rPr>
          <w:rStyle w:val="FootnoteReference"/>
        </w:rPr>
        <w:footnoteReference w:id="2"/>
      </w:r>
      <w:r w:rsidRPr="006D2D1E">
        <w:t xml:space="preserve"> η οποία βεβαιώνει την ακρίβεια των λογαριασμών και τη νομιμότητα και κανονικότητα των σχετικών πράξεων, την οποία </w:t>
      </w:r>
      <w:proofErr w:type="spellStart"/>
      <w:r w:rsidRPr="006D2D1E">
        <w:t>ενεχείρισε</w:t>
      </w:r>
      <w:proofErr w:type="spellEnd"/>
      <w:r w:rsidRPr="006D2D1E">
        <w:t xml:space="preserve"> το Ελεγκτικό Συνέδριο για το οικονομικό έτος 2022, σύμφωνα με το άρθρο 287 της Συνθήκης για τη λειτουργία της Ευρωπαϊκής Ένωσης,</w:t>
      </w:r>
    </w:p>
    <w:p w:rsidR="00192E7E" w:rsidRPr="006D2D1E" w:rsidRDefault="00192E7E" w:rsidP="00192E7E">
      <w:pPr>
        <w:pStyle w:val="NormalHanging12a"/>
      </w:pPr>
      <w:r w:rsidRPr="006D2D1E">
        <w:t>–</w:t>
      </w:r>
      <w:r w:rsidRPr="006D2D1E">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BA3C71" w:rsidRPr="006D2D1E">
        <w:t>0</w:t>
      </w:r>
      <w:r w:rsidR="00BA3C71">
        <w:t>6180</w:t>
      </w:r>
      <w:r w:rsidRPr="006D2D1E">
        <w:t>/2024 – C9</w:t>
      </w:r>
      <w:r w:rsidRPr="006D2D1E">
        <w:noBreakHyphen/>
      </w:r>
      <w:r w:rsidR="00BA3C71" w:rsidRPr="006D2D1E">
        <w:t>0</w:t>
      </w:r>
      <w:r w:rsidR="00BA3C71">
        <w:t>103</w:t>
      </w:r>
      <w:r w:rsidRPr="006D2D1E">
        <w:t>/2024),</w:t>
      </w:r>
    </w:p>
    <w:p w:rsidR="00192E7E" w:rsidRPr="006D2D1E" w:rsidRDefault="00192E7E" w:rsidP="00192E7E">
      <w:pPr>
        <w:pStyle w:val="NormalHanging12a"/>
      </w:pPr>
      <w:r w:rsidRPr="006D2D1E">
        <w:t>–</w:t>
      </w:r>
      <w:r w:rsidRPr="006D2D1E">
        <w:tab/>
        <w:t>έχοντας υπόψη το άρθρο 319 της Συνθήκης για τη λειτουργία της Ευρωπαϊκής Ένωσης,</w:t>
      </w:r>
    </w:p>
    <w:p w:rsidR="00192E7E" w:rsidRPr="006D2D1E" w:rsidRDefault="00192E7E" w:rsidP="00192E7E">
      <w:pPr>
        <w:pStyle w:val="NormalHanging12a"/>
      </w:pPr>
      <w:r w:rsidRPr="006D2D1E">
        <w:t>–</w:t>
      </w:r>
      <w:r w:rsidRPr="006D2D1E">
        <w:tab/>
        <w:t xml:space="preserve">έχοντας υπόψη τον κανονισμό (ΕΕ, Ευρατόμ) 2018/1046 του Ευρωπαϊκού </w:t>
      </w:r>
      <w:r w:rsidRPr="006D2D1E">
        <w:lastRenderedPageBreak/>
        <w:t>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6D2D1E">
        <w:rPr>
          <w:rStyle w:val="FootnoteReference"/>
        </w:rPr>
        <w:footnoteReference w:id="3"/>
      </w:r>
      <w:r w:rsidRPr="006D2D1E">
        <w:t>, και ιδίως το άρθρο 70,</w:t>
      </w:r>
    </w:p>
    <w:p w:rsidR="00192E7E" w:rsidRPr="006D2D1E" w:rsidRDefault="00192E7E" w:rsidP="00192E7E">
      <w:pPr>
        <w:pStyle w:val="NormalHanging12a"/>
      </w:pPr>
      <w:r w:rsidRPr="006D2D1E">
        <w:t>–</w:t>
      </w:r>
      <w:r w:rsidRPr="006D2D1E">
        <w:tab/>
        <w:t>έχοντας υπόψη τον κανονισμό (EE) 2018/1726 του Ευρωπαϊκού Κοινοβουλίου και του Συμβουλίου, της 14ης Νοεμβρίου 2018, σχετικά με τον Οργανισμό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Pr="006D2D1E">
        <w:t>eu</w:t>
      </w:r>
      <w:proofErr w:type="spellEnd"/>
      <w:r w:rsidRPr="006D2D1E">
        <w:t>-LISA), και την τροποποίηση του κανονισμού (ΕΚ) αριθ. 1987/2006 και της απόφασης 2007/533/ΔΕΥ του Συμβουλίου και την κατάργηση του κανονισμού (ΕΕ) αριθ. 1077/2011</w:t>
      </w:r>
      <w:r w:rsidRPr="006D2D1E">
        <w:rPr>
          <w:rStyle w:val="FootnoteReference"/>
        </w:rPr>
        <w:footnoteReference w:id="4"/>
      </w:r>
      <w:r w:rsidRPr="006D2D1E">
        <w:t>, και ιδίως το άρθρο 47,</w:t>
      </w:r>
    </w:p>
    <w:p w:rsidR="00192E7E" w:rsidRPr="006D2D1E" w:rsidRDefault="00192E7E" w:rsidP="00192E7E">
      <w:pPr>
        <w:pStyle w:val="NormalHanging12a"/>
      </w:pPr>
      <w:r w:rsidRPr="006D2D1E">
        <w:t>–</w:t>
      </w:r>
      <w:r w:rsidRPr="006D2D1E">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6D2D1E">
        <w:rPr>
          <w:rStyle w:val="FootnoteReference"/>
        </w:rPr>
        <w:footnoteReference w:id="5"/>
      </w:r>
      <w:r w:rsidRPr="006D2D1E">
        <w:t>, και ιδίως το άρθρο 105,</w:t>
      </w:r>
    </w:p>
    <w:p w:rsidR="00192E7E" w:rsidRPr="006D2D1E" w:rsidRDefault="00192E7E" w:rsidP="00192E7E">
      <w:pPr>
        <w:pStyle w:val="NormalHanging12a"/>
      </w:pPr>
      <w:r w:rsidRPr="006D2D1E">
        <w:t>–</w:t>
      </w:r>
      <w:r w:rsidRPr="006D2D1E">
        <w:tab/>
        <w:t>έχοντας υπόψη το άρθρο 100 και το παράρτημα V του Κανονισμού του,</w:t>
      </w:r>
    </w:p>
    <w:p w:rsidR="00192E7E" w:rsidRPr="006D2D1E" w:rsidRDefault="00192E7E" w:rsidP="00192E7E">
      <w:pPr>
        <w:pStyle w:val="NormalHanging12a"/>
      </w:pPr>
      <w:r w:rsidRPr="006D2D1E">
        <w:t>–</w:t>
      </w:r>
      <w:r w:rsidRPr="006D2D1E">
        <w:tab/>
        <w:t>έχοντας υπόψη τη γνωμοδότηση της Επιτροπής Πολιτικών Ελευθεριών, Δικαιοσύνης και Εσωτερικών Υποθέσεων,</w:t>
      </w:r>
    </w:p>
    <w:p w:rsidR="00192E7E" w:rsidRPr="006D2D1E" w:rsidRDefault="00192E7E" w:rsidP="00192E7E">
      <w:pPr>
        <w:pStyle w:val="NormalHanging12a"/>
      </w:pPr>
      <w:r w:rsidRPr="006D2D1E">
        <w:t>–</w:t>
      </w:r>
      <w:r w:rsidRPr="006D2D1E">
        <w:tab/>
        <w:t>έχοντας υπόψη την έκθεση της Επιτροπής Ελέγχου του Προϋπολογισμού (A9‑0105/2024),</w:t>
      </w:r>
    </w:p>
    <w:p w:rsidR="00192E7E" w:rsidRPr="006D2D1E" w:rsidRDefault="009433A6" w:rsidP="009433A6">
      <w:pPr>
        <w:pStyle w:val="NormalHanging12a"/>
        <w:ind w:hanging="570"/>
      </w:pPr>
      <w:r w:rsidRPr="006D2D1E">
        <w:t>1.</w:t>
      </w:r>
      <w:r w:rsidRPr="006D2D1E">
        <w:tab/>
      </w:r>
      <w:r w:rsidR="00192E7E" w:rsidRPr="006D2D1E">
        <w:t>χορηγεί απαλλαγή στην εκτελεστική διευθύντρια του Οργανισμού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00192E7E" w:rsidRPr="006D2D1E">
        <w:t>eu</w:t>
      </w:r>
      <w:proofErr w:type="spellEnd"/>
      <w:r w:rsidR="00192E7E" w:rsidRPr="006D2D1E">
        <w:t>-LISA) όσον αφορά την εκτέλεση του προϋπολογισμού του Οργανισμού για το οικονομικό έτος 2022·</w:t>
      </w:r>
    </w:p>
    <w:p w:rsidR="00192E7E" w:rsidRPr="006D2D1E" w:rsidRDefault="009433A6" w:rsidP="009433A6">
      <w:pPr>
        <w:pStyle w:val="NormalHanging12a"/>
        <w:ind w:hanging="570"/>
      </w:pPr>
      <w:r w:rsidRPr="006D2D1E">
        <w:t>2.</w:t>
      </w:r>
      <w:r w:rsidRPr="006D2D1E">
        <w:tab/>
      </w:r>
      <w:r w:rsidR="00192E7E" w:rsidRPr="006D2D1E">
        <w:t>εκθέτει τις παρατηρήσεις του στο ψήφισμα που ακολουθεί·</w:t>
      </w:r>
    </w:p>
    <w:p w:rsidR="00192E7E" w:rsidRPr="006D2D1E" w:rsidRDefault="009433A6" w:rsidP="009433A6">
      <w:pPr>
        <w:pStyle w:val="NormalHanging12a"/>
        <w:ind w:hanging="570"/>
      </w:pPr>
      <w:r w:rsidRPr="006D2D1E">
        <w:t>3.</w:t>
      </w:r>
      <w:r w:rsidRPr="006D2D1E">
        <w:tab/>
      </w:r>
      <w:r w:rsidR="00192E7E" w:rsidRPr="006D2D1E">
        <w:t>αναθέτει στην Πρόεδρό του να διαβιβάσει την παρούσα απόφαση και το ψήφισμα που αποτελεί αναπόσπαστο μέρος της στην εκτελεστική διευθύντρια του Οργανισμού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00192E7E" w:rsidRPr="006D2D1E">
        <w:t>eu</w:t>
      </w:r>
      <w:proofErr w:type="spellEnd"/>
      <w:r w:rsidR="00192E7E" w:rsidRPr="006D2D1E">
        <w:t>-LISA), στο Συμβούλιο, στην Επιτροπή και στο Ελεγκτικό Συνέδριο, και να μεριμνήσει για τη δημοσίευσή τους στην Επίσημη Εφημερίδα της Ευρωπαϊκής Ένωσης (σειρά L).</w:t>
      </w:r>
    </w:p>
    <w:p w:rsidR="00192E7E" w:rsidRPr="006D2D1E" w:rsidRDefault="00192E7E" w:rsidP="00192E7E"/>
    <w:p w:rsidR="00192E7E" w:rsidRPr="006D2D1E" w:rsidRDefault="00192E7E" w:rsidP="00192E7E">
      <w:pPr>
        <w:widowControl/>
        <w:rPr>
          <w:rFonts w:ascii="Arial" w:hAnsi="Arial" w:cs="Arial"/>
          <w:b/>
        </w:rPr>
        <w:sectPr w:rsidR="00192E7E" w:rsidRPr="006D2D1E" w:rsidSect="006D2D1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192E7E" w:rsidRPr="006D2D1E" w:rsidRDefault="00A74A83" w:rsidP="00A74A83">
      <w:pPr>
        <w:pStyle w:val="ATHeading3"/>
      </w:pPr>
      <w:r>
        <w:t xml:space="preserve">2. Απόφαση του Ευρωπαϊκού Κοινοβουλίου της 11ης Απριλίου 2024 </w:t>
      </w:r>
      <w:r w:rsidR="00192E7E" w:rsidRPr="006D2D1E">
        <w:t>σχετικά με το κλείσιμο των λογαριασμών του Οργανισμού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00192E7E" w:rsidRPr="006D2D1E">
        <w:t>eu</w:t>
      </w:r>
      <w:proofErr w:type="spellEnd"/>
      <w:r w:rsidR="00192E7E" w:rsidRPr="006D2D1E">
        <w:t>-LISA) για το οικονομικό έτος 2022</w:t>
      </w:r>
      <w:r>
        <w:t xml:space="preserve"> </w:t>
      </w:r>
      <w:r w:rsidR="00192E7E" w:rsidRPr="006D2D1E">
        <w:t>(2023/2165(DEC))</w:t>
      </w:r>
    </w:p>
    <w:p w:rsidR="00192E7E" w:rsidRPr="006D2D1E" w:rsidRDefault="00192E7E" w:rsidP="00192E7E">
      <w:pPr>
        <w:pStyle w:val="EPComma"/>
      </w:pPr>
      <w:r w:rsidRPr="006D2D1E">
        <w:rPr>
          <w:i/>
        </w:rPr>
        <w:t>Το Ευρωπαϊκό Κοινοβούλιο</w:t>
      </w:r>
      <w:r w:rsidRPr="006D2D1E">
        <w:t>,</w:t>
      </w:r>
    </w:p>
    <w:p w:rsidR="00192E7E" w:rsidRPr="006D2D1E" w:rsidRDefault="00192E7E" w:rsidP="00192E7E">
      <w:pPr>
        <w:pStyle w:val="NormalHanging12a"/>
      </w:pPr>
      <w:r w:rsidRPr="006D2D1E">
        <w:t>–</w:t>
      </w:r>
      <w:r w:rsidRPr="006D2D1E">
        <w:tab/>
        <w:t>έχοντας υπόψη τους οριστικούς ετήσιους λογαριασμούς του Οργανισμού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Pr="006D2D1E">
        <w:t>eu</w:t>
      </w:r>
      <w:proofErr w:type="spellEnd"/>
      <w:r w:rsidRPr="006D2D1E">
        <w:t>-LISA) για το οικονομικό έτος 2022,</w:t>
      </w:r>
    </w:p>
    <w:p w:rsidR="00192E7E" w:rsidRPr="006D2D1E" w:rsidRDefault="00192E7E" w:rsidP="00192E7E">
      <w:pPr>
        <w:pStyle w:val="NormalHanging12a"/>
      </w:pPr>
      <w:r w:rsidRPr="006D2D1E">
        <w:t>–</w:t>
      </w:r>
      <w:r w:rsidRPr="006D2D1E">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6D2D1E">
        <w:rPr>
          <w:rStyle w:val="FootnoteReference"/>
        </w:rPr>
        <w:footnoteReference w:id="6"/>
      </w:r>
      <w:r w:rsidRPr="006D2D1E">
        <w:t>,</w:t>
      </w:r>
    </w:p>
    <w:p w:rsidR="00192E7E" w:rsidRPr="006D2D1E" w:rsidRDefault="00192E7E" w:rsidP="00192E7E">
      <w:pPr>
        <w:pStyle w:val="NormalHanging12a"/>
      </w:pPr>
      <w:r w:rsidRPr="006D2D1E">
        <w:t>–</w:t>
      </w:r>
      <w:r w:rsidRPr="006D2D1E">
        <w:tab/>
        <w:t>έχοντας υπόψη τη δήλωση αξιοπιστίας</w:t>
      </w:r>
      <w:r w:rsidRPr="006D2D1E">
        <w:rPr>
          <w:rStyle w:val="FootnoteReference"/>
        </w:rPr>
        <w:footnoteReference w:id="7"/>
      </w:r>
      <w:r w:rsidRPr="006D2D1E">
        <w:t xml:space="preserve"> η οποία βεβαιώνει την ακρίβεια των λογαριασμών και τη νομιμότητα και κανονικότητα των σχετικών πράξεων, την οποία </w:t>
      </w:r>
      <w:proofErr w:type="spellStart"/>
      <w:r w:rsidRPr="006D2D1E">
        <w:t>ενεχείρισε</w:t>
      </w:r>
      <w:proofErr w:type="spellEnd"/>
      <w:r w:rsidRPr="006D2D1E">
        <w:t xml:space="preserve"> το Ελεγκτικό Συνέδριο για το οικονομικό έτος 2022, σύμφωνα με το άρθρο 287 της Συνθήκης για τη λειτουργία της Ευρωπαϊκής Ένωσης,</w:t>
      </w:r>
    </w:p>
    <w:p w:rsidR="00192E7E" w:rsidRPr="006D2D1E" w:rsidRDefault="00192E7E" w:rsidP="00192E7E">
      <w:pPr>
        <w:pStyle w:val="NormalHanging12a"/>
      </w:pPr>
      <w:r w:rsidRPr="006D2D1E">
        <w:t>–</w:t>
      </w:r>
      <w:r w:rsidRPr="006D2D1E">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BA3C71" w:rsidRPr="006D2D1E">
        <w:t>0</w:t>
      </w:r>
      <w:r w:rsidR="00BA3C71">
        <w:t>6180</w:t>
      </w:r>
      <w:r w:rsidRPr="006D2D1E">
        <w:t>/2024 – C9</w:t>
      </w:r>
      <w:r w:rsidRPr="006D2D1E">
        <w:noBreakHyphen/>
      </w:r>
      <w:r w:rsidR="00BA3C71" w:rsidRPr="006D2D1E">
        <w:t>0</w:t>
      </w:r>
      <w:r w:rsidR="00BA3C71">
        <w:t>103</w:t>
      </w:r>
      <w:r w:rsidRPr="006D2D1E">
        <w:t>/2024),</w:t>
      </w:r>
    </w:p>
    <w:p w:rsidR="00192E7E" w:rsidRPr="006D2D1E" w:rsidRDefault="00192E7E" w:rsidP="00192E7E">
      <w:pPr>
        <w:pStyle w:val="NormalHanging12a"/>
      </w:pPr>
      <w:r w:rsidRPr="006D2D1E">
        <w:t>–</w:t>
      </w:r>
      <w:r w:rsidRPr="006D2D1E">
        <w:tab/>
        <w:t>έχοντας υπόψη το άρθρο 319 της Συνθήκης για τη λειτουργία της Ευρωπαϊκής Ένωσης,</w:t>
      </w:r>
    </w:p>
    <w:p w:rsidR="00192E7E" w:rsidRPr="006D2D1E" w:rsidRDefault="00192E7E" w:rsidP="00192E7E">
      <w:pPr>
        <w:pStyle w:val="NormalHanging12a"/>
      </w:pPr>
      <w:r w:rsidRPr="006D2D1E">
        <w:t>–</w:t>
      </w:r>
      <w:r w:rsidRPr="006D2D1E">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6D2D1E">
        <w:rPr>
          <w:rStyle w:val="FootnoteReference"/>
        </w:rPr>
        <w:footnoteReference w:id="8"/>
      </w:r>
      <w:r w:rsidRPr="006D2D1E">
        <w:t>, και ιδίως το άρθρο 70,</w:t>
      </w:r>
    </w:p>
    <w:p w:rsidR="00192E7E" w:rsidRPr="006D2D1E" w:rsidRDefault="00192E7E" w:rsidP="00192E7E">
      <w:pPr>
        <w:pStyle w:val="NormalHanging12a"/>
      </w:pPr>
      <w:r w:rsidRPr="006D2D1E">
        <w:t>–</w:t>
      </w:r>
      <w:r w:rsidRPr="006D2D1E">
        <w:tab/>
        <w:t>έχοντας υπόψη τον κανονισμό (EE) 2018/1726 του Ευρωπαϊκού Κοινοβουλίου και του Συμβουλίου, της 14ης Νοεμβρίου 2018, σχετικά με τον Οργανισμό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Pr="006D2D1E">
        <w:t>eu</w:t>
      </w:r>
      <w:proofErr w:type="spellEnd"/>
      <w:r w:rsidRPr="006D2D1E">
        <w:t>-LISA), και την τροποποίηση του κανονισμού (ΕΚ) αριθ. 1987/2006 και της απόφασης 2007/533/ΔΕΥ του Συμβουλίου και την κατάργηση του κανονισμού (ΕΕ) αριθ. 1077/2011</w:t>
      </w:r>
      <w:r w:rsidRPr="006D2D1E">
        <w:rPr>
          <w:rStyle w:val="FootnoteReference"/>
        </w:rPr>
        <w:footnoteReference w:id="9"/>
      </w:r>
      <w:r w:rsidRPr="006D2D1E">
        <w:t>, και ιδίως το άρθρο 47,</w:t>
      </w:r>
    </w:p>
    <w:p w:rsidR="00192E7E" w:rsidRPr="006D2D1E" w:rsidRDefault="00192E7E" w:rsidP="00192E7E">
      <w:pPr>
        <w:pStyle w:val="NormalHanging12a"/>
      </w:pPr>
      <w:r w:rsidRPr="006D2D1E">
        <w:t>–</w:t>
      </w:r>
      <w:r w:rsidRPr="006D2D1E">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6D2D1E">
        <w:rPr>
          <w:rStyle w:val="FootnoteReference"/>
        </w:rPr>
        <w:footnoteReference w:id="10"/>
      </w:r>
      <w:r w:rsidRPr="006D2D1E">
        <w:t>, και ιδίως το άρθρο 105,</w:t>
      </w:r>
    </w:p>
    <w:p w:rsidR="00192E7E" w:rsidRPr="006D2D1E" w:rsidRDefault="00192E7E" w:rsidP="00192E7E">
      <w:pPr>
        <w:pStyle w:val="NormalHanging12a"/>
      </w:pPr>
      <w:r w:rsidRPr="006D2D1E">
        <w:t>–</w:t>
      </w:r>
      <w:r w:rsidRPr="006D2D1E">
        <w:tab/>
        <w:t>έχοντας υπόψη το άρθρο 100 και το παράρτημα V του Κανονισμού του,</w:t>
      </w:r>
    </w:p>
    <w:p w:rsidR="00192E7E" w:rsidRPr="006D2D1E" w:rsidRDefault="00192E7E" w:rsidP="00192E7E">
      <w:pPr>
        <w:pStyle w:val="NormalHanging12a"/>
      </w:pPr>
      <w:r w:rsidRPr="006D2D1E">
        <w:t>–</w:t>
      </w:r>
      <w:r w:rsidRPr="006D2D1E">
        <w:tab/>
        <w:t>έχοντας υπόψη τη γνωμοδότηση της Επιτροπής Πολιτικών Ελευθεριών, Δικαιοσύνης και Εσωτερικών Υποθέσεων,</w:t>
      </w:r>
    </w:p>
    <w:p w:rsidR="00192E7E" w:rsidRPr="006D2D1E" w:rsidRDefault="00192E7E" w:rsidP="00192E7E">
      <w:pPr>
        <w:pStyle w:val="NormalHanging12a"/>
      </w:pPr>
      <w:r w:rsidRPr="006D2D1E">
        <w:t>–</w:t>
      </w:r>
      <w:r w:rsidRPr="006D2D1E">
        <w:tab/>
        <w:t>έχοντας υπόψη την έκθεση της Επιτροπής Ελέγχου του Προϋπολογισμού (A9-0105/2024),</w:t>
      </w:r>
    </w:p>
    <w:p w:rsidR="00192E7E" w:rsidRPr="006D2D1E" w:rsidRDefault="009433A6" w:rsidP="009433A6">
      <w:pPr>
        <w:pStyle w:val="NormalHanging12a"/>
        <w:ind w:hanging="570"/>
      </w:pPr>
      <w:r w:rsidRPr="006D2D1E">
        <w:t>1.</w:t>
      </w:r>
      <w:r w:rsidRPr="006D2D1E">
        <w:tab/>
      </w:r>
      <w:r w:rsidR="00192E7E" w:rsidRPr="006D2D1E">
        <w:t>εγκρίνει το κλείσιμο των λογαριασμών του Οργανισμού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00192E7E" w:rsidRPr="006D2D1E">
        <w:t>eu</w:t>
      </w:r>
      <w:proofErr w:type="spellEnd"/>
      <w:r w:rsidR="00192E7E" w:rsidRPr="006D2D1E">
        <w:t>-LISA) για το οικονομικό έτος 2022·</w:t>
      </w:r>
    </w:p>
    <w:p w:rsidR="00192E7E" w:rsidRPr="006D2D1E" w:rsidRDefault="009433A6" w:rsidP="009433A6">
      <w:pPr>
        <w:pStyle w:val="NormalHanging12a"/>
        <w:ind w:hanging="570"/>
      </w:pPr>
      <w:r w:rsidRPr="006D2D1E">
        <w:t>2.</w:t>
      </w:r>
      <w:r w:rsidRPr="006D2D1E">
        <w:tab/>
      </w:r>
      <w:r w:rsidR="00192E7E" w:rsidRPr="006D2D1E">
        <w:t>αναθέτει στην Πρόεδρό του να διαβιβάσει την παρούσα απόφαση στην εκτελεστική διευθύντρια του Οργανισμού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00192E7E" w:rsidRPr="006D2D1E">
        <w:t>eu</w:t>
      </w:r>
      <w:proofErr w:type="spellEnd"/>
      <w:r w:rsidR="00192E7E" w:rsidRPr="006D2D1E">
        <w:t>-LISA),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rsidR="00192E7E" w:rsidRPr="006D2D1E" w:rsidRDefault="00192E7E" w:rsidP="00192E7E"/>
    <w:p w:rsidR="00192E7E" w:rsidRPr="006D2D1E" w:rsidRDefault="00192E7E" w:rsidP="00192E7E">
      <w:pPr>
        <w:widowControl/>
        <w:rPr>
          <w:rFonts w:ascii="Arial" w:hAnsi="Arial" w:cs="Arial"/>
          <w:b/>
        </w:rPr>
        <w:sectPr w:rsidR="00192E7E" w:rsidRPr="006D2D1E" w:rsidSect="006D2D1E">
          <w:footnotePr>
            <w:numRestart w:val="eachPage"/>
          </w:footnotePr>
          <w:endnotePr>
            <w:numFmt w:val="decimal"/>
          </w:endnotePr>
          <w:pgSz w:w="11906" w:h="16838"/>
          <w:pgMar w:top="1134" w:right="1418" w:bottom="1418" w:left="1418" w:header="567" w:footer="567" w:gutter="0"/>
          <w:cols w:space="720"/>
          <w:docGrid w:linePitch="326"/>
        </w:sectPr>
      </w:pPr>
    </w:p>
    <w:p w:rsidR="00192E7E" w:rsidRPr="006D2D1E" w:rsidRDefault="00A74A83" w:rsidP="00A74A83">
      <w:pPr>
        <w:pStyle w:val="ATHeading3"/>
      </w:pPr>
      <w:r>
        <w:t xml:space="preserve">3. Ψήφισμα του Ευρωπαϊκού Κοινοβουλίου της 11ης Απριλίου 2024 </w:t>
      </w:r>
      <w:r w:rsidR="00192E7E" w:rsidRPr="006D2D1E">
        <w:t>με τις παρατηρήσεις που αποτελούν αναπόσπαστο μέρος της απόφασης σχετικά με την απαλλαγή όσον αφορά την εκτέλεση του προϋπολογισμού του Οργανισμού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00192E7E" w:rsidRPr="006D2D1E">
        <w:t>eu</w:t>
      </w:r>
      <w:proofErr w:type="spellEnd"/>
      <w:r w:rsidR="00192E7E" w:rsidRPr="006D2D1E">
        <w:t>-LISA) για το οικονομικό έτος 2022</w:t>
      </w:r>
      <w:r>
        <w:t xml:space="preserve"> </w:t>
      </w:r>
      <w:r w:rsidR="00192E7E" w:rsidRPr="006D2D1E">
        <w:t>(2023/2165(DEC))</w:t>
      </w:r>
    </w:p>
    <w:p w:rsidR="00192E7E" w:rsidRPr="006D2D1E" w:rsidRDefault="00192E7E" w:rsidP="00192E7E">
      <w:pPr>
        <w:pStyle w:val="EPComma"/>
      </w:pPr>
      <w:r w:rsidRPr="006D2D1E">
        <w:rPr>
          <w:i/>
        </w:rPr>
        <w:t>Το Ευρωπαϊκό Κοινοβούλιο</w:t>
      </w:r>
      <w:r w:rsidRPr="006D2D1E">
        <w:t>,</w:t>
      </w:r>
    </w:p>
    <w:p w:rsidR="00192E7E" w:rsidRPr="006D2D1E" w:rsidRDefault="00192E7E" w:rsidP="00192E7E">
      <w:pPr>
        <w:pStyle w:val="NormalHanging12a"/>
      </w:pPr>
      <w:r w:rsidRPr="006D2D1E">
        <w:t>–</w:t>
      </w:r>
      <w:r w:rsidRPr="006D2D1E">
        <w:tab/>
        <w:t>έχοντας υπόψη την απόφασή του σχετικά με την απαλλαγή όσον αφορά την εκτέλεση του προϋπολογισμού του Οργανισμού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Pr="006D2D1E">
        <w:t>eu</w:t>
      </w:r>
      <w:proofErr w:type="spellEnd"/>
      <w:r w:rsidRPr="006D2D1E">
        <w:t>-LISA) για το οικονομικό έτος 2022,</w:t>
      </w:r>
    </w:p>
    <w:p w:rsidR="00192E7E" w:rsidRPr="006D2D1E" w:rsidRDefault="00192E7E" w:rsidP="00192E7E">
      <w:pPr>
        <w:pStyle w:val="NormalHanging12a"/>
      </w:pPr>
      <w:r w:rsidRPr="006D2D1E">
        <w:t>–</w:t>
      </w:r>
      <w:r w:rsidRPr="006D2D1E">
        <w:tab/>
        <w:t>έχοντας υπόψη το άρθρο 100 και το παράρτημα V του Κανονισμού του,</w:t>
      </w:r>
    </w:p>
    <w:p w:rsidR="00192E7E" w:rsidRPr="006D2D1E" w:rsidRDefault="00192E7E" w:rsidP="00192E7E">
      <w:pPr>
        <w:pStyle w:val="NormalHanging12a"/>
      </w:pPr>
      <w:r w:rsidRPr="006D2D1E">
        <w:t>–</w:t>
      </w:r>
      <w:r w:rsidRPr="006D2D1E">
        <w:tab/>
        <w:t>έχοντας υπόψη τη γνωμοδότηση της Επιτροπής Πολιτικών Ελευθεριών, Δικαιοσύνης και Εσωτερικών Υποθέσεων,</w:t>
      </w:r>
    </w:p>
    <w:p w:rsidR="00192E7E" w:rsidRPr="006D2D1E" w:rsidRDefault="00192E7E" w:rsidP="00192E7E">
      <w:pPr>
        <w:pStyle w:val="NormalHanging12a"/>
      </w:pPr>
      <w:r w:rsidRPr="006D2D1E">
        <w:t>–</w:t>
      </w:r>
      <w:r w:rsidRPr="006D2D1E">
        <w:tab/>
        <w:t>έχοντας υπόψη την έκθεση της Επιτροπής Ελέγχου του Προϋπολογισμού (A9-0105/2024),</w:t>
      </w:r>
    </w:p>
    <w:p w:rsidR="00192E7E" w:rsidRPr="006D2D1E" w:rsidRDefault="00192E7E" w:rsidP="00192E7E">
      <w:pPr>
        <w:pStyle w:val="Normal12Hanging"/>
        <w:shd w:val="clear" w:color="auto" w:fill="FFFFFF" w:themeFill="background1"/>
        <w:rPr>
          <w:szCs w:val="24"/>
          <w:lang w:val="el-GR"/>
        </w:rPr>
      </w:pPr>
      <w:r w:rsidRPr="006D2D1E">
        <w:rPr>
          <w:lang w:val="el-GR"/>
        </w:rPr>
        <w:t>Α.</w:t>
      </w:r>
      <w:r w:rsidRPr="006D2D1E">
        <w:rPr>
          <w:lang w:val="el-GR"/>
        </w:rPr>
        <w:tab/>
        <w:t>λαμβάνοντας υπόψη ότι, σύμφωνα με την κατάσταση εσόδων και δαπανών του</w:t>
      </w:r>
      <w:r w:rsidRPr="006D2D1E">
        <w:rPr>
          <w:szCs w:val="24"/>
          <w:vertAlign w:val="superscript"/>
          <w:lang w:val="el-GR"/>
        </w:rPr>
        <w:footnoteReference w:id="11"/>
      </w:r>
      <w:r w:rsidRPr="006D2D1E">
        <w:rPr>
          <w:lang w:val="el-GR"/>
        </w:rPr>
        <w:t>, ο οριστικός προϋπολογισμός του Οργανισμού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Pr="006D2D1E">
        <w:rPr>
          <w:lang w:val="el-GR"/>
        </w:rPr>
        <w:t>eu</w:t>
      </w:r>
      <w:proofErr w:type="spellEnd"/>
      <w:r w:rsidRPr="006D2D1E">
        <w:rPr>
          <w:lang w:val="el-GR"/>
        </w:rPr>
        <w:t xml:space="preserve">-LISA) (ο </w:t>
      </w:r>
      <w:r w:rsidR="00BA3C71">
        <w:rPr>
          <w:lang w:val="el-GR"/>
        </w:rPr>
        <w:t>«</w:t>
      </w:r>
      <w:r w:rsidRPr="006D2D1E">
        <w:rPr>
          <w:lang w:val="el-GR"/>
        </w:rPr>
        <w:t>Οργανισμός</w:t>
      </w:r>
      <w:r w:rsidR="00BA3C71">
        <w:rPr>
          <w:lang w:val="el-GR"/>
        </w:rPr>
        <w:t>»</w:t>
      </w:r>
      <w:r w:rsidRPr="006D2D1E">
        <w:rPr>
          <w:lang w:val="el-GR"/>
        </w:rPr>
        <w:t>) για το οικονομικό έτος 2022 ήταν 351 630 151 EUR, που συνιστά αύξηση κατά 62,41 % σε σύγκριση με το 2021· λαμβάνοντας υπόψη ότι ο προϋπολογισμός του Οργανισμού προέρχεται σχεδόν αποκλειστικά από τον προϋπολογισμό της Ένωσης·</w:t>
      </w:r>
    </w:p>
    <w:p w:rsidR="00192E7E" w:rsidRPr="006D2D1E" w:rsidRDefault="00192E7E" w:rsidP="00192E7E">
      <w:pPr>
        <w:pStyle w:val="Normal12Hanging"/>
        <w:shd w:val="clear" w:color="auto" w:fill="FFFFFF" w:themeFill="background1"/>
        <w:rPr>
          <w:szCs w:val="24"/>
          <w:lang w:val="el-GR"/>
        </w:rPr>
      </w:pPr>
      <w:r w:rsidRPr="006D2D1E">
        <w:rPr>
          <w:lang w:val="el-GR"/>
        </w:rPr>
        <w:t>Β.</w:t>
      </w:r>
      <w:r w:rsidRPr="006D2D1E">
        <w:rPr>
          <w:lang w:val="el-GR"/>
        </w:rPr>
        <w:tab/>
        <w:t>λαμβάνοντας υπόψη ότι η αύξηση του προϋπολογισμού του Οργανισμού για το 2022 δικαιολογείται κυρίως από τα πρόσθετα καθήκοντα του Οργανισμού που σχετίζονται με τη διαχείριση νέων συστημάτων ΤΠ μεγάλης κλίμακας και τη διαλειτουργικότητα των συστημάτων ΤΠ·</w:t>
      </w:r>
    </w:p>
    <w:p w:rsidR="00192E7E" w:rsidRPr="006D2D1E" w:rsidRDefault="00192E7E" w:rsidP="00192E7E">
      <w:pPr>
        <w:pStyle w:val="Normal12Hanging"/>
        <w:shd w:val="clear" w:color="auto" w:fill="FFFFFF" w:themeFill="background1"/>
        <w:rPr>
          <w:szCs w:val="24"/>
          <w:lang w:val="el-GR"/>
        </w:rPr>
      </w:pPr>
      <w:r w:rsidRPr="006D2D1E">
        <w:rPr>
          <w:lang w:val="el-GR"/>
        </w:rPr>
        <w:t>Γ.</w:t>
      </w:r>
      <w:r w:rsidRPr="006D2D1E">
        <w:rPr>
          <w:lang w:val="el-GR"/>
        </w:rPr>
        <w:tab/>
        <w:t>λαμβάνοντας υπόψη ότι το Ελεγκτικό Συνέδριο, στην έκθεσή του για τους ετήσιους λογαριασμούς του Οργανισμού για το οικονομικό έτος 2022 («η έκθεση του Ελεγκτικού Συνεδρίου»), δηλώνει πως αποκόμισε εύλογη βεβαιότητα ότι οι ετήσιοι λογαριασμοί του Οργανισμού είναι αξιόπιστοι και ότι οι υποκείμενες πράξεις όσον αφορά τα έσοδα είναι, από κάθε ουσιώδη πλευρά, νόμιμες και κανονικές· λαμβάνοντας υπόψη ότι το Ελεγκτικό Συνέδριο εντόπισε συνολικά 17,8 εκατ</w:t>
      </w:r>
      <w:r w:rsidR="00A74A83">
        <w:rPr>
          <w:lang w:val="el-GR"/>
        </w:rPr>
        <w:t>ομμύρια</w:t>
      </w:r>
      <w:r w:rsidRPr="006D2D1E">
        <w:rPr>
          <w:lang w:val="el-GR"/>
        </w:rPr>
        <w:t> EUR για πληρωμές που πραγματοποιήθηκαν το 2022, εκ των οποίων τα 10,9 εκατ</w:t>
      </w:r>
      <w:r w:rsidR="00A74A83">
        <w:rPr>
          <w:lang w:val="el-GR"/>
        </w:rPr>
        <w:t>ομμύρια</w:t>
      </w:r>
      <w:r w:rsidRPr="006D2D1E">
        <w:rPr>
          <w:lang w:val="el-GR"/>
        </w:rPr>
        <w:t> EUR συνδέονται με τρεις συγκεκριμένες συμβάσεις οι οποίες κρίθηκαν παράτυπες και 6,8 εκατ</w:t>
      </w:r>
      <w:r w:rsidR="00A74A83">
        <w:rPr>
          <w:lang w:val="el-GR"/>
        </w:rPr>
        <w:t>ομμύρια</w:t>
      </w:r>
      <w:r w:rsidRPr="006D2D1E">
        <w:rPr>
          <w:lang w:val="el-GR"/>
        </w:rPr>
        <w:t> EUR για πληρωμές που θεωρήθηκαν μη συμμορφούμενες με τις διατάξεις των σχετικών συμβάσεων-πλαισίου, ποσό το οποίο αντιστοιχεί συνολικά στο 4,80 % των πιστώσεων πληρωμών που ήταν διαθέσιμες το 2022, υπερβαίνοντας συνεπώς το όριο σημαντικότητας που έχει καθοριστεί για τον έλεγχο, με αποτέλεσμα να διατυπωθεί γνώμη με επιφύλαξη όσον αφορά τη νομιμότητα και κανονικότητα των πληρωμών στις οποίες βασίζονται οι λογαριασμοί· λαμβάνοντας υπόψη ότι, εκτός από τις εν λόγω μη συμμορφούμενες πληρωμές, το Ελεγκτικό Συνέδριο καταλήγει στο συμπέρασμα πως οι υποκείμενες πράξεις όσον αφορά τις πληρωμές για το έτος που έληξε την 31η Δεκεμβρίου 2022 είναι, από κάθε ουσιώδη πλευρά, νόμιμες και κανονικές·</w:t>
      </w:r>
    </w:p>
    <w:p w:rsidR="00192E7E" w:rsidRPr="006D2D1E" w:rsidRDefault="00192E7E" w:rsidP="00192E7E">
      <w:pPr>
        <w:pStyle w:val="Normal12Hanging"/>
        <w:shd w:val="clear" w:color="auto" w:fill="FFFFFF" w:themeFill="background1"/>
        <w:rPr>
          <w:b/>
          <w:i/>
          <w:szCs w:val="24"/>
          <w:lang w:val="el-GR"/>
        </w:rPr>
      </w:pPr>
      <w:r w:rsidRPr="006D2D1E">
        <w:rPr>
          <w:b/>
          <w:i/>
          <w:lang w:val="el-GR"/>
        </w:rPr>
        <w:t>Δημοσιονομική και χρηματοοικονομική διαχείριση</w:t>
      </w:r>
    </w:p>
    <w:p w:rsidR="00192E7E" w:rsidRPr="009433A6" w:rsidRDefault="009433A6" w:rsidP="009433A6">
      <w:pPr>
        <w:shd w:val="clear" w:color="auto" w:fill="FFFFFF" w:themeFill="background1"/>
        <w:spacing w:after="240"/>
        <w:ind w:left="567" w:hanging="573"/>
        <w:rPr>
          <w:szCs w:val="24"/>
        </w:rPr>
      </w:pPr>
      <w:r w:rsidRPr="00A74A83">
        <w:rPr>
          <w:szCs w:val="24"/>
        </w:rPr>
        <w:t>1.</w:t>
      </w:r>
      <w:r w:rsidRPr="00A74A83">
        <w:rPr>
          <w:szCs w:val="24"/>
        </w:rPr>
        <w:tab/>
      </w:r>
      <w:r w:rsidR="00192E7E" w:rsidRPr="006D2D1E">
        <w:t>σημειώνει ότι οι προσπάθειες παρακολούθησης του προϋπολογισμού στη διάρκεια του οικονομικού έτους 2022 είχαν ως αποτέλεσμα ποσοστό εκτέλεσης του προϋπολογισμού 91,13 % σε πιστώσεις αναλήψεων υποχρεώσεων, ήτοι μείωση κατά 8,87 % σε σύγκριση με το 2021· εκφράζει επίσης την ανησυχία του για το γεγονός ότι το ποσοστό εκτέλεσης των πιστώσεων πληρωμών ανήλθε σε 86,71 %, ήτοι μειώθηκε κατά 7,94 % σε σύγκριση με το 2021·</w:t>
      </w:r>
    </w:p>
    <w:p w:rsidR="00192E7E" w:rsidRPr="006D2D1E" w:rsidRDefault="009433A6" w:rsidP="009433A6">
      <w:pPr>
        <w:pStyle w:val="NormalHanging12a"/>
        <w:shd w:val="clear" w:color="auto" w:fill="FFFFFF" w:themeFill="background1"/>
        <w:ind w:hanging="573"/>
        <w:rPr>
          <w:szCs w:val="24"/>
        </w:rPr>
      </w:pPr>
      <w:r w:rsidRPr="006D2D1E">
        <w:rPr>
          <w:szCs w:val="24"/>
        </w:rPr>
        <w:t>2.</w:t>
      </w:r>
      <w:r w:rsidRPr="006D2D1E">
        <w:rPr>
          <w:szCs w:val="24"/>
        </w:rPr>
        <w:tab/>
      </w:r>
      <w:r w:rsidR="00192E7E" w:rsidRPr="006D2D1E">
        <w:t>σημειώνει με ανησυχία ότι, σύμφωνα με την έκθεση του Ελεγκτικού Συνεδρίου, ο Οργανισμός είχε μεταφέρει 14,4 εκατ</w:t>
      </w:r>
      <w:r w:rsidR="00A74A83">
        <w:t>ομμύρια</w:t>
      </w:r>
      <w:r w:rsidR="00192E7E" w:rsidRPr="006D2D1E">
        <w:t> EUR (23 %) από τις διαθέσιμες πιστώσεις αναλήψεων υποχρεώσεων του 2022 στο 2023, εκ των οποίων 13,7 εκατ</w:t>
      </w:r>
      <w:r w:rsidR="00A74A83">
        <w:t>ομμύρια</w:t>
      </w:r>
      <w:r w:rsidR="00192E7E" w:rsidRPr="006D2D1E">
        <w:t> EUR (ή 95 %) αφορούσαν πιστώσεις στο πλαίσιο του τίτλου II για διοικητικές δαπάνες (97 % το 2021)· παρατηρεί την επανάληψη των μεταφορών πιστώσεων στο επόμενο οικονομικό έτος, γεγονός που οδήγησε το Ελεγκτικό Συνέδριο να υπενθυμίσει πως τα επαναλαμβανόμενα υψηλά ποσοστά μεταφορών αντιβαίνουν στην αρχή της ετήσιας διάρκειας του προϋπολογισμού και υποδεικνύουν διαρθρωτικά προβλήματα κατά την εκτέλεση του προϋπολογισμού ή ανεπαρκή δημοσιονομικό σχεδιασμό· σημειώνει την απάντηση του Οργανισμού πως, το 2022, πραγματοποίησε μεταφορές πιστώσεων για διοικητικές δραστηριότητες που ήταν αναγκαίες ή επαναλαμβανόμενες, παρέχοντας διαβεβαιώσεις σχετικά με την τήρηση της χρηστής δημοσιονομικής διαχείρισης για τις υποκείμενες πράξεις· σημειώνει ότι, σύμφωνα με την έκθεση του Οργανισμού σχετικά με τα μέτρα παρακολούθησης που ελήφθησαν υπό το φως της απαλλαγής όσον αφορά την εκτέλεση του προϋπολογισμού του Οργανισμού για το οικονομικό έτος 2021 («η έκθεση παρακολούθησης του Οργανισμού»), ο Οργανισμός έχει καταρτίσει σχέδιο δράσης το οποίο περιλαμβάνει διάφορα μέτρα που εφαρμόστηκαν από το 2023 με γνώμονα την τήρηση της αρχής της ετήσιας διάρκειας και τη μείωση του επιπέδου των μεταφορών στο επόμενο οικονομικό έτος· σημειώνει στο πλαίσιο αυτό ότι η υπογραφή, κατά το τέταρτο τρίμηνο του 2023, της νέας σύμβασης-πλαισίου για την παροχή υπηρεσιών εξωτερικής στήριξης είναι απαραίτητη για την επίτευξη των εν λόγω στόχων· αναμένει ότι η εφαρμογή του εν λόγω σχεδίου δράσης θα οδηγήσει σε σημαντική βελτίωση, και καλεί τον Οργανισμό να υποβάλει έκθεση στην αρμόδια για την απαλλαγή αρχή σχετικά με την επιτευχθείσα πρόοδο εν προκειμένω·</w:t>
      </w:r>
    </w:p>
    <w:p w:rsidR="00192E7E" w:rsidRPr="006D2D1E" w:rsidRDefault="00192E7E" w:rsidP="00192E7E">
      <w:pPr>
        <w:pStyle w:val="Normal12Hanging"/>
        <w:shd w:val="clear" w:color="auto" w:fill="FFFFFF" w:themeFill="background1"/>
        <w:rPr>
          <w:szCs w:val="24"/>
          <w:lang w:val="el-GR"/>
        </w:rPr>
      </w:pPr>
      <w:r w:rsidRPr="006D2D1E">
        <w:rPr>
          <w:b/>
          <w:i/>
          <w:lang w:val="el-GR"/>
        </w:rPr>
        <w:t>Επιδόσεις</w:t>
      </w:r>
    </w:p>
    <w:p w:rsidR="00192E7E" w:rsidRPr="006D2D1E" w:rsidRDefault="009433A6" w:rsidP="009433A6">
      <w:pPr>
        <w:pStyle w:val="NormalHanging12a"/>
        <w:shd w:val="clear" w:color="auto" w:fill="FFFFFF" w:themeFill="background1"/>
        <w:ind w:hanging="570"/>
        <w:rPr>
          <w:szCs w:val="24"/>
        </w:rPr>
      </w:pPr>
      <w:r w:rsidRPr="006D2D1E">
        <w:rPr>
          <w:szCs w:val="24"/>
        </w:rPr>
        <w:t>3.</w:t>
      </w:r>
      <w:r w:rsidRPr="006D2D1E">
        <w:rPr>
          <w:szCs w:val="24"/>
        </w:rPr>
        <w:tab/>
      </w:r>
      <w:r w:rsidR="00192E7E" w:rsidRPr="006D2D1E">
        <w:t xml:space="preserve">επικροτεί το γεγονός ότι ο Οργανισμός χρησιμοποιεί ορισμένα εργαλεία, όπως οι βασικοί δείκτες επιδόσεων, για να υπολογίζει την προστιθέμενη αξία που παρέχουν οι δραστηριότητές του και να βελτιώνει τη δημοσιονομική του διαχείριση· σημειώνει ότι το ετήσιο πρόγραμμα εργασίας για το 2022 περιλάμβανε 135 δραστηριότητες: 90 υλοποιημένες (67 %), 16 εν εξελίξει (12 %), 20 εν εξελίξει και καθυστερημένες (15 %) και 9 αναβληθείσες (7 %)· σημειώνει τη νέα προσέγγιση του Οργανισμού, σύμφωνα με την οποία οι δραστηριότητές του έχουν </w:t>
      </w:r>
      <w:proofErr w:type="spellStart"/>
      <w:r w:rsidR="00192E7E" w:rsidRPr="006D2D1E">
        <w:t>εξορθολογιστεί</w:t>
      </w:r>
      <w:proofErr w:type="spellEnd"/>
      <w:r w:rsidR="00192E7E" w:rsidRPr="006D2D1E">
        <w:t xml:space="preserve"> σε χαρτοφυλάκια και προγράμματα ώστε να αντικατοπτρίζουν το μοντέλο λειτουργίας του Οργανισμού και τις αλληλεξαρτήσεις μεταξύ έργων και δραστηριοτήτων· καλεί τον Οργανισμό να εντοπίσει τις βελτιώσεις που επιτεύχθηκαν χάρη στη νέα αυτή προσέγγιση και να υποβάλει τις σχετικές παρατηρήσεις του·</w:t>
      </w:r>
    </w:p>
    <w:p w:rsidR="00192E7E" w:rsidRPr="006D2D1E" w:rsidRDefault="009433A6" w:rsidP="009433A6">
      <w:pPr>
        <w:pStyle w:val="NormalHanging12a"/>
        <w:shd w:val="clear" w:color="auto" w:fill="FFFFFF" w:themeFill="background1"/>
        <w:ind w:hanging="570"/>
        <w:rPr>
          <w:szCs w:val="24"/>
        </w:rPr>
      </w:pPr>
      <w:r w:rsidRPr="006D2D1E">
        <w:rPr>
          <w:szCs w:val="24"/>
        </w:rPr>
        <w:t>4.</w:t>
      </w:r>
      <w:r w:rsidRPr="006D2D1E">
        <w:rPr>
          <w:szCs w:val="24"/>
        </w:rPr>
        <w:tab/>
      </w:r>
      <w:r w:rsidR="00192E7E" w:rsidRPr="006D2D1E">
        <w:t>επαινεί τον Οργανισμό για το γεγονός ότι ενέκρινε όλα τα υποχρεωτικά εταιρικά έγγραφα προγραμματισμού και τις υποχρεωτικές εταιρικές εκθέσεις, όπως το ενιαίο έγγραφο προγραμματισμού 2023-2025, σύμφωνα με τις κανονιστικές απαιτήσεις και εντός των νόμιμων προθεσμιών· σημειώνει ότι ο Οργανισμός ενέκρινε επίσης χάρτη πορείας για την εφαρμογή της στρατηγικής για την ευθυγράμμιση των στρατηγικών επιχειρησιακών του στόχων και την παρακολούθηση της εφαρμογής της μακροπρόθεσμης στρατηγικής του Οργανισμού για την περίοδο 2021-2027· σημειώνει ακόμη τις προσπάθειες του Οργανισμού να βελτιώσει τις οικείες διαδικασίες πολυετούς και ετήσιου σχεδιασμού με τη χρήση νέου εργαλείου (</w:t>
      </w:r>
      <w:proofErr w:type="spellStart"/>
      <w:r w:rsidR="00192E7E" w:rsidRPr="006D2D1E">
        <w:t>Anaplan</w:t>
      </w:r>
      <w:proofErr w:type="spellEnd"/>
      <w:r w:rsidR="00192E7E" w:rsidRPr="006D2D1E">
        <w:t xml:space="preserve">)· σημειώνει ότι ο Οργανισμός χρησιμοποίησε το Κοινό Πλαίσιο Αξιολόγησης (ΚΠΑ) για να αναλύσει τα δυνατά σημεία και τις αδυναμίες του, γεγονός που οδήγησε στην υποβολή, τον Απρίλιο του 2022, έκθεσης </w:t>
      </w:r>
      <w:proofErr w:type="spellStart"/>
      <w:r w:rsidR="00192E7E" w:rsidRPr="006D2D1E">
        <w:t>αυτοαξιολόγησης</w:t>
      </w:r>
      <w:proofErr w:type="spellEnd"/>
      <w:r w:rsidR="00192E7E" w:rsidRPr="006D2D1E">
        <w:t xml:space="preserve"> με σχέδιο δράσης για την εξυπηρέτηση του χάρτη πορείας που περιγράφει λεπτομερώς τις προτεραιότητες του Οργανισμού για την επιχειρησιακή ανάπτυξη· σημειώνει ότι ο Οργανισμός υπέβαλε αίτηση προκειμένου να λάβει το σήμα «Αποτελεσματικός χρήστης ΚΠΑ»·</w:t>
      </w:r>
    </w:p>
    <w:p w:rsidR="00192E7E" w:rsidRPr="006D2D1E" w:rsidRDefault="009433A6" w:rsidP="009433A6">
      <w:pPr>
        <w:pStyle w:val="NormalHanging12a"/>
        <w:shd w:val="clear" w:color="auto" w:fill="FFFFFF" w:themeFill="background1"/>
        <w:ind w:hanging="570"/>
        <w:rPr>
          <w:szCs w:val="24"/>
        </w:rPr>
      </w:pPr>
      <w:r w:rsidRPr="006D2D1E">
        <w:rPr>
          <w:szCs w:val="24"/>
        </w:rPr>
        <w:t>5.</w:t>
      </w:r>
      <w:r w:rsidRPr="006D2D1E">
        <w:rPr>
          <w:szCs w:val="24"/>
        </w:rPr>
        <w:tab/>
      </w:r>
      <w:r w:rsidR="00192E7E" w:rsidRPr="006D2D1E">
        <w:rPr>
          <w:shd w:val="clear" w:color="auto" w:fill="FFFFFF"/>
        </w:rPr>
        <w:t>επικροτεί τη συνεχιζόμενη στήριξη του Οργανισμού για την εφαρμογή των ενωσιακών πολιτικών στους τομείς της ελεύθερης κυκλοφορίας προσώπων και εμπορευμάτων, των κοινών ταξιδιωτικών θεωρήσεων, των συνοριακών ελέγχων, της μετανάστευσης και του ασύλου, καθώς και της συνεργασίας μεταξύ των εθνικών αρχών επιβολής του νόμου και των δικαστικών αρχών, μεταξύ άλλων όσον αφορά την καταπολέμηση του οργανωμένου εγκλήματος, της παράνομης διακίνησης και εμπορίας ανθρώπων και της τρομοκρατίας· αναμένει σημαντική συμβολή του Οργανισμού στην ψηφιοποίηση της δικαιοσύνης, προκειμένου να βελτιωθεί η συνεργασία μεταξύ των δικαστικών αρχών της Ένωσης και να παρασχεθεί καλύτερη πρόσβαση στη δικαιοσύνη για τους πολίτες και τις επιχειρήσεις της Ένωσης·</w:t>
      </w:r>
    </w:p>
    <w:p w:rsidR="00192E7E" w:rsidRPr="006D2D1E" w:rsidRDefault="009433A6" w:rsidP="009433A6">
      <w:pPr>
        <w:pStyle w:val="NormalHanging12a"/>
        <w:shd w:val="clear" w:color="auto" w:fill="FFFFFF" w:themeFill="background1"/>
        <w:ind w:hanging="570"/>
        <w:rPr>
          <w:szCs w:val="24"/>
        </w:rPr>
      </w:pPr>
      <w:r w:rsidRPr="006D2D1E">
        <w:rPr>
          <w:szCs w:val="24"/>
        </w:rPr>
        <w:t>6.</w:t>
      </w:r>
      <w:r w:rsidRPr="006D2D1E">
        <w:rPr>
          <w:szCs w:val="24"/>
        </w:rPr>
        <w:tab/>
      </w:r>
      <w:r w:rsidR="00192E7E" w:rsidRPr="006D2D1E">
        <w:t xml:space="preserve">υπενθυμίζει τον βασικό ρόλο του Οργανισμού στη διασφάλιση της σταθερής λειτουργίας και της συνεχούς διαθεσιμότητας, καθώς και στην εξέλιξη και συντήρηση των συστημάτων πληροφοριών της Ένωσης στον τομέα της δικαιοσύνης και των εσωτερικών υποθέσεων (ΔΕΥ), όπως το Σύστημα Πληροφοριών Σένγκεν (SIS), το Σύστημα Πληροφοριών για τις Θεωρήσεις (VIS) και η ευρωπαϊκή βάση δεδομένων </w:t>
      </w:r>
      <w:proofErr w:type="spellStart"/>
      <w:r w:rsidR="00192E7E" w:rsidRPr="006D2D1E">
        <w:t>δακτυλοσκόπησης</w:t>
      </w:r>
      <w:proofErr w:type="spellEnd"/>
      <w:r w:rsidR="00192E7E" w:rsidRPr="006D2D1E">
        <w:t xml:space="preserve"> των αιτούντων άσυλο (</w:t>
      </w:r>
      <w:proofErr w:type="spellStart"/>
      <w:r w:rsidR="00192E7E" w:rsidRPr="006D2D1E">
        <w:t>Eurodac</w:t>
      </w:r>
      <w:proofErr w:type="spellEnd"/>
      <w:r w:rsidR="00192E7E" w:rsidRPr="006D2D1E">
        <w:t xml:space="preserve">)· υπενθυμίζει ότι τα συστήματα αυτά είναι ζωτικής σημασίας στους τομείς του ελέγχου των συνόρων, της συνεργασίας για την επιβολή του νόμου, της ασφάλισης και των ελέγχων θεωρήσεων, και της εξέτασης των αιτήσεων ασύλου· σημειώνει ότι το 2022, εξαιρουμένων ορισμένων περιστατικών που οδήγησαν σε βραχυπρόθεσμη μη διαθεσιμότητα και καθυστερήσεις, όλα τα βασικά επιχειρησιακά συστήματα τήρησαν τις αντίστοιχες συμφωνίες επιπέδου εξυπηρέτησης, με τη διαθεσιμότητα του SIS να στο 99,94 %, του VIS στο 99,69 % και της </w:t>
      </w:r>
      <w:proofErr w:type="spellStart"/>
      <w:r w:rsidR="00192E7E" w:rsidRPr="006D2D1E">
        <w:t>Eurodac</w:t>
      </w:r>
      <w:proofErr w:type="spellEnd"/>
      <w:r w:rsidR="00192E7E" w:rsidRPr="006D2D1E">
        <w:t xml:space="preserve"> στο 99,88 %·</w:t>
      </w:r>
    </w:p>
    <w:p w:rsidR="00192E7E" w:rsidRPr="006D2D1E" w:rsidRDefault="009433A6" w:rsidP="009433A6">
      <w:pPr>
        <w:pStyle w:val="NormalHanging12a"/>
        <w:shd w:val="clear" w:color="auto" w:fill="FFFFFF" w:themeFill="background1"/>
        <w:ind w:hanging="570"/>
        <w:rPr>
          <w:szCs w:val="24"/>
        </w:rPr>
      </w:pPr>
      <w:r w:rsidRPr="006D2D1E">
        <w:rPr>
          <w:szCs w:val="24"/>
        </w:rPr>
        <w:t>7.</w:t>
      </w:r>
      <w:r w:rsidRPr="006D2D1E">
        <w:rPr>
          <w:szCs w:val="24"/>
        </w:rPr>
        <w:tab/>
      </w:r>
      <w:r w:rsidR="00192E7E" w:rsidRPr="006D2D1E">
        <w:t>επαινεί την έναρξη λειτουργίας του ανανεωμένου SIS τον Μάρτιο του 2023 (είχε αναβληθεί τον Νοέμβριο του 2022)· σημειώνει την πρόοδο που έχει επιτευχθεί, μολονότι με καθυστερήσεις σε διάφορα επίπεδα, όσον αφορά την ανάλυση, τον σχεδιασμό, την ανάπτυξη και/ή δοκιμή των νέων συστημάτων ΔΕΥ, και συγκεκριμένα του συστήματος εισόδου/εξόδου (ΣΕΕ), του Ευρωπαϊκού Συστήματος Πληροφοριών και Αδειοδότησης Ταξιδιού (ETIAS) και του Ευρωπαϊκού Συστήματος Πληροφοριών Ποινικού Μητρώου για υπηκόους τρίτων χωρών (ECRIS-TCN), καθώς και όσον αφορά την ενσωμάτωση των εν λόγω συστημάτων, συμπεριλαμβανομένης της κοινής υπηρεσίας αντιστοίχισης βιομετρικών δεδομένων· σημειώνει ακόμη ότι 947 μεταφορείς (τόσο εντός όσο και εκτός της Ένωσης) και 54 πάροχοι λογισμικού για μεταφορείς έχουν καταχωριστεί στον Οργανισμό ή υπέβαλαν αίτηση καταχώρισης προκειμένου να συνδέσουν τα συστήματά τους με το ΣΕΕ και το ETIAS· επαινεί, στο πλαίσιο αυτό, τη διοργάνωση της στρογγυλής τραπέζης του κλάδου με θέμα «ΣΕΕ, ETIAS και μεταφορείς ετοιμάζονται για τη θέση σε λειτουργία» και την εκστρατεία καταχώρισης και ενημέρωσης των μεταφορέων όσον αφορά την αύξηση της ενημέρωσης και τη βελτίωση της καταχώρισης· αναγνωρίζει ότι το VIS υφίσταται σημαντικές αλλαγές σύμφωνα με τον αναθεωρημένο κανονισμό VIS· σημειώνει, στο πλαίσιο αυτό, ότι το 2022 ο Οργανισμός δρομολόγησε δύο έργα, και συγκεκριμένα ένα για το αναθεωρημένο VIS και ένα για τη διαλειτουργικότητα του VIS, προκειμένου να οργανώσει την εξέλιξη του VIS·</w:t>
      </w:r>
    </w:p>
    <w:p w:rsidR="00192E7E" w:rsidRPr="006D2D1E" w:rsidRDefault="009433A6" w:rsidP="009433A6">
      <w:pPr>
        <w:pStyle w:val="NormalHanging12a"/>
        <w:shd w:val="clear" w:color="auto" w:fill="FFFFFF" w:themeFill="background1"/>
        <w:ind w:hanging="570"/>
        <w:rPr>
          <w:szCs w:val="24"/>
        </w:rPr>
      </w:pPr>
      <w:r w:rsidRPr="006D2D1E">
        <w:rPr>
          <w:szCs w:val="24"/>
        </w:rPr>
        <w:t>8.</w:t>
      </w:r>
      <w:r w:rsidRPr="006D2D1E">
        <w:rPr>
          <w:szCs w:val="24"/>
        </w:rPr>
        <w:tab/>
      </w:r>
      <w:r w:rsidR="00192E7E" w:rsidRPr="006D2D1E">
        <w:t>σημειώνει ακόμη την πρόοδο που έχει επιτευχθεί όσον αφορά τη νέα αρχιτεκτονική διαλειτουργικότητας η οποία θα ενσωματώνει όλα τα συστήματα πληροφοριών που διαχειρίζεται ο Οργανισμός, προκειμένου να βελτιωθεί η ανταλλαγή πληροφοριών και η συνεργασία μεταξύ των αρχών επιβολής του νόμου και των δικαστικών αρχών σε ολόκληρη την Ένωση· σημειώνει, στο πλαίσιο αυτό, ότι σύμφωνα με την ενοποιημένη ετήσια έκθεση δραστηριοτήτων του Οργανισμού για το 2022 ενώ ο Οργανισμός παρέμεινε προσηλωμένος στην υλοποίηση των εν λόγω νέων συστημάτων, οι ανασταλτικές επιπτώσεις των διαταραχών στην εφοδιαστική αλυσίδα, σε συνδυασμό με τις δυσκολίες ορισμένων αναδόχων του Οργανισμού να τηρήσουν τα χρονοδιαγράμματα υλοποίησης, είχαν ως αποτέλεσμα καθυστερήσεις που κατέστησαν αναγκαία την επανεξέταση και αναθεώρηση του αρχικού σχεδίου· σημειώνει ότι οι εν λόγω καθυστερήσεις, ιδίως όσον αφορά την έναρξη λειτουργίας του κεντρικού συστήματος ΣΕΕ, ακρογωνιαίου λίθου της αρχιτεκτονικής διαλειτουργικότητας, προκάλεσαν ένα «ντόμινο εξελίξεων») στην έγκαιρη υλοποίηση και την εκτέλεση όλων των διασυνδεδεμένων έργων· Σημειώνει τα μέτρα που έλαβε ο Οργανισμός για την αντιμετώπιση του ζητήματος αυτού με την έγκριση νέας στρατηγικής για την εφαρμογή του ΣΕΕ, της προσέγγισης ελάχιστου βιώσιμου προϊόντος και νέου χάρτη πορείας για τη διαλειτουργικότητα, με την πλήρη αναθεώρηση του χρονοδιαγράμματος της αρχιτεκτονικής διαλειτουργικότητας που περιλαμβάνει σειρά εκδόσεων με στόχο τη διαλείπουσα παροχή των συνιστωσών αρχιτεκτονικής διαλειτουργικότητας ανά 6‑9 μήνες έως το 2026, όπως προβλέπεται στην έκθεση παρακολούθησης του Οργανισμού· σημειώνει ότι, σύμφωνα με τη δήλωση αξιοπιστίας της εκτελεστικής διευθύντριας του Οργανισμού, τα εκτεταμένα χρονοδιαγράμματα για την έναρξη λειτουργίας του προγράμματος ΣΕΕ είναι πιθανό να επηρεάσουν τους πόρους που απαιτούνται για την ολοκλήρωση της ανάπτυξης·</w:t>
      </w:r>
    </w:p>
    <w:p w:rsidR="00192E7E" w:rsidRPr="006D2D1E" w:rsidRDefault="009433A6" w:rsidP="009433A6">
      <w:pPr>
        <w:pStyle w:val="NormalHanging12a"/>
        <w:ind w:hanging="570"/>
      </w:pPr>
      <w:r w:rsidRPr="006D2D1E">
        <w:t>9.</w:t>
      </w:r>
      <w:r w:rsidRPr="006D2D1E">
        <w:tab/>
      </w:r>
      <w:r w:rsidR="00192E7E" w:rsidRPr="006D2D1E">
        <w:t>σημειώνει με ικανοποίηση ότι ο Οργανισμός συνέχισε να επιτυγχάνει αρκετούς άλλους στενά συνδεδεμένους καταστατικούς στόχους, όπως η κατάρτιση των κρατών μελών σχετικά με τη χρήση συστημάτων πληροφοριών ΔΕΥ, η εκπόνηση θεσμοθετημένων εκθέσεων σχετικά με τις τεχνικές επιδόσεις τους, οι ετήσιες στατιστικές και οι κατάλογοι των εντεταλμένων αρχών· επαινεί, στο πλαίσιο αυτό, το γεγονός ότι το 2022 ο Οργανισμός υλοποίησε 48 δραστηριότητες κατάρτισης με περισσότερους από 3 000 συμμετέχοντες, αναβάθμισε την πλατφόρμα ηλεκτρονικής μάθησης και οριστικοποίησε τον οικείο χάρτη πορείας κατάρτισης των κρατών μελών και το σχετικό σχέδιο δράσης· σημειώνει ακόμη ότι ο Οργανισμός συνέχισε να επεκτείνει τον ρόλο του στον τομέα της δικαιοσύνης της Ένωσης, ξεκινώντας τις προετοιμασίες για την ανάληψη του συστήματος e-CODEX (μιας πλατφόρμας που διευκολύνει τις διασυνοριακές δικαστικές διαδικασίες χάρη στην ασφαλή διαβίβαση πληροφοριών), δημοσίευσε έκθεση σχετικά με τον τρόπο με τον οποίον η ψηφιοποίηση των διεθνών ταξιδιών θα επηρεάσει τους ταξιδιώτες με προορισμό την Ένωση, και συνέταξε έκθεση με τον Οργανισμό της Ευρωπαϊκής Ένωσης για τη Συνεργασία στον Τομέα της Ποινικής Δικαιοσύνης (Eurojust) σχετικά με τη χρήση λύσεων τεχνητής νοημοσύνης για τη στήριξη της διασυνοριακής συνεργασίας στον τομέα της ποινικής δικαιοσύνης·</w:t>
      </w:r>
    </w:p>
    <w:p w:rsidR="00192E7E" w:rsidRPr="006D2D1E" w:rsidRDefault="009433A6" w:rsidP="009433A6">
      <w:pPr>
        <w:pStyle w:val="NormalHanging12a"/>
        <w:ind w:hanging="570"/>
        <w:rPr>
          <w:szCs w:val="24"/>
        </w:rPr>
      </w:pPr>
      <w:r w:rsidRPr="006D2D1E">
        <w:rPr>
          <w:szCs w:val="24"/>
        </w:rPr>
        <w:t>10.</w:t>
      </w:r>
      <w:r w:rsidRPr="006D2D1E">
        <w:rPr>
          <w:szCs w:val="24"/>
        </w:rPr>
        <w:tab/>
      </w:r>
      <w:r w:rsidR="00192E7E" w:rsidRPr="006D2D1E">
        <w:t xml:space="preserve">σημειώνει τη συνεργασία του Οργανισμού με άλλους οργανισμούς της ΕΕ, ιδίως με τον Ευρωπαϊκό Οργανισμό </w:t>
      </w:r>
      <w:proofErr w:type="spellStart"/>
      <w:r w:rsidR="00192E7E" w:rsidRPr="006D2D1E">
        <w:t>Συνοριοφυλακής</w:t>
      </w:r>
      <w:proofErr w:type="spellEnd"/>
      <w:r w:rsidR="00192E7E" w:rsidRPr="006D2D1E">
        <w:t xml:space="preserve"> και Ακτοφυλακής (</w:t>
      </w:r>
      <w:proofErr w:type="spellStart"/>
      <w:r w:rsidR="00192E7E" w:rsidRPr="006D2D1E">
        <w:t>Frontex</w:t>
      </w:r>
      <w:proofErr w:type="spellEnd"/>
      <w:r w:rsidR="00192E7E" w:rsidRPr="006D2D1E">
        <w:t>) για την ανάπτυξη του Ευρωπαϊκού Συστήματος Πληροφοριών και Αδειοδότησης Ταξιδιού (ETIAS), με τον Οργανισμό της Ευρωπαϊκής Ένωσης για τη Συνεργασία στον Τομέα της Επιβολής του Νόμου (Ευρωπόλ) για την εφαρμογή της αναδιατύπωσης του Συστήματος Πληροφοριών Σένγκεν (SIS), του συστήματος εισόδου/εξόδου (ΣΕΕ), του ETIAS και των κανονισμών για τη διαλειτουργικότητα, με τον Οργανισμό της Ευρωπαϊκής Ένωσης για τη Συνεργασία στον Τομέα της Ποινικής Δικαιοσύνης (Eurojust) σχετικά με την εφαρμογή των συστημάτων ECRIS-TCN και e-CODEX, τους κανονισμούς για τη διαλειτουργικότητα και τον συντονισμό των δραστηριοτήτων που σχετίζονται με την ψηφιοποίηση της δικαστικής συνεργασίας, με τον Οργανισμό της Ευρωπαϊκής Ένωσης για το Άσυλο (EUAA) για την εφαρμογή του κανονισμού της Επιτροπής για το δίκτυο ηλεκτρονικών επικοινωνιών «</w:t>
      </w:r>
      <w:proofErr w:type="spellStart"/>
      <w:r w:rsidR="00192E7E" w:rsidRPr="006D2D1E">
        <w:t>DubliNet</w:t>
      </w:r>
      <w:proofErr w:type="spellEnd"/>
      <w:r w:rsidR="00192E7E" w:rsidRPr="006D2D1E">
        <w:t>», με τον Οργανισμό της Ευρωπαϊκής Ένωσης για την Κατάρτιση στον Τομέα της Επιβολής του Νόμου (CEPOL) για τη διοργάνωση κοινών μαθημάτων κατάρτισης σχετικά με τη χρήση των συστημάτων Δικαιοσύνης και Εσωτερικών Υποθέσεων (ΔΕΥ) και με τον Οργανισμό Θεμελιωδών Δικαιωμάτων της Ευρωπαϊκής Ένωσης (FRA) για τη διοργάνωση κοινών μαθημάτων κατάρτισης με επίκεντρο την πτυχή των θεμελιωδών δικαιωμάτων στη διαχείριση των συστημάτων πληροφοριών ΔΕΥ· ενθαρρύνει τον Οργανισμό να συνεχίσει τη συνεργασία του με άλλους οργανισμούς της Ένωσης·</w:t>
      </w:r>
    </w:p>
    <w:p w:rsidR="00192E7E" w:rsidRPr="006D2D1E" w:rsidRDefault="00192E7E" w:rsidP="00192E7E">
      <w:pPr>
        <w:pStyle w:val="Normal12Hanging"/>
        <w:shd w:val="clear" w:color="auto" w:fill="FFFFFF" w:themeFill="background1"/>
        <w:rPr>
          <w:b/>
          <w:i/>
          <w:szCs w:val="24"/>
          <w:lang w:val="el-GR"/>
        </w:rPr>
      </w:pPr>
      <w:r w:rsidRPr="006D2D1E">
        <w:rPr>
          <w:b/>
          <w:i/>
          <w:lang w:val="el-GR"/>
        </w:rPr>
        <w:t>Βελτίωση της αποδοτικότητας</w:t>
      </w:r>
    </w:p>
    <w:p w:rsidR="00192E7E" w:rsidRPr="006D2D1E" w:rsidRDefault="009433A6" w:rsidP="009433A6">
      <w:pPr>
        <w:pStyle w:val="Normal12Hanging"/>
        <w:shd w:val="clear" w:color="auto" w:fill="FFFFFF" w:themeFill="background1"/>
        <w:ind w:hanging="570"/>
        <w:rPr>
          <w:szCs w:val="24"/>
          <w:lang w:val="el-GR"/>
        </w:rPr>
      </w:pPr>
      <w:r w:rsidRPr="006D2D1E">
        <w:rPr>
          <w:szCs w:val="24"/>
          <w:lang w:val="el-GR"/>
        </w:rPr>
        <w:t>11.</w:t>
      </w:r>
      <w:r w:rsidRPr="006D2D1E">
        <w:rPr>
          <w:szCs w:val="24"/>
          <w:lang w:val="el-GR"/>
        </w:rPr>
        <w:tab/>
      </w:r>
      <w:r w:rsidR="00192E7E" w:rsidRPr="006D2D1E">
        <w:rPr>
          <w:lang w:val="el-GR"/>
        </w:rPr>
        <w:t xml:space="preserve">σημειώνει τα μέτρα που έλαβε ο Οργανισμός για τη βελτίωση της ενεργειακής απόδοσης και των περιβαλλοντικών επιδόσεών του, μεταξύ άλλων όσον αφορά τους στόχους κλιματικής ουδετερότητας, όπως ορίζονται στην έκθεση παρακολούθησης του Οργανισμού, στην CAAR, στις απαντήσεις του Οργανισμού στις γραπτές ερωτήσεις του Κοινοβουλίου και στην έκθεση του Ελεγκτικού Συνεδρίου· σημειώνει, στο πλαίσιο αυτό, ότι το 2022 ο Οργανισμός άρχισε να εφαρμόζει σταδιακά το δικό του σύστημα περιβαλλοντικής διαχείρισης (EMS), με βάση τις αρχές του EMAS και του σχεδίου δράσης της Ευρωπαϊκής Πράσινης Συμφωνίας της Επιτροπής, και ενέκρινε την περιβαλλοντική πολιτική του· σημειώνει ότι η πλήρης εφαρμογή του ΣΠΔ, και συνεπώς η εγγραφή στο EMAS, προβλέπεται να επιτευχθεί έως το 2024· επικροτεί τη συμμετοχή του Οργανισμού στο δίκτυο οικολογικού προσανατολισμού της ΕΕ (EUAN), κάτι που του προσφέρει την ευκαιρία να επωφεληθεί από υλικό άλλων οργανισμών με μεγαλύτερη πείρα στην εφαρμογή του EMAS· σημειώνει ακόμη ότι ο Οργανισμός χρησιμοποιεί κριτήρια για τις πράσινες δημόσιες συμβάσεις σε επιχειρηματικούς τομείς, όπως η διαχείριση εγκαταστάσεων, τα έργα </w:t>
      </w:r>
      <w:proofErr w:type="spellStart"/>
      <w:r w:rsidR="00192E7E" w:rsidRPr="006D2D1E">
        <w:rPr>
          <w:lang w:val="el-GR"/>
        </w:rPr>
        <w:t>υλισμικού</w:t>
      </w:r>
      <w:proofErr w:type="spellEnd"/>
      <w:r w:rsidR="00192E7E" w:rsidRPr="006D2D1E">
        <w:rPr>
          <w:lang w:val="el-GR"/>
        </w:rPr>
        <w:t xml:space="preserve"> και οι υποδομές και τα έργα ΤΠ· επαινεί τον Οργανισμό για την υποβολή εκθέσεων σχετικά με τις περιβαλλοντικές επιδόσεις του μέσω κύριου δείκτη επιδόσεων που υποδεικνύει το αποτύπωμα άνθρακα του Οργανισμού· σημειώνει ότι η βάση αναφοράς για τους ογκομετρικούς δείκτες για το νερό, την ενέργεια, την κατανάλωση χαρτιού και την παραγωγή αποβλήτων θα καθοριστεί το 2023 και θα χρησιμοποιηθεί από τότε κι έπειτα για τον υπολογισμό και την αξιολόγηση των εν λόγω δεικτών·</w:t>
      </w:r>
    </w:p>
    <w:p w:rsidR="00192E7E" w:rsidRPr="006D2D1E" w:rsidRDefault="009433A6" w:rsidP="009433A6">
      <w:pPr>
        <w:pStyle w:val="Normal12Hanging"/>
        <w:shd w:val="clear" w:color="auto" w:fill="FFFFFF" w:themeFill="background1"/>
        <w:ind w:hanging="570"/>
        <w:rPr>
          <w:szCs w:val="24"/>
          <w:lang w:val="el-GR"/>
        </w:rPr>
      </w:pPr>
      <w:r w:rsidRPr="006D2D1E">
        <w:rPr>
          <w:szCs w:val="24"/>
          <w:lang w:val="el-GR"/>
        </w:rPr>
        <w:t>12.</w:t>
      </w:r>
      <w:r w:rsidRPr="006D2D1E">
        <w:rPr>
          <w:szCs w:val="24"/>
          <w:lang w:val="el-GR"/>
        </w:rPr>
        <w:tab/>
      </w:r>
      <w:r w:rsidR="00192E7E" w:rsidRPr="006D2D1E">
        <w:rPr>
          <w:lang w:val="el-GR"/>
        </w:rPr>
        <w:t xml:space="preserve">σημειώνει ότι, σύμφωνα με τις γραπτές απαντήσεις του Οργανισμού στις οριζόντιες ερωτήσεις του Κοινοβουλίου, ο Οργανισμός έχει συνάψει συμφωνίες επιπέδου υπηρεσιών (ΣΕΥ) με αρκετούς άλλους οργανισμούς της Ένωσης για την παροχή στήριξης σε θέματα επιχειρησιακής συνέχειας, καθώς και για την αύξηση της αποδοτικότητας σε άλλους τομείς συνεργασίας· σημειώνει, στο πλαίσιο αυτό, ότι ο Οργανισμός διαθέτει ΣΕΥ με τον </w:t>
      </w:r>
      <w:proofErr w:type="spellStart"/>
      <w:r w:rsidR="00192E7E" w:rsidRPr="006D2D1E">
        <w:rPr>
          <w:lang w:val="el-GR"/>
        </w:rPr>
        <w:t>Frontex</w:t>
      </w:r>
      <w:proofErr w:type="spellEnd"/>
      <w:r w:rsidR="00192E7E" w:rsidRPr="006D2D1E">
        <w:rPr>
          <w:lang w:val="el-GR"/>
        </w:rPr>
        <w:t xml:space="preserve"> και τον EUAA για τη φιλοξενία των εγκαταστάσεων αποκατάστασης μετά από καταστροφή, καθώς και ετήσια ΣΕΥ με την Ευρωπόλ για τη διοργάνωση κοινών συνεδριάσεων της Ευρωπόλ και της επιτροπής ασφάλειας του </w:t>
      </w:r>
      <w:proofErr w:type="spellStart"/>
      <w:r w:rsidR="00192E7E" w:rsidRPr="006D2D1E">
        <w:rPr>
          <w:lang w:val="el-GR"/>
        </w:rPr>
        <w:t>eu</w:t>
      </w:r>
      <w:proofErr w:type="spellEnd"/>
      <w:r w:rsidR="00192E7E" w:rsidRPr="006D2D1E">
        <w:rPr>
          <w:lang w:val="el-GR"/>
        </w:rPr>
        <w:t>-LISA· καλεί τον Οργανισμό να συνεχίσει τη συνεργασία του με άλλους οργανισμούς της Ένωσης, ώστε να μπορούν να αξιοποιηθούν όλοι οι διαθέσιμοι πόροι· επαινεί τον Οργανισμό για τη συνεργασία του με τον Οργανισμό της Ευρωπαϊκής Ένωσης για την Κυβερνοασφάλεια (ENISA) μέσω ΣΕΥ η οποία καλύπτει τις υπηρεσίες υποστήριξης που προσφέρει ο ENISA για τον σχεδιασμό, την εκτέλεση και την αξιολόγηση των ετήσιων ασκήσεων κυβερνοασφάλειας·</w:t>
      </w:r>
    </w:p>
    <w:p w:rsidR="00192E7E" w:rsidRPr="006D2D1E" w:rsidRDefault="009433A6" w:rsidP="009433A6">
      <w:pPr>
        <w:pStyle w:val="Normal12Hanging"/>
        <w:shd w:val="clear" w:color="auto" w:fill="FFFFFF" w:themeFill="background1"/>
        <w:ind w:hanging="570"/>
        <w:rPr>
          <w:szCs w:val="24"/>
          <w:lang w:val="el-GR"/>
        </w:rPr>
      </w:pPr>
      <w:r w:rsidRPr="006D2D1E">
        <w:rPr>
          <w:szCs w:val="24"/>
          <w:lang w:val="el-GR"/>
        </w:rPr>
        <w:t>13.</w:t>
      </w:r>
      <w:r w:rsidRPr="006D2D1E">
        <w:rPr>
          <w:szCs w:val="24"/>
          <w:lang w:val="el-GR"/>
        </w:rPr>
        <w:tab/>
      </w:r>
      <w:r w:rsidR="00192E7E" w:rsidRPr="006D2D1E">
        <w:rPr>
          <w:lang w:val="el-GR"/>
        </w:rPr>
        <w:t>σημειώνει ότι, τον Φεβρουάριο του 2022, ο Οργανισμός ενέκρινε στρατηγική εφοδιασμού για να αποσαφηνίσει και να εναρμονίσει τον σχεδιασμό των ανθρώπινων πόρων του προκειμένου να βελτιστοποιήσει τη χρήση των πόρων, και δη να εξισορροπήσει τη συνολική σύνθεση των ανθρώπινων πόρων του (δηλαδή την αναλογία του εσωτερικού προσωπικού προς τους εξωτερικούς παρόχους υπηρεσιών)· σημειώνει ακόμη ότι ο Οργανισμός πέτυχε βελτίωση της αποδοτικότητας χρησιμοποιώντας τους υφιστάμενους εφεδρικούς πίνακες προσλήψεων που καταρτίστηκαν κατά τη διάρκεια προηγούμενων διαδικασιών επιλογής, καθώς και ομαδοποιημένα προφίλ και εκτενέστερους πίνακες επιτυχόντων για την κάλυψη αρκετών θέσεων στο πλαίσιο μίας διαδικασίας πρόσληψης·</w:t>
      </w:r>
    </w:p>
    <w:p w:rsidR="00192E7E" w:rsidRPr="006D2D1E" w:rsidRDefault="009433A6" w:rsidP="009433A6">
      <w:pPr>
        <w:pStyle w:val="Normal12Hanging"/>
        <w:shd w:val="clear" w:color="auto" w:fill="FFFFFF" w:themeFill="background1"/>
        <w:ind w:hanging="570"/>
        <w:rPr>
          <w:szCs w:val="24"/>
          <w:lang w:val="el-GR"/>
        </w:rPr>
      </w:pPr>
      <w:r w:rsidRPr="006D2D1E">
        <w:rPr>
          <w:szCs w:val="24"/>
          <w:lang w:val="el-GR"/>
        </w:rPr>
        <w:t>14.</w:t>
      </w:r>
      <w:r w:rsidRPr="006D2D1E">
        <w:rPr>
          <w:szCs w:val="24"/>
          <w:lang w:val="el-GR"/>
        </w:rPr>
        <w:tab/>
      </w:r>
      <w:r w:rsidR="00192E7E" w:rsidRPr="006D2D1E">
        <w:rPr>
          <w:lang w:val="el-GR"/>
        </w:rPr>
        <w:t>επαινεί τον Οργανισμό για την πρόοδο που σημειώθηκε το 2022 όσον αφορά την ψηφιοποίηση των διαδικασιών του· σημειώνει στον τομέα των ανθρώπινων πόρων ότι ο Οργανισμός εφάρμοσε νέες ενότητες του συστήματος SYSPER (το ολοκληρωμένο σύστημα πληροφοριών της</w:t>
      </w:r>
      <w:r w:rsidR="00192E7E" w:rsidRPr="006D2D1E">
        <w:rPr>
          <w:color w:val="4D5156"/>
          <w:shd w:val="clear" w:color="auto" w:fill="FFFFFF"/>
          <w:lang w:val="el-GR"/>
        </w:rPr>
        <w:t xml:space="preserve"> Επιτροπής </w:t>
      </w:r>
      <w:r w:rsidR="00192E7E" w:rsidRPr="006D2D1E">
        <w:rPr>
          <w:lang w:val="el-GR"/>
        </w:rPr>
        <w:t xml:space="preserve">για τη διαχείριση των ανθρώπινων πόρων), και συγκεκριμένα την ενότητα υποβολής εκθέσεων για τους ανθρώπινους πόρους και την ενότητα ATS· σημειώνει ότι, στον τομέα των δημόσιων συμβάσεων, το 2022 ο Οργανισμός άρχισε να εξοικειώνεται με το εργαλείο διαχείρισης δημόσιων συμβάσεων (PPMT) και τις απαιτήσεις του, προκειμένου να ανταποκριθεί στις προϋποθέσεις ένταξης που ολοκληρώθηκαν επιτυχώς το 2023· σημειώνει ότι ο Οργανισμός εφαρμόζει την ενότητα </w:t>
      </w:r>
      <w:proofErr w:type="spellStart"/>
      <w:r w:rsidR="00192E7E" w:rsidRPr="006D2D1E">
        <w:rPr>
          <w:lang w:val="el-GR"/>
        </w:rPr>
        <w:t>eSubmission</w:t>
      </w:r>
      <w:proofErr w:type="spellEnd"/>
      <w:r w:rsidR="00192E7E" w:rsidRPr="006D2D1E">
        <w:rPr>
          <w:lang w:val="el-GR"/>
        </w:rPr>
        <w:t xml:space="preserve"> για προσκλήσεις υποβολής προσφορών άνω των 15 000 EUR· σημειώνει ακόμη ότι, από την εισαγωγή της εν λόγω ενότητας, έπαψε να ζητείται η φυσική υπογραφή των προσφερόντων· καλεί τον Οργανισμό να εντείνει τις προσπάθειές του για την πλήρη εφαρμογή του PPMT· σημειώνει, τέλος, ότι, στον τομέα της πρόληψης και διαχείρισης συγκρούσεων συμφερόντων, ο Οργανισμός ψηφιοποίησε την υποβολή των υποχρεωτικών δηλώσεων ή των αιτημάτων για την εφαρμογή των σχετικών κανόνων·</w:t>
      </w:r>
    </w:p>
    <w:p w:rsidR="00192E7E" w:rsidRPr="006D2D1E" w:rsidRDefault="00192E7E" w:rsidP="00192E7E">
      <w:pPr>
        <w:pStyle w:val="Normal12Hanging"/>
        <w:shd w:val="clear" w:color="auto" w:fill="FFFFFF" w:themeFill="background1"/>
        <w:rPr>
          <w:szCs w:val="24"/>
          <w:lang w:val="el-GR"/>
        </w:rPr>
      </w:pPr>
      <w:r w:rsidRPr="006D2D1E">
        <w:rPr>
          <w:b/>
          <w:i/>
          <w:lang w:val="el-GR"/>
        </w:rPr>
        <w:t>Πολιτική προσωπικού</w:t>
      </w:r>
    </w:p>
    <w:p w:rsidR="00192E7E" w:rsidRPr="006D2D1E" w:rsidRDefault="009433A6" w:rsidP="009433A6">
      <w:pPr>
        <w:pStyle w:val="Normal12Hanging"/>
        <w:shd w:val="clear" w:color="auto" w:fill="FFFFFF" w:themeFill="background1"/>
        <w:ind w:hanging="570"/>
        <w:rPr>
          <w:szCs w:val="24"/>
          <w:lang w:val="el-GR"/>
        </w:rPr>
      </w:pPr>
      <w:r w:rsidRPr="006D2D1E">
        <w:rPr>
          <w:szCs w:val="24"/>
          <w:lang w:val="el-GR"/>
        </w:rPr>
        <w:t>15.</w:t>
      </w:r>
      <w:r w:rsidRPr="006D2D1E">
        <w:rPr>
          <w:szCs w:val="24"/>
          <w:lang w:val="el-GR"/>
        </w:rPr>
        <w:tab/>
      </w:r>
      <w:r w:rsidR="00192E7E" w:rsidRPr="006D2D1E">
        <w:rPr>
          <w:lang w:val="el-GR"/>
        </w:rPr>
        <w:t>σημειώνει ότι, στις 31 Δεκεμβρίου 2022, το ποσοστό εκτέλεσης του πίνακας προσωπικού ήταν 89,3 %, και ότι καλύπτονταν οι 192 από τις 215 θέσεις έκτακτων υπαλλήλων που είχαν εγκριθεί στο πλαίσιο του προϋπολογισμού της Ένωσης (σε σύγκριση με 193 από 213 εγκεκριμένες θέσεις το 2021)· σημειώνει ότι, επιπλέον, 121 από 167 εγκεκριμένους συμβασιούχους υπαλλήλους και 11 από 11 εγκεκριμένους αποσπασμένους εθνικούς εμπειρογνώμονες (ΑΕΕ) εργάστηκαν για τον Οργανισμό το 2022· σημειώνει ότι ο αριθμός των εγγεγραμμένων στον προϋπολογισμό θέσεων συμβασιούχων υπαλλήλων αυξήθηκε κατά 35, από 132 σε 167, λόγω της έγκρισης του προϋπολογισμού για τα νέα καθήκοντα που ανατέθηκαν στον Οργανισμό (αναθεωρημένο VIS, ETIAS και διαλειτουργικότητα)· σημειώνει ότι, παρά τις προσπάθειες του Οργανισμού, η εναλλαγή προσωπικού αυξήθηκε από 5,5 % το 2021 σε 7,1 % το 2022 και το ποσοστό κάλυψης θέσεων μειώθηκε στο 82 %, χαμηλότερο από τον στόχο του Οργανισμού για 94 %, ιδίως λόγω του αριθμού των συμβάσεων μικρής διάρκειας και χαμηλότερων βαθμών που προσέφερε ο Οργανισμός·</w:t>
      </w:r>
    </w:p>
    <w:p w:rsidR="00192E7E" w:rsidRPr="006D2D1E" w:rsidRDefault="009433A6" w:rsidP="009433A6">
      <w:pPr>
        <w:pStyle w:val="NormalHanging12a"/>
        <w:ind w:hanging="570"/>
      </w:pPr>
      <w:r w:rsidRPr="006D2D1E">
        <w:t>16.</w:t>
      </w:r>
      <w:r w:rsidRPr="006D2D1E">
        <w:tab/>
      </w:r>
      <w:r w:rsidR="00192E7E" w:rsidRPr="006D2D1E">
        <w:t>σημειώνει με ανησυχία την κατανομή των φύλων στις ανώτερες και μεσαίες διοικητικές θέσεις του Οργανισμού, οι οποίες καταλαμβάνονται από 12 άνδρες (86 %) και 2 γυναίκες (14 %), στο διοικητικό συμβούλιο, στο οποίο συμμετέχουν 50 άνδρες (82 %) και 11 γυναίκες (18 %), και στο προσωπικό συνολικά, το οποίο απαρτίζεται από 209 άνδρες (67 %) και 101 γυναίκες (33 %)· σημειώνει ότι, σύμφωνα με την έκθεση παρακολούθησης του Οργανισμού, ο Οργανισμός συνεχίζει τις προσπάθειές του για να επιτύχει μια πλήρως ισόρροπη εκπροσώπηση των φύλων, εστιάζοντας στην επικοινωνία και στις διαδικασίες πρόσληψης για την προσέλκυση μεγαλύτερου αριθμού γυναικών υποψηφίων· επικροτεί τη συμμετοχή του Οργανισμού, το 2022, στην παγκόσμια διαδικτυακή έκθεση σταδιοδρομίας «</w:t>
      </w:r>
      <w:proofErr w:type="spellStart"/>
      <w:r w:rsidR="00192E7E" w:rsidRPr="006D2D1E">
        <w:t>Women</w:t>
      </w:r>
      <w:proofErr w:type="spellEnd"/>
      <w:r w:rsidR="00192E7E" w:rsidRPr="006D2D1E">
        <w:t xml:space="preserve"> in </w:t>
      </w:r>
      <w:proofErr w:type="spellStart"/>
      <w:r w:rsidR="00192E7E" w:rsidRPr="006D2D1E">
        <w:t>Tech</w:t>
      </w:r>
      <w:proofErr w:type="spellEnd"/>
      <w:r w:rsidR="00192E7E" w:rsidRPr="006D2D1E">
        <w:t>»· επικροτεί ακόμη τον διορισμό της νέας εκτελεστικής διευθύντριας, με τον οποίον επιτεύχθηκε ισόρροπη εκπροσώπηση των φύλων στις ανώτερες διοικητικές θέσεις· υπενθυμίζει ότι είναι σημαντικό να διασφαλιστεί η ισόρροπη εκπροσώπηση των φύλων και καλεί τον Οργανισμό να συνεχίσει τις προσπάθειές του για την ισόρροπη εκπροσώπηση των φύλων σε όλα τα επίπεδα, με συγκεκριμένες δράσεις που να προσελκύουν υποψηφιότητες από γυναίκες για θέσεις που προσφέρει ο Οργανισμός· ζητεί από την Επιτροπή και τα κράτη μέλη να λαμβάνουν υπόψη τη σημασία που έχει η εξασφάλιση της ισόρροπης εκπροσώπησης των φύλων όταν υποβάλλουν τις προτάσεις τους για τον διορισμό των μελών του διοικητικού συμβουλίου του Οργανισμού·</w:t>
      </w:r>
    </w:p>
    <w:p w:rsidR="00192E7E" w:rsidRPr="006D2D1E" w:rsidRDefault="009433A6" w:rsidP="009433A6">
      <w:pPr>
        <w:pStyle w:val="Normal12Hanging"/>
        <w:shd w:val="clear" w:color="auto" w:fill="FFFFFF" w:themeFill="background1"/>
        <w:ind w:hanging="570"/>
        <w:rPr>
          <w:szCs w:val="24"/>
          <w:lang w:val="el-GR"/>
        </w:rPr>
      </w:pPr>
      <w:r w:rsidRPr="006D2D1E">
        <w:rPr>
          <w:szCs w:val="24"/>
          <w:lang w:val="el-GR"/>
        </w:rPr>
        <w:t>17.</w:t>
      </w:r>
      <w:r w:rsidRPr="006D2D1E">
        <w:rPr>
          <w:szCs w:val="24"/>
          <w:lang w:val="el-GR"/>
        </w:rPr>
        <w:tab/>
      </w:r>
      <w:r w:rsidR="00192E7E" w:rsidRPr="006D2D1E">
        <w:rPr>
          <w:lang w:val="el-GR"/>
        </w:rPr>
        <w:t>επαινεί τον Οργανισμό για τις προσπάθειές του στον τομέα των ανθρώπινων πόρων, καθώς επεδίωξε να προσελκύσει μια ευρεία ποικιλία υποψηφίων, να αναδειχθεί ως εργοδότης επιλογής και να διατηρήσει ταλαντούχο προσωπικό· σημειώνει, στο πλαίσιο αυτό, ότι το 2022 ο Οργανισμός εκπροσώπησε το EUAN στη διαδικτυακή έκθεση σταδιοδρομίας για διεθνείς οργανισμούς και ενέτεινε τις δραστηριότητές του για το εμπορικό σήμα εργοδότη με ειδικές εκστρατείες, όπως μαρτυρίες μελών του προσωπικού στα μέσα κοινωνικής δικτύωσης· επαινεί τον Οργανισμό για τη δρομολόγηση πιλοτικού προγράμματος εσωτερικής κινητικότητας, με στόχο την αξιοποίηση των υφιστάμενων ικανοτήτων των υπαλλήλων του και την προώθηση της συνεχούς επαγγελματικής ανάπτυξης τους εντός του ίδιου του Οργανισμού· σημειώνει, στο πλαίσιο αυτό, ότι ο Οργανισμός έχει αρχίσει να αναπτύσσει τη στρατηγική του για τη διαχείριση ανθρώπινων πόρων βάσει ικανοτήτων και να αναθεωρεί το πλαίσιο ικανοτήτων του, γεγονός που θα έχει αντίκτυπο στις προκηρύξεις κενών θέσεων και στις αξιολογήσεις των υποψηφίων·</w:t>
      </w:r>
    </w:p>
    <w:p w:rsidR="00192E7E" w:rsidRPr="006D2D1E" w:rsidRDefault="009433A6" w:rsidP="009433A6">
      <w:pPr>
        <w:pStyle w:val="NormalHanging12a"/>
        <w:shd w:val="clear" w:color="auto" w:fill="FFFFFF" w:themeFill="background1"/>
        <w:ind w:hanging="570"/>
      </w:pPr>
      <w:r w:rsidRPr="006D2D1E">
        <w:t>18.</w:t>
      </w:r>
      <w:r w:rsidRPr="006D2D1E">
        <w:tab/>
      </w:r>
      <w:r w:rsidR="00192E7E" w:rsidRPr="006D2D1E">
        <w:t>επαινεί την πολιτική του Οργανισμού για μηδενική ανοχή έναντι της παρενόχλησης· σημειώνει ότι, το 2022, πραγματοποιήθηκαν και ολοκληρώθηκαν εσωτερικά τρεις διοικητικές έρευνες για περιπτώσεις παρενόχλησης, ενώ μια πρόσθετη υπόθεση παραπέμφθηκε ενώπιον του δικαστηρίου· καλεί τον Οργανισμό να προχωρήσει ταχέως στη λογοδοσία των υπευθύνων· σημειώνει ότι, το 2022, ο Οργανισμός υπέγραψε σύμβαση με εξωτερική δικηγορική εταιρεία προκειμένου να είναι σε θέση να αντιμετωπίσει άμεσα την αυξανόμενη ζήτηση για διοικητικές έρευνες, συμπεριλαμβανομένων όσων συνδέονται με σεξουαλική ή ψυχολογική παρενόχληση ή με άλλα πειθαρχικά ζητήματα· σημειώνει ότι ο Οργανισμός ολοκλήρωσε την επιλογή των νέων έμπιστων συμβούλων επιλέγοντας και εκπαιδεύοντας πέντε νέους συμβούλους για να στηρίξουν τον οργανισμό στην περαιτέρω προώθηση του σεβασμού και της αξιοπρέπειας στον χώρο εργασίας, καθώς και υπαλλήλους του Οργανισμού που θεωρούν ότι δέχονται ψυχολογική ή σεξουαλική παρενόχληση και ζητούν βοήθεια·</w:t>
      </w:r>
    </w:p>
    <w:p w:rsidR="00192E7E" w:rsidRPr="006D2D1E" w:rsidRDefault="009433A6" w:rsidP="009433A6">
      <w:pPr>
        <w:pStyle w:val="NormalHanging12a"/>
        <w:shd w:val="clear" w:color="auto" w:fill="FFFFFF" w:themeFill="background1"/>
        <w:ind w:hanging="570"/>
      </w:pPr>
      <w:r w:rsidRPr="006D2D1E">
        <w:t>19.</w:t>
      </w:r>
      <w:r w:rsidRPr="006D2D1E">
        <w:tab/>
      </w:r>
      <w:r w:rsidR="00192E7E" w:rsidRPr="006D2D1E">
        <w:t xml:space="preserve">σημειώνει τα μέτρα του Οργανισμού για τη βελτίωση των εμπειριών και της ευημερίας των εργαζομένων του· σημειώνει ότι ο Οργανισμός ξεκίνησε ένα πρόγραμμα ψυχικής υγείας για τους υπαλλήλους του και τις οικογένειές τους, το οποίο περιλαμβάνει συνδρομητική υπηρεσία </w:t>
      </w:r>
      <w:proofErr w:type="spellStart"/>
      <w:r w:rsidR="00192E7E" w:rsidRPr="006D2D1E">
        <w:t>αυτοφροντίδας</w:t>
      </w:r>
      <w:proofErr w:type="spellEnd"/>
      <w:r w:rsidR="00192E7E" w:rsidRPr="006D2D1E">
        <w:t>, διαδικτυακά σεμινάρια και ατομικές συμβουλευτικές συνεδρίες· σημειώνει ότι, κατόπιν παρέκκλισης που ελήφθη εν αναμονή υποδείγματος απόφασης, ο Οργανισμός δεν εφάρμοσε κατ’ αναλογία την απόφαση της Επιτροπής, της 24ης Μαρτίου 2022, σχετικά με τον χρόνο εργασίας και την υβριδική εργασία· σημειώνει ότι, τον Σεπτέμβριο του 2022, ο Οργανισμός εφάρμοσε απόφαση της εκτελεστικής διευθύντριας σχετικά με τις προσωρινές ρυθμίσεις υβριδικής εργασίας· σημειώνει επίσης ότι στις 16 Νοεμβρίου 2023 ο Οργανισμός ενέκρινε το υπόδειγμα απόφασης με ημερομηνία έναρξης ισχύος την 1η Ιανουαρίου 2024· σημειώνει, τέλος, με εκτίμηση ότι ο Οργανισμός έχει εγκρίνει τον Χάρτη του EUAN για τη διαφορετικότητα και τη συμπερίληψη·</w:t>
      </w:r>
    </w:p>
    <w:p w:rsidR="00192E7E" w:rsidRPr="006D2D1E" w:rsidRDefault="00192E7E" w:rsidP="00192E7E">
      <w:pPr>
        <w:pStyle w:val="Normal12Hanging"/>
        <w:shd w:val="clear" w:color="auto" w:fill="FFFFFF" w:themeFill="background1"/>
        <w:rPr>
          <w:b/>
          <w:i/>
          <w:szCs w:val="24"/>
          <w:lang w:val="el-GR"/>
        </w:rPr>
      </w:pPr>
      <w:r w:rsidRPr="006D2D1E">
        <w:rPr>
          <w:b/>
          <w:i/>
          <w:lang w:val="el-GR"/>
        </w:rPr>
        <w:t>Σύναψη συμβάσεων</w:t>
      </w:r>
    </w:p>
    <w:p w:rsidR="00192E7E" w:rsidRPr="006D2D1E" w:rsidRDefault="009433A6" w:rsidP="009433A6">
      <w:pPr>
        <w:pStyle w:val="NormalHanging12a"/>
        <w:ind w:hanging="570"/>
      </w:pPr>
      <w:r w:rsidRPr="006D2D1E">
        <w:t>20.</w:t>
      </w:r>
      <w:r w:rsidRPr="006D2D1E">
        <w:tab/>
      </w:r>
      <w:r w:rsidR="00192E7E" w:rsidRPr="006D2D1E">
        <w:t>επισημαίνει τις παρατηρήσεις που περιλαμβάνονται στην έκθεση του Ελεγκτικού Συνεδρίου και οδήγησαν στη διατύπωση γνώμης με επιφύλαξη λόγω της παρατυπίας αρκετών πληρωμών που πραγματοποιήθηκαν το 2022, συνολικού ύψους 17,8 εκατ</w:t>
      </w:r>
      <w:r w:rsidR="00A74A83">
        <w:t>ομμυρίων</w:t>
      </w:r>
      <w:r w:rsidR="00192E7E" w:rsidRPr="006D2D1E">
        <w:t> EUR σε σχέση με επτά ειδικές συμβάσεις, ποσό που αντιστοιχεί στο 4,8 % των συνολικών διαθέσιμων πιστώσεων πληρωμών το 2022· σημειώνει ότι η παρατυπία των εν λόγω πληρωμών συνδέεται κυρίως με αποκλίσεις από τις αντίστοιχες συμβάσεις-πλαίσιο· σημειώνει ότι, σύμφωνα με τις απαντήσεις του Οργανισμού στις γραπτές ερωτήσεις του Κοινοβουλίου, οι παρατυπίες όσον αφορά τις πληρωμές που πραγματοποιήθηκαν το 2022 μπορούν να ομαδοποιηθούν σε τρεις κατηγορίες, και συγκεκριμένα: τροποποίηση συμβάσεων ορισμένου χρόνου (6,5 εκατ</w:t>
      </w:r>
      <w:r w:rsidR="00A74A83">
        <w:t>ομμύρια</w:t>
      </w:r>
      <w:r w:rsidR="00192E7E" w:rsidRPr="006D2D1E">
        <w:t xml:space="preserve"> EUR)· παράταση ειδικών συμβάσεων πέραν της μέγιστης επιτρεπόμενης χρονικής περιόδου (3,7 εκατ</w:t>
      </w:r>
      <w:r w:rsidR="00A74A83">
        <w:t>ομμύρια</w:t>
      </w:r>
      <w:r w:rsidR="00192E7E" w:rsidRPr="006D2D1E">
        <w:t> EUR)· και έλλειψη λεπτομερειών σχετικά με τις απαιτήσεις σε ειδικές συμβάσεις (7,5 εκατ</w:t>
      </w:r>
      <w:r w:rsidR="00A74A83">
        <w:t>ομμύρια</w:t>
      </w:r>
      <w:r w:rsidR="00192E7E" w:rsidRPr="006D2D1E">
        <w:t>. EUR)· σημειώνει ότι ορισμένες από τις εν λόγω παράτυπες πληρωμές, συνολικού ύψους 10,5 εκατ</w:t>
      </w:r>
      <w:r w:rsidR="00A74A83">
        <w:t>ομμυρίων</w:t>
      </w:r>
      <w:r w:rsidR="00192E7E" w:rsidRPr="006D2D1E">
        <w:t xml:space="preserve"> EUR, αφορούν τρεις ειδικές συμβάσεις βάσει των οποίων πραγματοποιήθηκαν επίσης πληρωμές το 2021, κρίθηκαν δε παράτυπες από το Ελεγκτικό Συνέδριο στην ετήσια έκθεσή του για τους οργανισμούς της Ένωσης για το εν λόγω έτος· σημειώνει ότι, σύμφωνα με τις δηλώσεις της εκτελεστικής διευθύντριας του Οργανισμού κατά τη συνεδρίαση της κοινοβουλευτικής Επιτροπής Ελέγχου του Προϋπολογισμού, στις 29 Νοεμβρίου 2023, («οι δηλώσεις της εκτελεστικής διευθύντριας»), έξι από τις επτά ειδικές συμβάσεις που επισημαίνονται στην έκθεση του Ελεγκτικού Συνεδρίου έχουν λήξει χωρίς εκκρεμείς πληρωμές· επισημαίνει ότι αυτό έχει επαναληφθεί </w:t>
      </w:r>
      <w:proofErr w:type="spellStart"/>
      <w:r w:rsidR="00192E7E" w:rsidRPr="006D2D1E">
        <w:t>πολλάκις</w:t>
      </w:r>
      <w:proofErr w:type="spellEnd"/>
      <w:r w:rsidR="00192E7E" w:rsidRPr="006D2D1E">
        <w:t xml:space="preserve"> στον Οργανισμό· σημειώνει τα μέτρα που έχει λάβει ο Οργανισμός για την αντιμετώπισή του εν λόγω ζητήματος, όπως αναφέρεται στις απαντήσεις του Οργανισμού στις παρατηρήσεις του Ελεγκτικού Συνεδρίου· καλεί τον Οργανισμό να συνεχίσει να ασχολείται διεξοδικά με το εν λόγω ζήτημα και να ενημερώνει την αρμόδια για την απαλλαγή αρχή σχετικά με την πρόοδο που σημειώνεται·</w:t>
      </w:r>
    </w:p>
    <w:p w:rsidR="00192E7E" w:rsidRPr="006D2D1E" w:rsidRDefault="009433A6" w:rsidP="009433A6">
      <w:pPr>
        <w:pStyle w:val="Normal12Hanging"/>
        <w:shd w:val="clear" w:color="auto" w:fill="FFFFFF" w:themeFill="background1"/>
        <w:ind w:hanging="570"/>
        <w:rPr>
          <w:szCs w:val="24"/>
          <w:lang w:val="el-GR"/>
        </w:rPr>
      </w:pPr>
      <w:r w:rsidRPr="006D2D1E">
        <w:rPr>
          <w:szCs w:val="24"/>
          <w:lang w:val="el-GR"/>
        </w:rPr>
        <w:t>21.</w:t>
      </w:r>
      <w:r w:rsidRPr="006D2D1E">
        <w:rPr>
          <w:szCs w:val="24"/>
          <w:lang w:val="el-GR"/>
        </w:rPr>
        <w:tab/>
      </w:r>
      <w:r w:rsidR="00192E7E" w:rsidRPr="006D2D1E">
        <w:rPr>
          <w:lang w:val="el-GR"/>
        </w:rPr>
        <w:t>εκφράζει σοβαρές ανησυχίες για το γεγονός ότι το 2022 ήταν το τρίτο κατά σειρά έτος για το οποίο το Ελεγκτικό Συνέδριο εξέδωσε γνώμη με επιφύλαξη σχετικά με τον τομέα των δημόσιων συμβάσεων και τη διαχείριση των συμβάσεων από τον Οργανισμό καθώς παρατήρησε το υψηλό κόστος που καλείται να καλύψει ο Οργανισμός λόγω παρατυπιών, καθυστερήσεων και ανεπαρκών διαδικασιών υποβολής προσφορών και έλλειψης επιμέλειας εκ μέρους του Οργανισμού όσον αφορά τους κανόνες σύναψης συμβάσεων· σημειώνει το σχέδιο δράσης του Οργανισμού για λεπτομερή έλεγχο των διαδικασιών του προκειμένου να εντοπιστούν και να εξαλειφθούν τα βαθύτερα αίτια των επαναλαμβανόμενων παρατηρήσεων του Ελεγκτικού Συνεδρίου στον εν λόγω τομέα, όπως παρουσιάζονται στις απαντήσεις του Οργανισμού στις γραπτές ερωτήσεις του Κοινοβουλίου, στην έκθεση παρακολούθησης του Οργανισμού και στις δηλώσεις της εκτελεστικής διευθύντριας· αναμένει, επομένως, διαρκή βελτίωση ως αποτέλεσμα της εφαρμογής του εν λόγω σχεδίου δράσης, ιδίως δεδομένου ότι έξι από τις επτά ειδικές συμβάσεις που κρίθηκαν παράτυπες από το Ελεγκτικό Συνέδριο έχουν λήξει χωρίς εκκρεμείς πληρωμές· ζητεί από τον Οργανισμό να ενημερώνει περιοδικά την αρμόδια για την απαλλαγή αρχή σχετικά με την πρόοδο που σημειώνεται ως προς την εφαρμογή του σχεδίου δράσης και τυχόν διορθωτικών ενεργειών·</w:t>
      </w:r>
    </w:p>
    <w:p w:rsidR="00192E7E" w:rsidRPr="006D2D1E" w:rsidRDefault="009433A6" w:rsidP="009433A6">
      <w:pPr>
        <w:pStyle w:val="Normal12Hanging"/>
        <w:shd w:val="clear" w:color="auto" w:fill="FFFFFF" w:themeFill="background1"/>
        <w:ind w:hanging="570"/>
        <w:rPr>
          <w:szCs w:val="24"/>
          <w:lang w:val="el-GR"/>
        </w:rPr>
      </w:pPr>
      <w:r w:rsidRPr="006D2D1E">
        <w:rPr>
          <w:szCs w:val="24"/>
          <w:lang w:val="el-GR"/>
        </w:rPr>
        <w:t>22.</w:t>
      </w:r>
      <w:r w:rsidRPr="006D2D1E">
        <w:rPr>
          <w:szCs w:val="24"/>
          <w:lang w:val="el-GR"/>
        </w:rPr>
        <w:tab/>
      </w:r>
      <w:r w:rsidR="00192E7E" w:rsidRPr="006D2D1E">
        <w:rPr>
          <w:lang w:val="el-GR"/>
        </w:rPr>
        <w:t>επισημαίνει ότι, σύμφωνα με την έκθεση του Ελεγκτικού Συνεδρίου, το 2022, όπως και το 2021, ο Οργανισμός πραγματοποίησε πληρωμές βάσει ειδικής σύμβασης (ύψους 40 εκατ</w:t>
      </w:r>
      <w:r w:rsidR="00A74A83">
        <w:rPr>
          <w:lang w:val="el-GR"/>
        </w:rPr>
        <w:t>ομμυρίων</w:t>
      </w:r>
      <w:r w:rsidR="00192E7E" w:rsidRPr="006D2D1E">
        <w:rPr>
          <w:lang w:val="el-GR"/>
        </w:rPr>
        <w:t> EUR) χωρίς να εφαρμοστεί ορθά η σχετική σύμβαση-πλαίσιο, διότι δεν προσδιορίστηκαν οι λεπτομέρειες των υπηρεσιών που αποκτήθηκαν (ποσότητες, ημερομηνία παράδοσης)· σημειώνει ότι, στο πλαίσιο της εν λόγω σύμβασης, ο Οργανισμός κατέβαλε 7,5 εκατ</w:t>
      </w:r>
      <w:r w:rsidR="00A74A83">
        <w:rPr>
          <w:lang w:val="el-GR"/>
        </w:rPr>
        <w:t>ομμύρια</w:t>
      </w:r>
      <w:r w:rsidR="00192E7E" w:rsidRPr="006D2D1E">
        <w:rPr>
          <w:lang w:val="el-GR"/>
        </w:rPr>
        <w:t xml:space="preserve"> EUR το 2022· αναγνωρίζει ότι, σύμφωνα με σχόλια του Οργανισμού που περιλαμβάνονται στο σημείωμα της 13ης Νοεμβρίου 2023 με θέμα «Απαλλαγή 2022 – πορίσματα του ΕΕΣ σχετικά με τον </w:t>
      </w:r>
      <w:proofErr w:type="spellStart"/>
      <w:r w:rsidR="00192E7E" w:rsidRPr="006D2D1E">
        <w:rPr>
          <w:lang w:val="el-GR"/>
        </w:rPr>
        <w:t>eu</w:t>
      </w:r>
      <w:proofErr w:type="spellEnd"/>
      <w:r w:rsidR="00192E7E" w:rsidRPr="006D2D1E">
        <w:rPr>
          <w:lang w:val="el-GR"/>
        </w:rPr>
        <w:t>-LISA. Σύντομο σημείωμα για τους βουλευτές του ΕΚ», η βασική αιτία του απροσδιόριστου χαρακτήρα της εν λόγω σύμβασης, που υπεγράφη στα τέλη του 2018, ήταν η ανάγκη να διατηρηθεί η χρηματοδότηση για τη διαλειτουργικότητα EES-VIS, για την οποία ο δημοσιονομικός προγραμματισμός, εκτός του ελέγχου του Οργανισμού, μετατοπίστηκε σημαντικά από την έγκριση καθ’ </w:t>
      </w:r>
      <w:proofErr w:type="spellStart"/>
      <w:r w:rsidR="00192E7E" w:rsidRPr="006D2D1E">
        <w:rPr>
          <w:lang w:val="el-GR"/>
        </w:rPr>
        <w:t>εαυτήν</w:t>
      </w:r>
      <w:proofErr w:type="spellEnd"/>
      <w:r w:rsidR="00192E7E" w:rsidRPr="006D2D1E">
        <w:rPr>
          <w:lang w:val="el-GR"/>
        </w:rPr>
        <w:t xml:space="preserve"> της σχετικής νομοθεσίας· σημειώνει ότι, χωρίς τη σύμβαση αυτή, θα είχε χαθεί το σχετικό ποσό που απαιτείται για τη διαλειτουργικότητα· σημειώνει, σύμφωνα με την απάντηση του Οργανισμού στην παρατήρηση του Ελεγκτικού Συνεδρίου, τα διορθωτικά μέτρα που έλαβε ο Οργανισμός τροποποιώντας την εν λόγω σύμβαση, ώστε να προστεθεί λεπτομερέστερη περιγραφή των παρεχόμενων υπηρεσιών· σημειώνει ότι ο Οργανισμός δεν παράτεινε την εν λόγω σύμβαση, η οποία έληξε το 2022· υπενθυμίζει, στο πλαίσιο αυτό, ότι οι καθυστερήσεις στην έγκριση και εφαρμογή των σχετικών νομικών πράξεων αποτελούν βασικούς παράγοντες για τον καθορισμό του επιπέδου λεπτομέρειας και ακρίβειας που μπορεί να προσφέρει ο Οργανισμός κατά την αρχική σύναψη συμβάσεων-πλαισίου· σημειώνει, σύμφωνα με την έκθεση παρακολούθησης του Οργανισμού, την άποψη ότι η συντόμευση της προετοιμασίας των εκτελεστικών πράξεων θα είχε άμεσο αντίκτυπο στην ικανότητα του Οργανισμού να σχεδιάζει καλύτερα τις συμβάσεις του και να περιορίζει τις συμβατικές αλλαγές·</w:t>
      </w:r>
    </w:p>
    <w:p w:rsidR="00192E7E" w:rsidRPr="006D2D1E" w:rsidRDefault="009433A6" w:rsidP="009433A6">
      <w:pPr>
        <w:pStyle w:val="NormalHanging12a"/>
        <w:ind w:hanging="570"/>
      </w:pPr>
      <w:r w:rsidRPr="006D2D1E">
        <w:t>23.</w:t>
      </w:r>
      <w:r w:rsidRPr="006D2D1E">
        <w:tab/>
      </w:r>
      <w:r w:rsidR="00192E7E" w:rsidRPr="006D2D1E">
        <w:t>σημειώνει με ανησυχία ότι, σύμφωνα με την έκθεση του Ελεγκτικού Συνεδρίου, ο Οργανισμός χρησιμοποίησε διαδικασία με διαπραγμάτευση για την ανάθεση σύμβασης, χωρίς προηγούμενη δημοσίευση προκήρυξης διαγωνισμού· σημειώνει ότι ο Οργανισμός αιτιολόγησε την απόφαση αυτή για λόγους κατεπείγουσας ανάγκης, ενάντια στις συμβουλές της υπηρεσίες του Οργανισμού για τις δημόσιες συμβάσεις και της νομικής υπηρεσίας του· σημειώνει τους λόγους για τους οποίους το Ελεγκτικό Συνέδριο έκρινε πως η χρήση της εν λόγω διαδικασίας δεν ήταν δικαιολογημένη· σημειώνει, ωστόσο, την απάντηση του Οργανισμού ότι θα είχε προκύψει κίνδυνος κενού συντήρησης αρκετών μηνών, διότι τα χρονοδιαγράμματα για την εφαρμογή του προγράμματος ΣΕΕ άλλαξαν επίσημα σε μεταγενέστερο στάδιο και ο εκτιμώμενος συνολικός χρόνος που απαιτείται για την ανάθεση της σύμβασης και τη μετάβαση σε νέο ανάδοχο ήταν τουλάχιστον οκτώ μήνες· θεωρεί, στο πλαίσιο αυτό, ότι η προσέγγιση του Οργανισμού ήταν εύλογη· σημειώνει ότι, σύμφωνα με την απάντηση του Οργανισμού, η ανατεθείσα σύμβαση έχει εν τω μεταξύ λήξει·</w:t>
      </w:r>
    </w:p>
    <w:p w:rsidR="00192E7E" w:rsidRPr="006D2D1E" w:rsidRDefault="009433A6" w:rsidP="009433A6">
      <w:pPr>
        <w:pStyle w:val="Normal12Hanging"/>
        <w:ind w:hanging="570"/>
        <w:rPr>
          <w:szCs w:val="24"/>
          <w:lang w:val="el-GR"/>
        </w:rPr>
      </w:pPr>
      <w:r w:rsidRPr="006D2D1E">
        <w:rPr>
          <w:szCs w:val="24"/>
          <w:lang w:val="el-GR"/>
        </w:rPr>
        <w:t>24.</w:t>
      </w:r>
      <w:r w:rsidRPr="006D2D1E">
        <w:rPr>
          <w:szCs w:val="24"/>
          <w:lang w:val="el-GR"/>
        </w:rPr>
        <w:tab/>
      </w:r>
      <w:r w:rsidR="00192E7E" w:rsidRPr="006D2D1E">
        <w:rPr>
          <w:lang w:val="el-GR"/>
        </w:rPr>
        <w:t xml:space="preserve">σημειώνει ακόμα δύο παρατηρήσεις σχετικά με τα συστήματα διαχείρισης και ελέγχου του Οργανισμού που περιέχονται στην έκθεση του Ελεγκτικού Συνεδρίου· σημειώνει την πρώτη παρατήρηση σχετικά με την απόκτηση </w:t>
      </w:r>
      <w:proofErr w:type="spellStart"/>
      <w:r w:rsidR="00192E7E" w:rsidRPr="006D2D1E">
        <w:rPr>
          <w:lang w:val="el-GR"/>
        </w:rPr>
        <w:t>υλισμικού</w:t>
      </w:r>
      <w:proofErr w:type="spellEnd"/>
      <w:r w:rsidR="00192E7E" w:rsidRPr="006D2D1E">
        <w:rPr>
          <w:lang w:val="el-GR"/>
        </w:rPr>
        <w:t xml:space="preserve"> (27,7 εκατ</w:t>
      </w:r>
      <w:r w:rsidR="00A74A83">
        <w:rPr>
          <w:lang w:val="el-GR"/>
        </w:rPr>
        <w:t>ομμύρια</w:t>
      </w:r>
      <w:r w:rsidR="00192E7E" w:rsidRPr="006D2D1E">
        <w:rPr>
          <w:lang w:val="el-GR"/>
        </w:rPr>
        <w:t xml:space="preserve"> EUR) για την οποία δεν ελήφθησαν οι τιμοκατάλογοι των πωλητών </w:t>
      </w:r>
      <w:proofErr w:type="spellStart"/>
      <w:r w:rsidR="00192E7E" w:rsidRPr="006D2D1E">
        <w:rPr>
          <w:lang w:val="el-GR"/>
        </w:rPr>
        <w:t>υλισμικού</w:t>
      </w:r>
      <w:proofErr w:type="spellEnd"/>
      <w:r w:rsidR="00192E7E" w:rsidRPr="006D2D1E">
        <w:rPr>
          <w:lang w:val="el-GR"/>
        </w:rPr>
        <w:t xml:space="preserve"> ούτε διενεργήθηκαν εκ των προτέρων έλεγχοι· σημειώνει τη δεύτερη παρατήρηση όσον αφορά τη σύναψη σύμβασης-πλαισίου για εγκάρσιες πράξεις, με εκτιμώμενη αξία 490 εκατ</w:t>
      </w:r>
      <w:r w:rsidR="00A74A83">
        <w:rPr>
          <w:lang w:val="el-GR"/>
        </w:rPr>
        <w:t>ομμύρια</w:t>
      </w:r>
      <w:r w:rsidR="00192E7E" w:rsidRPr="006D2D1E">
        <w:rPr>
          <w:lang w:val="el-GR"/>
        </w:rPr>
        <w:t> EUR, ότι δεν τηρήθηκαν πρακτικά συνεδριάσεων για έξι συνεδριάσεις της επιτροπής αξιολόγησης και υπογράφτηκε μόνο η τελική έκθεση· καλεί τον Οργανισμό να βελτιώσει τα συστήματα εσωτερικού ελέγχου του ώστε να αποφευχθούν τέτοιες αστοχίες στο μέλλον·</w:t>
      </w:r>
    </w:p>
    <w:p w:rsidR="00192E7E" w:rsidRPr="006D2D1E" w:rsidRDefault="009433A6" w:rsidP="009433A6">
      <w:pPr>
        <w:pStyle w:val="Normal12Hanging"/>
        <w:ind w:hanging="570"/>
        <w:rPr>
          <w:szCs w:val="24"/>
          <w:lang w:val="el-GR"/>
        </w:rPr>
      </w:pPr>
      <w:r w:rsidRPr="006D2D1E">
        <w:rPr>
          <w:szCs w:val="24"/>
          <w:lang w:val="el-GR"/>
        </w:rPr>
        <w:t>25.</w:t>
      </w:r>
      <w:r w:rsidRPr="006D2D1E">
        <w:rPr>
          <w:szCs w:val="24"/>
          <w:lang w:val="el-GR"/>
        </w:rPr>
        <w:tab/>
      </w:r>
      <w:r w:rsidR="00192E7E" w:rsidRPr="006D2D1E">
        <w:rPr>
          <w:lang w:val="el-GR"/>
        </w:rPr>
        <w:t>σημειώνει ότι ο Οργανισμός έχει οκτώ «ανοικτές» παρατηρήσεις από τις εκθέσεις του Ελεγκτικού Συνεδρίου προηγούμενων ετών (2017, 2018 και 2021)· προτρέπει τον Οργανισμό να εφαρμόσει τις παρατηρήσεις αυτές χωρίς καθυστέρηση και να ενημερώσει την αρμόδια για την απαλλαγή αρχή σχετικά με την πρόοδο που έχει σημειωθεί εν προκειμένω·</w:t>
      </w:r>
    </w:p>
    <w:p w:rsidR="00192E7E" w:rsidRPr="006D2D1E" w:rsidRDefault="00192E7E" w:rsidP="00192E7E">
      <w:pPr>
        <w:pStyle w:val="Normal12Hanging"/>
        <w:rPr>
          <w:b/>
          <w:i/>
          <w:szCs w:val="24"/>
          <w:lang w:val="el-GR"/>
        </w:rPr>
      </w:pPr>
      <w:r w:rsidRPr="006D2D1E">
        <w:rPr>
          <w:b/>
          <w:i/>
          <w:lang w:val="el-GR"/>
        </w:rPr>
        <w:t>Πρόληψη και διαχείριση συγκρούσεων συμφερόντων και διαφάνεια</w:t>
      </w:r>
    </w:p>
    <w:p w:rsidR="00192E7E" w:rsidRPr="006D2D1E" w:rsidRDefault="009433A6" w:rsidP="009433A6">
      <w:pPr>
        <w:pStyle w:val="NormalHanging12a"/>
        <w:shd w:val="clear" w:color="auto" w:fill="FFFFFF" w:themeFill="background1"/>
        <w:ind w:hanging="570"/>
        <w:rPr>
          <w:rFonts w:cstheme="minorHAnsi"/>
        </w:rPr>
      </w:pPr>
      <w:r w:rsidRPr="006D2D1E">
        <w:rPr>
          <w:rFonts w:cstheme="minorHAnsi"/>
        </w:rPr>
        <w:t>26.</w:t>
      </w:r>
      <w:r w:rsidRPr="006D2D1E">
        <w:rPr>
          <w:rFonts w:cstheme="minorHAnsi"/>
        </w:rPr>
        <w:tab/>
      </w:r>
      <w:r w:rsidR="00192E7E" w:rsidRPr="006D2D1E">
        <w:t>σημειώνει ότι ο Οργανισμός έχει εφαρμόσει αποφάσεις σχετικά με την πρόληψη και τη διαχείριση συγκρούσεων συμφερόντων για το προσωπικό του και για τις εξωτερικές δραστηριότητες κατά τη διάρκεια και μετά την απασχόληση στον Οργανισμό· επικροτεί το γεγονός ότι όλα τα μέλη του προσωπικού πρέπει να υποβάλλουν τις δηλώσεις συμφερόντων μία φορά ανά διετία, με εξαίρεση όσους συμμετέχουν σε χρηματοοικονομικά κυκλώματα και τα ανώτερα διοικητικά στελέχη, που πρέπει να υποβάλλουν τέτοιες δηλώσεις ετησίως· σημειώνει ακόμη ότι όλα τα μέλη του προσωπικού του Οργανισμού έχουν την υποχρέωση να υποβάλλουν επίσης τέτοιες δηλώσεις ανά πάσα στιγμή όταν αλλάζει η κατάσταση· σημειώνει ότι ο Οργανισμός δημοσιεύει στον ιστότοπό του τις δηλώσεις συμφερόντων και τα βιογραφικά σημειώματα των ανώτερων διοικητικών στελεχών· επικροτεί το γεγονός ότι, από το 2022, δημοσιεύονται τόσο οι δηλώσεις συμφερόντων όσο και τα βιογραφικά σημειώματα των μελών του διοικητικού συμβουλίου και των αναπληρωτών τους·</w:t>
      </w:r>
    </w:p>
    <w:p w:rsidR="00192E7E" w:rsidRPr="006D2D1E" w:rsidRDefault="009433A6" w:rsidP="009433A6">
      <w:pPr>
        <w:pStyle w:val="NormalHanging12a"/>
        <w:ind w:hanging="570"/>
      </w:pPr>
      <w:r w:rsidRPr="006D2D1E">
        <w:t>27.</w:t>
      </w:r>
      <w:r w:rsidRPr="006D2D1E">
        <w:tab/>
      </w:r>
      <w:r w:rsidR="00192E7E" w:rsidRPr="006D2D1E">
        <w:t>εκφράζει την ικανοποίησή του για το γεγονός ότι, τον Μάρτιο του 2022, ο Οργανισμός ενέκρινε τις αναθεωρημένες κατευθυντήριες γραμμές για την καταγγελία δυσλειτουργιών· σημειώνει τη δήλωση του Οργανισμού ότι, το 2022, ενίσχυσε τη σαφήνεια και την προβολή των επιμέρους διαύλων επικοινωνίας που έχουν στη διάθεσή τους οι υπάλληλοι, π.χ. για να έρθουν σε επαφή με έμπιστους συμβούλους ή για να καταγγείλουν δυσλειτουργίες· επικροτεί ακόμη την έγκριση των κατευθυντήριων γραμμών σχετικά με την πρόσβαση του κοινού στα έγγραφα· επικροτεί την έναρξη ισχύος, από τον Σεπτέμβριο του 2022, της απόφασης 09/08/2022 του Οργανισμού σχετικά με τη θέσπιση μητρώου διαφάνειας, στο πλαίσιο του οποίου δημοσιεύονται στον ιστότοπο του Οργανισμού συνεδριάσεις μεταξύ των ανώτερων διοικητικών στελεχών και των οικονομικών φορέων του Οργανισμού·</w:t>
      </w:r>
    </w:p>
    <w:p w:rsidR="00192E7E" w:rsidRPr="006D2D1E" w:rsidRDefault="00192E7E" w:rsidP="00192E7E">
      <w:pPr>
        <w:pStyle w:val="Normal12Hanging"/>
        <w:shd w:val="clear" w:color="auto" w:fill="FFFFFF" w:themeFill="background1"/>
        <w:rPr>
          <w:b/>
          <w:i/>
          <w:szCs w:val="24"/>
          <w:lang w:val="el-GR"/>
        </w:rPr>
      </w:pPr>
      <w:r w:rsidRPr="006D2D1E">
        <w:rPr>
          <w:b/>
          <w:i/>
          <w:lang w:val="el-GR"/>
        </w:rPr>
        <w:t>Εσωτερικός έλεγχος</w:t>
      </w:r>
    </w:p>
    <w:p w:rsidR="00192E7E" w:rsidRPr="006D2D1E" w:rsidRDefault="009433A6" w:rsidP="009433A6">
      <w:pPr>
        <w:pStyle w:val="Normal12Hanging"/>
        <w:shd w:val="clear" w:color="auto" w:fill="FFFFFF" w:themeFill="background1"/>
        <w:ind w:hanging="570"/>
        <w:rPr>
          <w:szCs w:val="24"/>
          <w:lang w:val="el-GR"/>
        </w:rPr>
      </w:pPr>
      <w:r w:rsidRPr="006D2D1E">
        <w:rPr>
          <w:szCs w:val="24"/>
          <w:lang w:val="el-GR"/>
        </w:rPr>
        <w:t>28.</w:t>
      </w:r>
      <w:r w:rsidRPr="006D2D1E">
        <w:rPr>
          <w:szCs w:val="24"/>
          <w:lang w:val="el-GR"/>
        </w:rPr>
        <w:tab/>
      </w:r>
      <w:r w:rsidR="00192E7E" w:rsidRPr="006D2D1E">
        <w:rPr>
          <w:lang w:val="el-GR"/>
        </w:rPr>
        <w:t xml:space="preserve">αναγνωρίζει τη σημασία των εξωτερικών ελέγχων σχετικά με την τήρηση της προστασίας των δεδομένων για τη διασφάλιση υψηλού επιπέδου προστασίας σε σχέση με την επεξεργασία δεδομένων προσωπικού χαρακτήρα από τον Οργανισμό· σημειώνει ότι, το 2022, ο Οργανισμός παρακολουθούσε συνεχώς την εφαρμογή των συστάσεων που διατυπώθηκαν κατά τους ελέγχους του Ευρωπαίου Επόπτη Προστασίας Δεδομένων (ΕΕΠΔ) σχετικά με το SIS, το VIS και το </w:t>
      </w:r>
      <w:proofErr w:type="spellStart"/>
      <w:r w:rsidR="00192E7E" w:rsidRPr="006D2D1E">
        <w:rPr>
          <w:lang w:val="el-GR"/>
        </w:rPr>
        <w:t>Eurodac</w:t>
      </w:r>
      <w:proofErr w:type="spellEnd"/>
      <w:r w:rsidR="00192E7E" w:rsidRPr="006D2D1E">
        <w:rPr>
          <w:lang w:val="el-GR"/>
        </w:rPr>
        <w:t xml:space="preserve">· σημειώνει ότι, το 2022, διενεργήθηκε νέα επιθεώρηση του ΕΕΠΔ σχετικά με το </w:t>
      </w:r>
      <w:proofErr w:type="spellStart"/>
      <w:r w:rsidR="00192E7E" w:rsidRPr="006D2D1E">
        <w:rPr>
          <w:lang w:val="el-GR"/>
        </w:rPr>
        <w:t>Eurodac</w:t>
      </w:r>
      <w:proofErr w:type="spellEnd"/>
      <w:r w:rsidR="00192E7E" w:rsidRPr="006D2D1E">
        <w:rPr>
          <w:lang w:val="el-GR"/>
        </w:rPr>
        <w:t xml:space="preserve">, το VIS και το SIS II, η οποία εστίασε στη συνολική διακυβέρνηση της ασφάλειας ΤΠ, στα συμβάντα ασφάλειας και τις παραβιάσεις δεδομένων, και στη μεθοδολογία και τις πρακτικές για την ασφαλή ανάπτυξη και δοκιμή των συστημάτων, με έμφαση στη διαχείριση του ελέγχου πρόσβασης στα διάφορα περιβάλλοντα· σημειώνει ότι, σύμφωνα με την έκθεση παρακολούθησης του Οργανισμού, η κατάσταση του ελέγχου του ΕΕΠΔ για το VIS και το SIS το 2018 «ολοκληρώθηκε», καθώς και έχουν εφαρμοστεί οι 43 συστάσεις, ενώ τα πορίσματα του ελέγχου του ΕΕΠΔ σχετικά με το </w:t>
      </w:r>
      <w:proofErr w:type="spellStart"/>
      <w:r w:rsidR="00192E7E" w:rsidRPr="006D2D1E">
        <w:rPr>
          <w:lang w:val="el-GR"/>
        </w:rPr>
        <w:t>Eurodac</w:t>
      </w:r>
      <w:proofErr w:type="spellEnd"/>
      <w:r w:rsidR="00192E7E" w:rsidRPr="006D2D1E">
        <w:rPr>
          <w:lang w:val="el-GR"/>
        </w:rPr>
        <w:t xml:space="preserve"> το 2019 «εφαρμόστηκαν εν μέρει», καθώς έχουν εφαρμοστεί 23 από τις 29 συστάσεις·</w:t>
      </w:r>
    </w:p>
    <w:p w:rsidR="00192E7E" w:rsidRPr="006D2D1E" w:rsidRDefault="009433A6" w:rsidP="009433A6">
      <w:pPr>
        <w:pStyle w:val="Normal12Hanging"/>
        <w:shd w:val="clear" w:color="auto" w:fill="FFFFFF" w:themeFill="background1"/>
        <w:ind w:hanging="570"/>
        <w:rPr>
          <w:szCs w:val="24"/>
          <w:lang w:val="el-GR"/>
        </w:rPr>
      </w:pPr>
      <w:r w:rsidRPr="006D2D1E">
        <w:rPr>
          <w:szCs w:val="24"/>
          <w:lang w:val="el-GR"/>
        </w:rPr>
        <w:t>29.</w:t>
      </w:r>
      <w:r w:rsidRPr="006D2D1E">
        <w:rPr>
          <w:szCs w:val="24"/>
          <w:lang w:val="el-GR"/>
        </w:rPr>
        <w:tab/>
      </w:r>
      <w:r w:rsidR="00192E7E" w:rsidRPr="006D2D1E">
        <w:rPr>
          <w:lang w:val="el-GR"/>
        </w:rPr>
        <w:t xml:space="preserve">επικροτεί την ετήσια </w:t>
      </w:r>
      <w:proofErr w:type="spellStart"/>
      <w:r w:rsidR="00192E7E" w:rsidRPr="006D2D1E">
        <w:rPr>
          <w:lang w:val="el-GR"/>
        </w:rPr>
        <w:t>αυτοαξιολόγηση</w:t>
      </w:r>
      <w:proofErr w:type="spellEnd"/>
      <w:r w:rsidR="00192E7E" w:rsidRPr="006D2D1E">
        <w:rPr>
          <w:lang w:val="el-GR"/>
        </w:rPr>
        <w:t xml:space="preserve"> του συστήματος εσωτερικού ελέγχου του Οργανισμού το 2022, η οποία είχε ως αποτέλεσμα να εκπληρωθεί εν όλω ή εν μέρει το 81 % των κριτηρίων παρακολούθησης του εσωτερικού ελέγχου του Οργανισμού· σημειώνει ότι το συμπέρασμα της εν λόγω αξιολόγησης είναι πως το σύστημα εσωτερικού ελέγχου υφίσταται, λειτουργεί και είναι αποτελεσματικό, αν και απαιτούνται ορισμένες βελτιώσεις όσον αφορά την επιβολή της λογοδοσίας, τους εκ των προτέρων ελέγχους και τη διαχείριση των συμβάσεων· σημειώνει ότι εξακολουθεί να υφίσταται, για τρίτο συναπτό έτος, μια σημαντική ανεπάρκεια στην αρχή 10 «Επιλογή και ανάπτυξη δραστηριοτήτων ελέγχου» στο πλαίσιο της συνιστώσας «Δραστηριότητες ελέγχου»· σημειώνει ότι, το 2022, ο Οργανισμός συνέχισε να ενισχύει τους ελέγχους του όσον αφορά τη διαχείριση των πληροφοριών αναθεωρώντας την πολιτική του για τη μακροπρόθεσμη διατήρηση των εγγράφων και των διαδικασιών διατήρησης εγγράφων και εκδίδοντας κατευθυντήριες γραμμές για την πρόσβαση του κοινού στα έγγραφα· καλεί τον Οργανισμό να συνεχίσει τις προσπάθειές του για τη μείωση των </w:t>
      </w:r>
      <w:r w:rsidR="00192E7E" w:rsidRPr="006D2D1E">
        <w:rPr>
          <w:shd w:val="clear" w:color="auto" w:fill="FFFFFF"/>
          <w:lang w:val="el-GR"/>
        </w:rPr>
        <w:t>αδυναμιών στον τομέα των δραστηριοτήτων ελέγχου, προκειμένου να μετριαστούν οι κίνδυνοι που σχετίζονται με την επίτευξη πολιτικών, επιχειρησιακών στόχων και στόχων εσωτερικού ελέγχου·</w:t>
      </w:r>
    </w:p>
    <w:p w:rsidR="00192E7E" w:rsidRPr="006D2D1E" w:rsidRDefault="009433A6" w:rsidP="009433A6">
      <w:pPr>
        <w:pStyle w:val="Normal12Hanging"/>
        <w:shd w:val="clear" w:color="auto" w:fill="FFFFFF" w:themeFill="background1"/>
        <w:ind w:hanging="570"/>
        <w:rPr>
          <w:szCs w:val="24"/>
          <w:lang w:val="el-GR"/>
        </w:rPr>
      </w:pPr>
      <w:r w:rsidRPr="006D2D1E">
        <w:rPr>
          <w:szCs w:val="24"/>
          <w:lang w:val="el-GR"/>
        </w:rPr>
        <w:t>30.</w:t>
      </w:r>
      <w:r w:rsidRPr="006D2D1E">
        <w:rPr>
          <w:szCs w:val="24"/>
          <w:lang w:val="el-GR"/>
        </w:rPr>
        <w:tab/>
      </w:r>
      <w:r w:rsidR="00192E7E" w:rsidRPr="006D2D1E">
        <w:rPr>
          <w:lang w:val="el-GR"/>
        </w:rPr>
        <w:t xml:space="preserve">σημειώνει ότι, στο τέλος του 2022, το ποσοστό εφαρμογής των συστάσεων ελέγχου από διάφορους φορείς ελέγχου και διερεύνησης ήταν 63 %: εφαρμόστηκαν 20 από τις 32 συστάσεις που έπρεπε να εφαρμοστούν (είχε παρέλθει η προβλεπόμενη προθεσμία για 12 συστάσεις)· σημειώνει ότι, στο τέλος του 2022, εκκρεμούσαν συνολικά 33 συστάσεις, εκ των οποίων τρεις ήταν κρίσιμης σημασίας· καλεί τον Οργανισμό να εφαρμόσει τις εκκρεμείς συστάσεις και να υποβάλει έκθεση στην αρμόδια για την απαλλαγή αρχή σχετικά με την </w:t>
      </w:r>
      <w:proofErr w:type="spellStart"/>
      <w:r w:rsidR="00192E7E" w:rsidRPr="006D2D1E">
        <w:rPr>
          <w:lang w:val="el-GR"/>
        </w:rPr>
        <w:t>επιτελεσθείσα</w:t>
      </w:r>
      <w:proofErr w:type="spellEnd"/>
      <w:r w:rsidR="00192E7E" w:rsidRPr="006D2D1E">
        <w:rPr>
          <w:lang w:val="el-GR"/>
        </w:rPr>
        <w:t xml:space="preserve"> πρόοδο·</w:t>
      </w:r>
    </w:p>
    <w:p w:rsidR="00192E7E" w:rsidRPr="006D2D1E" w:rsidRDefault="009433A6" w:rsidP="009433A6">
      <w:pPr>
        <w:pStyle w:val="NormalHanging12a"/>
        <w:shd w:val="clear" w:color="auto" w:fill="FFFFFF" w:themeFill="background1"/>
        <w:ind w:hanging="570"/>
        <w:rPr>
          <w:szCs w:val="24"/>
        </w:rPr>
      </w:pPr>
      <w:r w:rsidRPr="006D2D1E">
        <w:rPr>
          <w:szCs w:val="24"/>
        </w:rPr>
        <w:t>31.</w:t>
      </w:r>
      <w:r w:rsidRPr="006D2D1E">
        <w:rPr>
          <w:szCs w:val="24"/>
        </w:rPr>
        <w:tab/>
      </w:r>
      <w:r w:rsidR="00192E7E" w:rsidRPr="006D2D1E">
        <w:t>σημειώνει ότι, το 2022, ο Οργανισμός ζήτησε από την Ευρωπαϊκή Υπηρεσία Καταπολέμησης της Απάτης (OLAF) να αξιολογήσει δύο περιπτώσεις εικαζόμενης απάτης στις διαδικασίες πρόσληψης και μία περίπτωση πιθανών δόλιων δραστηριοτήτων από υπάλληλο· σημειώνει ότι, ανταποκρινόμενη και στα τρία αιτήματα, η OLAF αποφάσισε να μην κινήσει έρευνα· σημειώνει ότι, το 2022, ο Οργανισμός εφάρμοσε συστάσεις από έρευνες της OLAF σχετικά με τις υποθέσεις OC/2020/0441/A2 και OC/2017/1121/A2· επικροτεί την έγκριση της στρατηγικής του Οργανισμού για την καταπολέμηση της απάτης 2022-2024, σε συνδυασμό με σχέδιο δράσης που περιλαμβάνει 12 δράσεις·</w:t>
      </w:r>
    </w:p>
    <w:p w:rsidR="00192E7E" w:rsidRPr="006D2D1E" w:rsidRDefault="00192E7E" w:rsidP="00192E7E">
      <w:pPr>
        <w:pStyle w:val="Normal12Hanging"/>
        <w:shd w:val="clear" w:color="auto" w:fill="FFFFFF" w:themeFill="background1"/>
        <w:rPr>
          <w:b/>
          <w:i/>
          <w:szCs w:val="24"/>
          <w:lang w:val="el-GR"/>
        </w:rPr>
      </w:pPr>
      <w:r w:rsidRPr="006D2D1E">
        <w:rPr>
          <w:b/>
          <w:i/>
          <w:lang w:val="el-GR"/>
        </w:rPr>
        <w:t>Λοιπ</w:t>
      </w:r>
      <w:r w:rsidR="009433A6">
        <w:rPr>
          <w:b/>
          <w:i/>
          <w:lang w:val="el-GR"/>
        </w:rPr>
        <w:t>ές παρατηρήσεις</w:t>
      </w:r>
    </w:p>
    <w:p w:rsidR="00192E7E" w:rsidRPr="006D2D1E" w:rsidRDefault="009433A6" w:rsidP="009433A6">
      <w:pPr>
        <w:pStyle w:val="NormalHanging12a"/>
        <w:shd w:val="clear" w:color="auto" w:fill="FFFFFF" w:themeFill="background1"/>
        <w:ind w:hanging="570"/>
        <w:rPr>
          <w:szCs w:val="24"/>
        </w:rPr>
      </w:pPr>
      <w:r w:rsidRPr="006D2D1E">
        <w:rPr>
          <w:szCs w:val="24"/>
        </w:rPr>
        <w:t>32.</w:t>
      </w:r>
      <w:r w:rsidRPr="006D2D1E">
        <w:rPr>
          <w:szCs w:val="24"/>
        </w:rPr>
        <w:tab/>
      </w:r>
      <w:r w:rsidR="00192E7E" w:rsidRPr="006D2D1E">
        <w:t>σημειώνει ότι, το 2022, ο Οργανισμός εστίασε στη διασφάλιση της προβολής των επιτευγμάτων του και στην αύξηση της ενημέρωσης του κοινού σχετικά με τον ρόλο του στην εξυπηρέτηση των συμφερόντων των πολιτών της Ένωσης και στην παροχή υπηρεσιών ΤΠ σε συμφεροντούχους· επαινεί, στο πλαίσιο αυτό, τον Οργανισμό για την ολοκλήρωση της νέας διαδικτυακής πύλης του «</w:t>
      </w:r>
      <w:proofErr w:type="spellStart"/>
      <w:r w:rsidR="00192E7E" w:rsidRPr="006D2D1E">
        <w:t>Discover</w:t>
      </w:r>
      <w:proofErr w:type="spellEnd"/>
      <w:r w:rsidR="00192E7E" w:rsidRPr="006D2D1E">
        <w:t xml:space="preserve"> </w:t>
      </w:r>
      <w:proofErr w:type="spellStart"/>
      <w:r w:rsidR="00192E7E" w:rsidRPr="006D2D1E">
        <w:t>eu</w:t>
      </w:r>
      <w:proofErr w:type="spellEnd"/>
      <w:r w:rsidR="00192E7E" w:rsidRPr="006D2D1E">
        <w:t xml:space="preserve">-LISA 2.0» [Ανακαλύψτε τον </w:t>
      </w:r>
      <w:proofErr w:type="spellStart"/>
      <w:r w:rsidR="00192E7E" w:rsidRPr="006D2D1E">
        <w:t>eu</w:t>
      </w:r>
      <w:proofErr w:type="spellEnd"/>
      <w:r w:rsidR="00192E7E" w:rsidRPr="006D2D1E">
        <w:t xml:space="preserve">-LISA 2.0], η οποία παρέχει στους συμφεροντούχους επικαιροποιημένη επισκόπηση των βασικών καθηκόντων και των επιχειρηματικών τομέων του Οργανισμού, καθώς και για τη δημοσίευση ειδικού φυλλαδίου για τον εορτασμό της 10ης επετείου του, της οποίας τον εορτασμό διοργάνωσε ο Οργανισμός σε συνεργασία με την τσεχική Προεδρία, τη διάσκεψη του Οργανισμού με θέμα «10 έτη ως ψηφιακή καρδιά του Σένγκεν», στην οποία πήραν μέρος 20 ομιλητές και 388 συμμετέχοντες· επαινεί τον Οργανισμό διότι, το 2022, έλαβε το Κοινωνικό Βραβείο </w:t>
      </w:r>
      <w:proofErr w:type="spellStart"/>
      <w:r w:rsidR="00192E7E" w:rsidRPr="006D2D1E">
        <w:t>Forbes</w:t>
      </w:r>
      <w:proofErr w:type="spellEnd"/>
      <w:r w:rsidR="00192E7E" w:rsidRPr="006D2D1E">
        <w:t xml:space="preserve"> για τις καινοτόμες και εμπνευσμένες πρωτοβουλίες του στον τομέα της δημόσιας επικοινωνίας, αποδεικνύοντας τον ένθερμο δεοντολογικό του προσανατολισμό και τη χρήση καινοτόμων στρατηγικών, τεχνικών και εργαλείων επικοινωνίας· σημειώνει τη βελτίωση των δεικτών μέτρησης του Οργανισμού στα μέσα κοινωνικής δικτύωσης το 2022·</w:t>
      </w:r>
    </w:p>
    <w:p w:rsidR="00192E7E" w:rsidRPr="006D2D1E" w:rsidRDefault="009433A6" w:rsidP="009433A6">
      <w:pPr>
        <w:pStyle w:val="NormalHanging12a"/>
        <w:shd w:val="clear" w:color="auto" w:fill="FFFFFF" w:themeFill="background1"/>
        <w:ind w:hanging="570"/>
        <w:rPr>
          <w:szCs w:val="24"/>
        </w:rPr>
      </w:pPr>
      <w:r w:rsidRPr="006D2D1E">
        <w:rPr>
          <w:szCs w:val="24"/>
        </w:rPr>
        <w:t>33.</w:t>
      </w:r>
      <w:r w:rsidRPr="006D2D1E">
        <w:rPr>
          <w:szCs w:val="24"/>
        </w:rPr>
        <w:tab/>
      </w:r>
      <w:r w:rsidR="00192E7E" w:rsidRPr="006D2D1E">
        <w:t xml:space="preserve">σημειώνει ότι, το 2022, ο Οργανισμός ενέκρινε μεγάλο αριθμό σχεδίων ασφάλειας και επιχειρησιακής συνέχειας για τα βασικά επιχειρησιακά του συστήματα, προκειμένου να διασφαλίσει υψηλότερο επίπεδο κυβερνοασφάλειας και ανθεκτικότητας που απαιτείται από τα νομικά μέσα και διοργάνωσε άσκηση κυβερνοασφάλειας για την επαλήθευση της αποτελεσματικότητας των μέτρων ασφάλειας που εφαρμόζονται για την προστασία του κεντρικού SIS· σημειώνει ότι ο Οργανισμός αύξησε σημαντικά το επίπεδο παρακολούθησης των υπηρεσιακών συστημάτων ΤΠ που συνδέονται με το διαδίκτυο, λόγω του αυξημένου επιπέδου </w:t>
      </w:r>
      <w:proofErr w:type="spellStart"/>
      <w:r w:rsidR="00192E7E" w:rsidRPr="006D2D1E">
        <w:t>κυβερνοαπειλών</w:t>
      </w:r>
      <w:proofErr w:type="spellEnd"/>
      <w:r w:rsidR="00192E7E" w:rsidRPr="006D2D1E">
        <w:t xml:space="preserve"> που προκύπτει από την παράνομο επιθετικό πόλεμο της Ρωσίας στην Ουκρανία·</w:t>
      </w:r>
    </w:p>
    <w:p w:rsidR="00192E7E" w:rsidRPr="006D2D1E" w:rsidRDefault="009433A6" w:rsidP="009433A6">
      <w:pPr>
        <w:pStyle w:val="NormalHanging12a"/>
        <w:ind w:hanging="570"/>
      </w:pPr>
      <w:r w:rsidRPr="006D2D1E">
        <w:t>34.</w:t>
      </w:r>
      <w:r w:rsidRPr="006D2D1E">
        <w:tab/>
      </w:r>
      <w:r w:rsidR="00192E7E" w:rsidRPr="006D2D1E">
        <w:t xml:space="preserve">σημειώνει τη συνεχιζόμενη παροχή υπηρεσιών φιλοξενίας για τα εφεδρικά συστήματα του </w:t>
      </w:r>
      <w:proofErr w:type="spellStart"/>
      <w:r w:rsidR="00192E7E" w:rsidRPr="006D2D1E">
        <w:t>Frontex</w:t>
      </w:r>
      <w:proofErr w:type="spellEnd"/>
      <w:r w:rsidR="00192E7E" w:rsidRPr="006D2D1E">
        <w:t xml:space="preserve"> και του EUAA· σημειώνει την ανάπτυξη και την εφαρμογή του «κέντρου δεδομένων ως υπηρεσίας» για τη συγκέντρωση της επιχειρησιακής διαχείρισης, της παρακολούθησης και του σχεδιασμού ικανοτήτων της υποδομής ΤΠ που χρησιμοποιούν τα συστήματα ΔΕΥ· εκφράζει την ικανοποίησή του για την πρόοδο που έχει σημειωθεί όσον αφορά τις προετοιμασίες για το μελλοντικό σπονδυλωτό κέντρο δεδομένων, το οποίο θα παράσχει πρόσθετη εφεδρική ικανότητα και αύξηση της ικανότητας κατά 50 % για τη φιλοξενία νέων συστημάτων ΔΕΥ· υπενθυμίζει τη σημασία της συμμόρφωσης με το δίκαιο της Ένωσης, ιδίως όσον αφορά την προστασία των δεδομένων.</w:t>
      </w:r>
    </w:p>
    <w:p w:rsidR="00192E7E" w:rsidRPr="006D2D1E" w:rsidRDefault="00192E7E" w:rsidP="00192E7E">
      <w:pPr>
        <w:pStyle w:val="NormalCenter12a"/>
        <w:shd w:val="clear" w:color="auto" w:fill="FFFFFF" w:themeFill="background1"/>
      </w:pPr>
      <w:r w:rsidRPr="006D2D1E">
        <w:t>°</w:t>
      </w:r>
    </w:p>
    <w:p w:rsidR="00192E7E" w:rsidRPr="006D2D1E" w:rsidRDefault="00192E7E" w:rsidP="00192E7E">
      <w:pPr>
        <w:pStyle w:val="NormalCenter12a"/>
        <w:shd w:val="clear" w:color="auto" w:fill="FFFFFF" w:themeFill="background1"/>
      </w:pPr>
      <w:r w:rsidRPr="006D2D1E">
        <w:t>°</w:t>
      </w:r>
      <w:r w:rsidRPr="006D2D1E">
        <w:tab/>
        <w:t>°</w:t>
      </w:r>
    </w:p>
    <w:p w:rsidR="00192E7E" w:rsidRPr="006D2D1E" w:rsidRDefault="009433A6" w:rsidP="009433A6">
      <w:pPr>
        <w:pStyle w:val="NormalHanging12a"/>
        <w:shd w:val="clear" w:color="auto" w:fill="FFFFFF" w:themeFill="background1"/>
        <w:ind w:hanging="570"/>
      </w:pPr>
      <w:r w:rsidRPr="006D2D1E">
        <w:t>35.</w:t>
      </w:r>
      <w:r w:rsidRPr="006D2D1E">
        <w:tab/>
      </w:r>
      <w:r w:rsidR="00192E7E" w:rsidRPr="006D2D1E">
        <w:t xml:space="preserve">παραπέμπει, όσον αφορά τις άλλες παρατηρήσεις οριζόντιου χαρακτήρα που συνοδεύουν την απόφαση απαλλαγής, στο ψήφισμά του της </w:t>
      </w:r>
      <w:r w:rsidR="001C5B0B">
        <w:t>11ης Απριλίου</w:t>
      </w:r>
      <w:r w:rsidR="001C5B0B" w:rsidRPr="006D2D1E">
        <w:t xml:space="preserve"> </w:t>
      </w:r>
      <w:r w:rsidR="00192E7E" w:rsidRPr="006D2D1E">
        <w:t>2024</w:t>
      </w:r>
      <w:r w:rsidR="00192E7E" w:rsidRPr="006D2D1E">
        <w:rPr>
          <w:rStyle w:val="FootnoteReference"/>
        </w:rPr>
        <w:footnoteReference w:id="12"/>
      </w:r>
      <w:r w:rsidR="00192E7E" w:rsidRPr="006D2D1E">
        <w:t xml:space="preserve"> σχετικά με τις επιδόσεις, τη χρηματοοικονομική διαχείριση και τον έλεγχο των οργανισμών.</w:t>
      </w:r>
    </w:p>
    <w:p w:rsidR="00E365E1" w:rsidRPr="006D2D1E" w:rsidRDefault="00E365E1" w:rsidP="00900AA2">
      <w:bookmarkStart w:id="9" w:name="TextBodyEnd"/>
      <w:bookmarkEnd w:id="9"/>
    </w:p>
    <w:sectPr w:rsidR="00E365E1" w:rsidRPr="006D2D1E" w:rsidSect="006D2D1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AA2" w:rsidRPr="006D2D1E" w:rsidRDefault="00900AA2">
      <w:r w:rsidRPr="006D2D1E">
        <w:separator/>
      </w:r>
    </w:p>
  </w:endnote>
  <w:endnote w:type="continuationSeparator" w:id="0">
    <w:p w:rsidR="00900AA2" w:rsidRPr="006D2D1E" w:rsidRDefault="00900AA2">
      <w:r w:rsidRPr="006D2D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E7E" w:rsidRPr="006D2D1E" w:rsidRDefault="00192E7E" w:rsidP="00EA5455">
    <w:pPr>
      <w:pStyle w:val="EPFooter"/>
    </w:pPr>
    <w:r w:rsidRPr="006D2D1E">
      <w:t>PE</w:t>
    </w:r>
    <w:r w:rsidRPr="006D2D1E">
      <w:rPr>
        <w:rStyle w:val="HideTWBExt"/>
      </w:rPr>
      <w:t>&lt;</w:t>
    </w:r>
    <w:proofErr w:type="spellStart"/>
    <w:r w:rsidRPr="006D2D1E">
      <w:rPr>
        <w:rStyle w:val="HideTWBExt"/>
      </w:rPr>
      <w:t>NoPE</w:t>
    </w:r>
    <w:proofErr w:type="spellEnd"/>
    <w:r w:rsidRPr="006D2D1E">
      <w:rPr>
        <w:rStyle w:val="HideTWBExt"/>
      </w:rPr>
      <w:t>&gt;</w:t>
    </w:r>
    <w:r w:rsidRPr="006D2D1E">
      <w:t>753.534</w:t>
    </w:r>
    <w:r w:rsidRPr="006D2D1E">
      <w:rPr>
        <w:rStyle w:val="HideTWBExt"/>
      </w:rPr>
      <w:t>&lt;/</w:t>
    </w:r>
    <w:proofErr w:type="spellStart"/>
    <w:r w:rsidRPr="006D2D1E">
      <w:rPr>
        <w:rStyle w:val="HideTWBExt"/>
      </w:rPr>
      <w:t>NoPE</w:t>
    </w:r>
    <w:proofErr w:type="spellEnd"/>
    <w:r w:rsidRPr="006D2D1E">
      <w:rPr>
        <w:rStyle w:val="HideTWBExt"/>
      </w:rPr>
      <w:t>&gt;&lt;Version&gt;</w:t>
    </w:r>
    <w:r w:rsidRPr="006D2D1E">
      <w:t>v02-00</w:t>
    </w:r>
    <w:r w:rsidRPr="006D2D1E">
      <w:rPr>
        <w:rStyle w:val="HideTWBExt"/>
      </w:rPr>
      <w:t>&lt;/</w:t>
    </w:r>
    <w:proofErr w:type="spellStart"/>
    <w:r w:rsidRPr="006D2D1E">
      <w:rPr>
        <w:rStyle w:val="HideTWBExt"/>
      </w:rPr>
      <w:t>Version</w:t>
    </w:r>
    <w:proofErr w:type="spellEnd"/>
    <w:r w:rsidRPr="006D2D1E">
      <w:rPr>
        <w:rStyle w:val="HideTWBExt"/>
      </w:rPr>
      <w:t>&gt;</w:t>
    </w:r>
    <w:r w:rsidRPr="006D2D1E">
      <w:tab/>
    </w:r>
    <w:r w:rsidRPr="006D2D1E">
      <w:fldChar w:fldCharType="begin"/>
    </w:r>
    <w:r w:rsidRPr="006D2D1E">
      <w:instrText xml:space="preserve"> PAGE  \* MERGEFORMAT </w:instrText>
    </w:r>
    <w:r w:rsidRPr="006D2D1E">
      <w:fldChar w:fldCharType="separate"/>
    </w:r>
    <w:r w:rsidRPr="006D2D1E">
      <w:rPr>
        <w:noProof/>
      </w:rPr>
      <w:t>4</w:t>
    </w:r>
    <w:r w:rsidRPr="006D2D1E">
      <w:fldChar w:fldCharType="end"/>
    </w:r>
    <w:r w:rsidRPr="006D2D1E">
      <w:t>/</w:t>
    </w:r>
    <w:r w:rsidR="009433A6">
      <w:fldChar w:fldCharType="begin"/>
    </w:r>
    <w:r w:rsidR="009433A6">
      <w:instrText xml:space="preserve"> NUMPAGES  \* MERGEFORMAT </w:instrText>
    </w:r>
    <w:r w:rsidR="009433A6">
      <w:fldChar w:fldCharType="separate"/>
    </w:r>
    <w:r w:rsidRPr="006D2D1E">
      <w:rPr>
        <w:noProof/>
      </w:rPr>
      <w:t>4</w:t>
    </w:r>
    <w:r w:rsidR="009433A6">
      <w:rPr>
        <w:noProof/>
      </w:rPr>
      <w:fldChar w:fldCharType="end"/>
    </w:r>
    <w:r w:rsidRPr="006D2D1E">
      <w:tab/>
    </w:r>
    <w:r w:rsidRPr="006D2D1E">
      <w:rPr>
        <w:rStyle w:val="HideTWBExt"/>
      </w:rPr>
      <w:t>&lt;PathFdR&gt;</w:t>
    </w:r>
    <w:r w:rsidRPr="006D2D1E">
      <w:t>RR\1298800EL.docx</w:t>
    </w:r>
    <w:r w:rsidRPr="006D2D1E">
      <w:rPr>
        <w:rStyle w:val="HideTWBExt"/>
      </w:rPr>
      <w:t>&lt;/</w:t>
    </w:r>
    <w:proofErr w:type="spellStart"/>
    <w:r w:rsidRPr="006D2D1E">
      <w:rPr>
        <w:rStyle w:val="HideTWBExt"/>
      </w:rPr>
      <w:t>PathFdR</w:t>
    </w:r>
    <w:proofErr w:type="spellEnd"/>
    <w:r w:rsidRPr="006D2D1E">
      <w:rPr>
        <w:rStyle w:val="HideTWBExt"/>
      </w:rPr>
      <w:t>&gt;</w:t>
    </w:r>
  </w:p>
  <w:p w:rsidR="00192E7E" w:rsidRPr="006D2D1E" w:rsidRDefault="00192E7E" w:rsidP="00EA5455">
    <w:pPr>
      <w:pStyle w:val="EPFooter2"/>
    </w:pPr>
    <w:r w:rsidRPr="006D2D1E">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E7E" w:rsidRPr="006D2D1E" w:rsidRDefault="00192E7E" w:rsidP="00EA5455">
    <w:pPr>
      <w:pStyle w:val="EPFooter"/>
    </w:pPr>
    <w:r w:rsidRPr="006D2D1E">
      <w:rPr>
        <w:rStyle w:val="HideTWBExt"/>
      </w:rPr>
      <w:t>&lt;PathFdR&gt;</w:t>
    </w:r>
    <w:r w:rsidRPr="006D2D1E">
      <w:t>RR\1298800EL.docx</w:t>
    </w:r>
    <w:r w:rsidRPr="006D2D1E">
      <w:rPr>
        <w:rStyle w:val="HideTWBExt"/>
      </w:rPr>
      <w:t>&lt;/</w:t>
    </w:r>
    <w:proofErr w:type="spellStart"/>
    <w:r w:rsidRPr="006D2D1E">
      <w:rPr>
        <w:rStyle w:val="HideTWBExt"/>
      </w:rPr>
      <w:t>PathFdR</w:t>
    </w:r>
    <w:proofErr w:type="spellEnd"/>
    <w:r w:rsidRPr="006D2D1E">
      <w:rPr>
        <w:rStyle w:val="HideTWBExt"/>
      </w:rPr>
      <w:t>&gt;</w:t>
    </w:r>
    <w:r w:rsidRPr="006D2D1E">
      <w:tab/>
    </w:r>
    <w:r w:rsidRPr="006D2D1E">
      <w:tab/>
      <w:t>PE</w:t>
    </w:r>
    <w:r w:rsidRPr="006D2D1E">
      <w:rPr>
        <w:rStyle w:val="HideTWBExt"/>
      </w:rPr>
      <w:t>&lt;</w:t>
    </w:r>
    <w:proofErr w:type="spellStart"/>
    <w:r w:rsidRPr="006D2D1E">
      <w:rPr>
        <w:rStyle w:val="HideTWBExt"/>
      </w:rPr>
      <w:t>NoPE</w:t>
    </w:r>
    <w:proofErr w:type="spellEnd"/>
    <w:r w:rsidRPr="006D2D1E">
      <w:rPr>
        <w:rStyle w:val="HideTWBExt"/>
      </w:rPr>
      <w:t>&gt;</w:t>
    </w:r>
    <w:r w:rsidRPr="006D2D1E">
      <w:t>753.534</w:t>
    </w:r>
    <w:r w:rsidRPr="006D2D1E">
      <w:rPr>
        <w:rStyle w:val="HideTWBExt"/>
      </w:rPr>
      <w:t>&lt;/</w:t>
    </w:r>
    <w:proofErr w:type="spellStart"/>
    <w:r w:rsidRPr="006D2D1E">
      <w:rPr>
        <w:rStyle w:val="HideTWBExt"/>
      </w:rPr>
      <w:t>NoPE</w:t>
    </w:r>
    <w:proofErr w:type="spellEnd"/>
    <w:r w:rsidRPr="006D2D1E">
      <w:rPr>
        <w:rStyle w:val="HideTWBExt"/>
      </w:rPr>
      <w:t>&gt;&lt;Version&gt;</w:t>
    </w:r>
    <w:r w:rsidRPr="006D2D1E">
      <w:t>v02-00</w:t>
    </w:r>
    <w:r w:rsidRPr="006D2D1E">
      <w:rPr>
        <w:rStyle w:val="HideTWBExt"/>
      </w:rPr>
      <w:t>&lt;/</w:t>
    </w:r>
    <w:proofErr w:type="spellStart"/>
    <w:r w:rsidRPr="006D2D1E">
      <w:rPr>
        <w:rStyle w:val="HideTWBExt"/>
      </w:rPr>
      <w:t>Version</w:t>
    </w:r>
    <w:proofErr w:type="spellEnd"/>
    <w:r w:rsidRPr="006D2D1E">
      <w:rPr>
        <w:rStyle w:val="HideTWBExt"/>
      </w:rPr>
      <w:t>&gt;</w:t>
    </w:r>
  </w:p>
  <w:p w:rsidR="00192E7E" w:rsidRPr="006D2D1E" w:rsidRDefault="00192E7E" w:rsidP="00EA5455">
    <w:pPr>
      <w:pStyle w:val="EPFooter2"/>
    </w:pPr>
    <w:r w:rsidRPr="006D2D1E">
      <w:t>EL</w:t>
    </w:r>
    <w:r w:rsidRPr="006D2D1E">
      <w:tab/>
    </w:r>
    <w:r w:rsidRPr="006D2D1E">
      <w:rPr>
        <w:b w:val="0"/>
        <w:i/>
        <w:color w:val="C0C0C0"/>
        <w:sz w:val="22"/>
      </w:rPr>
      <w:t>Ενωμένη στην πολυμορφία</w:t>
    </w:r>
    <w:r w:rsidRPr="006D2D1E">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2D1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2D1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2D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AA2" w:rsidRPr="006D2D1E" w:rsidRDefault="00900AA2">
      <w:r w:rsidRPr="006D2D1E">
        <w:separator/>
      </w:r>
    </w:p>
  </w:footnote>
  <w:footnote w:type="continuationSeparator" w:id="0">
    <w:p w:rsidR="00900AA2" w:rsidRPr="006D2D1E" w:rsidRDefault="00900AA2">
      <w:r w:rsidRPr="006D2D1E">
        <w:continuationSeparator/>
      </w:r>
    </w:p>
  </w:footnote>
  <w:footnote w:id="1">
    <w:p w:rsidR="00192E7E" w:rsidRPr="006D2D1E" w:rsidRDefault="00192E7E" w:rsidP="006D2D1E">
      <w:pPr>
        <w:pStyle w:val="FootnoteText"/>
        <w:ind w:left="567" w:hanging="567"/>
        <w:rPr>
          <w:sz w:val="24"/>
          <w:lang w:val="el-GR"/>
        </w:rPr>
      </w:pPr>
      <w:r w:rsidRPr="006D2D1E">
        <w:rPr>
          <w:rStyle w:val="FootnoteReference"/>
          <w:sz w:val="24"/>
          <w:lang w:val="el-GR"/>
        </w:rPr>
        <w:footnoteRef/>
      </w:r>
      <w:r w:rsidR="006D2D1E" w:rsidRPr="006D2D1E">
        <w:rPr>
          <w:sz w:val="24"/>
          <w:lang w:val="el-GR"/>
        </w:rPr>
        <w:t xml:space="preserve"> </w:t>
      </w:r>
      <w:r w:rsidR="006D2D1E" w:rsidRPr="006D2D1E">
        <w:rPr>
          <w:sz w:val="24"/>
          <w:lang w:val="el-GR"/>
        </w:rPr>
        <w:tab/>
      </w:r>
      <w:r w:rsidRPr="006D2D1E">
        <w:rPr>
          <w:sz w:val="24"/>
          <w:lang w:val="el-GR"/>
        </w:rPr>
        <w:t>ΕΕ C, C/2023/594, 27.10.2023.</w:t>
      </w:r>
    </w:p>
  </w:footnote>
  <w:footnote w:id="2">
    <w:p w:rsidR="00192E7E" w:rsidRPr="006D2D1E" w:rsidRDefault="00192E7E" w:rsidP="006D2D1E">
      <w:pPr>
        <w:pStyle w:val="FootnoteText"/>
        <w:ind w:left="567" w:hanging="567"/>
        <w:rPr>
          <w:sz w:val="24"/>
          <w:lang w:val="el-GR"/>
        </w:rPr>
      </w:pPr>
      <w:r w:rsidRPr="006D2D1E">
        <w:rPr>
          <w:rStyle w:val="FootnoteReference"/>
          <w:sz w:val="24"/>
          <w:lang w:val="el-GR"/>
        </w:rPr>
        <w:footnoteRef/>
      </w:r>
      <w:r w:rsidR="006D2D1E" w:rsidRPr="006D2D1E">
        <w:rPr>
          <w:sz w:val="24"/>
          <w:lang w:val="el-GR"/>
        </w:rPr>
        <w:t xml:space="preserve"> </w:t>
      </w:r>
      <w:r w:rsidR="006D2D1E" w:rsidRPr="006D2D1E">
        <w:rPr>
          <w:sz w:val="24"/>
          <w:lang w:val="el-GR"/>
        </w:rPr>
        <w:tab/>
      </w:r>
      <w:r w:rsidRPr="006D2D1E">
        <w:rPr>
          <w:sz w:val="24"/>
          <w:lang w:val="el-GR"/>
        </w:rPr>
        <w:t>ΕΕ C, C/2023/112, 12.10.2023.</w:t>
      </w:r>
    </w:p>
  </w:footnote>
  <w:footnote w:id="3">
    <w:p w:rsidR="00192E7E" w:rsidRPr="006D2D1E" w:rsidRDefault="00192E7E" w:rsidP="006D2D1E">
      <w:pPr>
        <w:pStyle w:val="FootnoteText"/>
        <w:ind w:left="567" w:hanging="567"/>
        <w:rPr>
          <w:sz w:val="24"/>
          <w:lang w:val="el-GR"/>
        </w:rPr>
      </w:pPr>
      <w:r w:rsidRPr="006D2D1E">
        <w:rPr>
          <w:rStyle w:val="FootnoteReference"/>
          <w:sz w:val="24"/>
          <w:lang w:val="el-GR"/>
        </w:rPr>
        <w:footnoteRef/>
      </w:r>
      <w:r w:rsidR="006D2D1E" w:rsidRPr="006D2D1E">
        <w:rPr>
          <w:sz w:val="24"/>
          <w:lang w:val="el-GR"/>
        </w:rPr>
        <w:t xml:space="preserve"> </w:t>
      </w:r>
      <w:r w:rsidR="006D2D1E" w:rsidRPr="006D2D1E">
        <w:rPr>
          <w:sz w:val="24"/>
          <w:lang w:val="el-GR"/>
        </w:rPr>
        <w:tab/>
      </w:r>
      <w:r w:rsidRPr="006D2D1E">
        <w:rPr>
          <w:sz w:val="24"/>
          <w:lang w:val="el-GR"/>
        </w:rPr>
        <w:t>ΕΕ L 193 της 30.7.2018, σ. 1.</w:t>
      </w:r>
    </w:p>
  </w:footnote>
  <w:footnote w:id="4">
    <w:p w:rsidR="00192E7E" w:rsidRPr="006D2D1E" w:rsidRDefault="00192E7E" w:rsidP="006D2D1E">
      <w:pPr>
        <w:pStyle w:val="FootnoteText"/>
        <w:ind w:left="567" w:hanging="567"/>
        <w:rPr>
          <w:sz w:val="24"/>
          <w:szCs w:val="24"/>
          <w:lang w:val="el-GR"/>
        </w:rPr>
      </w:pPr>
      <w:r w:rsidRPr="006D2D1E">
        <w:rPr>
          <w:rStyle w:val="FootnoteReference"/>
          <w:sz w:val="24"/>
          <w:lang w:val="el-GR"/>
        </w:rPr>
        <w:footnoteRef/>
      </w:r>
      <w:r w:rsidR="006D2D1E" w:rsidRPr="006D2D1E">
        <w:rPr>
          <w:sz w:val="24"/>
          <w:lang w:val="el-GR"/>
        </w:rPr>
        <w:t xml:space="preserve"> </w:t>
      </w:r>
      <w:r w:rsidR="006D2D1E" w:rsidRPr="006D2D1E">
        <w:rPr>
          <w:sz w:val="24"/>
          <w:lang w:val="el-GR"/>
        </w:rPr>
        <w:tab/>
      </w:r>
      <w:r w:rsidRPr="006D2D1E">
        <w:rPr>
          <w:sz w:val="24"/>
          <w:lang w:val="el-GR"/>
        </w:rPr>
        <w:t>ΕΕ L 295 της 21.11.2018, σ. 99.</w:t>
      </w:r>
    </w:p>
  </w:footnote>
  <w:footnote w:id="5">
    <w:p w:rsidR="00192E7E" w:rsidRPr="006D2D1E" w:rsidRDefault="00192E7E" w:rsidP="006D2D1E">
      <w:pPr>
        <w:pStyle w:val="FootnoteText"/>
        <w:ind w:left="567" w:hanging="567"/>
        <w:rPr>
          <w:sz w:val="24"/>
          <w:lang w:val="el-GR"/>
        </w:rPr>
      </w:pPr>
      <w:r w:rsidRPr="006D2D1E">
        <w:rPr>
          <w:rStyle w:val="FootnoteReference"/>
          <w:sz w:val="24"/>
          <w:lang w:val="el-GR"/>
        </w:rPr>
        <w:footnoteRef/>
      </w:r>
      <w:r w:rsidR="006D2D1E" w:rsidRPr="006D2D1E">
        <w:rPr>
          <w:sz w:val="24"/>
          <w:lang w:val="el-GR"/>
        </w:rPr>
        <w:t xml:space="preserve"> </w:t>
      </w:r>
      <w:r w:rsidR="006D2D1E" w:rsidRPr="006D2D1E">
        <w:rPr>
          <w:sz w:val="24"/>
          <w:lang w:val="el-GR"/>
        </w:rPr>
        <w:tab/>
      </w:r>
      <w:r w:rsidRPr="006D2D1E">
        <w:rPr>
          <w:sz w:val="24"/>
          <w:lang w:val="el-GR"/>
        </w:rPr>
        <w:t>ΕΕ L 122 της 10.5.2019, σ. 1.</w:t>
      </w:r>
    </w:p>
  </w:footnote>
  <w:footnote w:id="6">
    <w:p w:rsidR="00192E7E" w:rsidRPr="006D2D1E" w:rsidRDefault="00192E7E" w:rsidP="006D2D1E">
      <w:pPr>
        <w:pStyle w:val="FootnoteText"/>
        <w:ind w:left="567" w:hanging="567"/>
        <w:rPr>
          <w:sz w:val="24"/>
          <w:lang w:val="el-GR"/>
        </w:rPr>
      </w:pPr>
      <w:r w:rsidRPr="006D2D1E">
        <w:rPr>
          <w:rStyle w:val="FootnoteReference"/>
          <w:sz w:val="24"/>
          <w:lang w:val="el-GR"/>
        </w:rPr>
        <w:footnoteRef/>
      </w:r>
      <w:r w:rsidR="006D2D1E" w:rsidRPr="006D2D1E">
        <w:rPr>
          <w:sz w:val="24"/>
          <w:lang w:val="el-GR"/>
        </w:rPr>
        <w:t xml:space="preserve"> </w:t>
      </w:r>
      <w:r w:rsidR="006D2D1E" w:rsidRPr="006D2D1E">
        <w:rPr>
          <w:sz w:val="24"/>
          <w:lang w:val="el-GR"/>
        </w:rPr>
        <w:tab/>
      </w:r>
      <w:r w:rsidRPr="006D2D1E">
        <w:rPr>
          <w:sz w:val="24"/>
          <w:lang w:val="el-GR"/>
        </w:rPr>
        <w:t>ΕΕ C, C/2023/594, 27.10.2023.</w:t>
      </w:r>
    </w:p>
  </w:footnote>
  <w:footnote w:id="7">
    <w:p w:rsidR="00192E7E" w:rsidRPr="006D2D1E" w:rsidRDefault="00192E7E" w:rsidP="006D2D1E">
      <w:pPr>
        <w:pStyle w:val="FootnoteText"/>
        <w:ind w:left="567" w:hanging="567"/>
        <w:rPr>
          <w:sz w:val="24"/>
          <w:lang w:val="el-GR"/>
        </w:rPr>
      </w:pPr>
      <w:r w:rsidRPr="006D2D1E">
        <w:rPr>
          <w:rStyle w:val="FootnoteReference"/>
          <w:sz w:val="24"/>
          <w:lang w:val="el-GR"/>
        </w:rPr>
        <w:footnoteRef/>
      </w:r>
      <w:r w:rsidR="006D2D1E" w:rsidRPr="006D2D1E">
        <w:rPr>
          <w:sz w:val="24"/>
          <w:lang w:val="el-GR"/>
        </w:rPr>
        <w:t xml:space="preserve"> </w:t>
      </w:r>
      <w:r w:rsidR="006D2D1E" w:rsidRPr="006D2D1E">
        <w:rPr>
          <w:sz w:val="24"/>
          <w:lang w:val="el-GR"/>
        </w:rPr>
        <w:tab/>
      </w:r>
      <w:r w:rsidRPr="006D2D1E">
        <w:rPr>
          <w:sz w:val="24"/>
          <w:lang w:val="el-GR"/>
        </w:rPr>
        <w:t>ΕΕ C, C/2023/112, 12.10.2023.</w:t>
      </w:r>
    </w:p>
  </w:footnote>
  <w:footnote w:id="8">
    <w:p w:rsidR="00192E7E" w:rsidRPr="006D2D1E" w:rsidRDefault="00192E7E" w:rsidP="006D2D1E">
      <w:pPr>
        <w:pStyle w:val="FootnoteText"/>
        <w:ind w:left="567" w:hanging="567"/>
        <w:rPr>
          <w:sz w:val="24"/>
          <w:lang w:val="el-GR"/>
        </w:rPr>
      </w:pPr>
      <w:r w:rsidRPr="006D2D1E">
        <w:rPr>
          <w:rStyle w:val="FootnoteReference"/>
          <w:sz w:val="24"/>
          <w:lang w:val="el-GR"/>
        </w:rPr>
        <w:footnoteRef/>
      </w:r>
      <w:r w:rsidR="006D2D1E" w:rsidRPr="006D2D1E">
        <w:rPr>
          <w:sz w:val="24"/>
          <w:lang w:val="el-GR"/>
        </w:rPr>
        <w:t xml:space="preserve"> </w:t>
      </w:r>
      <w:r w:rsidR="006D2D1E" w:rsidRPr="006D2D1E">
        <w:rPr>
          <w:sz w:val="24"/>
          <w:lang w:val="el-GR"/>
        </w:rPr>
        <w:tab/>
      </w:r>
      <w:r w:rsidRPr="006D2D1E">
        <w:rPr>
          <w:sz w:val="24"/>
          <w:lang w:val="el-GR"/>
        </w:rPr>
        <w:t>ΕΕ L 193 της 30.7.2018, σ. 1.</w:t>
      </w:r>
    </w:p>
  </w:footnote>
  <w:footnote w:id="9">
    <w:p w:rsidR="00192E7E" w:rsidRPr="006D2D1E" w:rsidRDefault="00192E7E" w:rsidP="006D2D1E">
      <w:pPr>
        <w:pStyle w:val="FootnoteText"/>
        <w:ind w:left="567" w:hanging="567"/>
        <w:rPr>
          <w:sz w:val="24"/>
          <w:lang w:val="el-GR"/>
        </w:rPr>
      </w:pPr>
      <w:r w:rsidRPr="006D2D1E">
        <w:rPr>
          <w:rStyle w:val="FootnoteReference"/>
          <w:sz w:val="24"/>
          <w:lang w:val="el-GR"/>
        </w:rPr>
        <w:footnoteRef/>
      </w:r>
      <w:r w:rsidR="006D2D1E" w:rsidRPr="006D2D1E">
        <w:rPr>
          <w:sz w:val="24"/>
          <w:lang w:val="el-GR"/>
        </w:rPr>
        <w:t xml:space="preserve"> </w:t>
      </w:r>
      <w:r w:rsidR="006D2D1E" w:rsidRPr="006D2D1E">
        <w:rPr>
          <w:sz w:val="24"/>
          <w:lang w:val="el-GR"/>
        </w:rPr>
        <w:tab/>
      </w:r>
      <w:r w:rsidRPr="006D2D1E">
        <w:rPr>
          <w:sz w:val="24"/>
          <w:lang w:val="el-GR"/>
        </w:rPr>
        <w:t>ΕΕ L 295 της 21.11.2018, σ. 99.</w:t>
      </w:r>
    </w:p>
  </w:footnote>
  <w:footnote w:id="10">
    <w:p w:rsidR="00192E7E" w:rsidRPr="006D2D1E" w:rsidRDefault="00192E7E" w:rsidP="006D2D1E">
      <w:pPr>
        <w:pStyle w:val="FootnoteText"/>
        <w:ind w:left="567" w:hanging="567"/>
        <w:rPr>
          <w:sz w:val="24"/>
          <w:szCs w:val="24"/>
          <w:lang w:val="el-GR"/>
        </w:rPr>
      </w:pPr>
      <w:r w:rsidRPr="006D2D1E">
        <w:rPr>
          <w:rStyle w:val="FootnoteReference"/>
          <w:sz w:val="24"/>
          <w:lang w:val="el-GR"/>
        </w:rPr>
        <w:footnoteRef/>
      </w:r>
      <w:r w:rsidR="006D2D1E" w:rsidRPr="006D2D1E">
        <w:rPr>
          <w:sz w:val="24"/>
          <w:lang w:val="el-GR"/>
        </w:rPr>
        <w:t xml:space="preserve"> </w:t>
      </w:r>
      <w:r w:rsidR="006D2D1E" w:rsidRPr="006D2D1E">
        <w:rPr>
          <w:sz w:val="24"/>
          <w:lang w:val="el-GR"/>
        </w:rPr>
        <w:tab/>
      </w:r>
      <w:r w:rsidRPr="006D2D1E">
        <w:rPr>
          <w:sz w:val="24"/>
          <w:lang w:val="el-GR"/>
        </w:rPr>
        <w:t>ΕΕ L 122 της 10.5.2019, σ. 1.</w:t>
      </w:r>
    </w:p>
  </w:footnote>
  <w:footnote w:id="11">
    <w:p w:rsidR="00192E7E" w:rsidRPr="006D2D1E" w:rsidRDefault="00192E7E" w:rsidP="006D2D1E">
      <w:pPr>
        <w:pStyle w:val="FootnoteText"/>
        <w:ind w:left="567" w:hanging="567"/>
        <w:rPr>
          <w:sz w:val="24"/>
          <w:lang w:val="el-GR"/>
        </w:rPr>
      </w:pPr>
      <w:r w:rsidRPr="006D2D1E">
        <w:rPr>
          <w:sz w:val="24"/>
          <w:vertAlign w:val="superscript"/>
          <w:lang w:val="el-GR"/>
        </w:rPr>
        <w:footnoteRef/>
      </w:r>
      <w:r w:rsidR="006D2D1E" w:rsidRPr="006D2D1E">
        <w:rPr>
          <w:sz w:val="24"/>
          <w:lang w:val="el-GR"/>
        </w:rPr>
        <w:t xml:space="preserve"> </w:t>
      </w:r>
      <w:r w:rsidR="006D2D1E" w:rsidRPr="006D2D1E">
        <w:rPr>
          <w:sz w:val="24"/>
          <w:lang w:val="el-GR"/>
        </w:rPr>
        <w:tab/>
      </w:r>
      <w:r w:rsidRPr="006D2D1E">
        <w:rPr>
          <w:sz w:val="24"/>
          <w:lang w:val="el-GR"/>
        </w:rPr>
        <w:t>ΕΕ C 38 της 31.1.2023, σ. 103.</w:t>
      </w:r>
    </w:p>
  </w:footnote>
  <w:footnote w:id="12">
    <w:p w:rsidR="00192E7E" w:rsidRPr="006D2D1E" w:rsidRDefault="00192E7E" w:rsidP="006D2D1E">
      <w:pPr>
        <w:pStyle w:val="FootnoteText"/>
        <w:ind w:left="567" w:hanging="567"/>
        <w:rPr>
          <w:sz w:val="24"/>
          <w:lang w:val="el-GR"/>
        </w:rPr>
      </w:pPr>
      <w:r w:rsidRPr="006D2D1E">
        <w:rPr>
          <w:rStyle w:val="FootnoteReference"/>
          <w:sz w:val="24"/>
          <w:lang w:val="el-GR"/>
        </w:rPr>
        <w:footnoteRef/>
      </w:r>
      <w:r w:rsidR="006D2D1E" w:rsidRPr="006D2D1E">
        <w:rPr>
          <w:sz w:val="24"/>
          <w:lang w:val="el-GR"/>
        </w:rPr>
        <w:t xml:space="preserve"> </w:t>
      </w:r>
      <w:r w:rsidR="006D2D1E" w:rsidRPr="006D2D1E">
        <w:rPr>
          <w:sz w:val="24"/>
          <w:lang w:val="el-GR"/>
        </w:rPr>
        <w:tab/>
      </w:r>
      <w:r w:rsidRPr="006D2D1E">
        <w:rPr>
          <w:sz w:val="24"/>
          <w:lang w:val="el-GR"/>
        </w:rPr>
        <w:t>Κείμενα που εγκρίθηκαν, P9_TA(2024)0</w:t>
      </w:r>
      <w:r w:rsidR="009433A6">
        <w:rPr>
          <w:sz w:val="24"/>
          <w:lang w:val="el-GR"/>
        </w:rPr>
        <w:t>280</w:t>
      </w:r>
      <w:r w:rsidRPr="006D2D1E">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2D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2D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2D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3B6659B"/>
    <w:multiLevelType w:val="hybridMultilevel"/>
    <w:tmpl w:val="CC58C780"/>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1A5D12"/>
    <w:multiLevelType w:val="hybridMultilevel"/>
    <w:tmpl w:val="77964082"/>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7E2678"/>
    <w:multiLevelType w:val="multilevel"/>
    <w:tmpl w:val="FEF479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72CB350B"/>
    <w:multiLevelType w:val="hybridMultilevel"/>
    <w:tmpl w:val="11ECD3AA"/>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2"/>
  </w:num>
  <w:num w:numId="5">
    <w:abstractNumId w:val="1"/>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EL"/>
    <w:docVar w:name="dvnumam" w:val="0"/>
    <w:docVar w:name="dvpe" w:val="753.534"/>
    <w:docVar w:name="dvrapporteur" w:val="Εισηγητής: "/>
    <w:docVar w:name="dvtitre" w:val="Απόφαση του Ευρωπαϊκού Κοινοβουλίου σχετικά με την απαλλαγή όσον αφορά την εκτέλεση του προϋπολογισμού του Οργανισμού της Ευρωπαϊκής Ένωσης για τη Λειτουργική Διαχείριση Συστημάτων ΤΠ Μεγάλης Κλίμακας στον Χώρο Ελευθερίας, Ασφάλειας και Δικαιοσύνης (eu-LISA) για το οικονομικό έτος 2022(2023/2165(DEC))"/>
  </w:docVars>
  <w:rsids>
    <w:rsidRoot w:val="00900AA2"/>
    <w:rsid w:val="00002272"/>
    <w:rsid w:val="00064002"/>
    <w:rsid w:val="000677B9"/>
    <w:rsid w:val="000831BA"/>
    <w:rsid w:val="000A42CC"/>
    <w:rsid w:val="000E7DD9"/>
    <w:rsid w:val="0010095E"/>
    <w:rsid w:val="00125B37"/>
    <w:rsid w:val="00187494"/>
    <w:rsid w:val="00192E7E"/>
    <w:rsid w:val="001C5B0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2D1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AA2"/>
    <w:rsid w:val="00930C23"/>
    <w:rsid w:val="0093193B"/>
    <w:rsid w:val="009433A6"/>
    <w:rsid w:val="009509D8"/>
    <w:rsid w:val="00950B64"/>
    <w:rsid w:val="00981893"/>
    <w:rsid w:val="009D2344"/>
    <w:rsid w:val="00A1687D"/>
    <w:rsid w:val="00A43E52"/>
    <w:rsid w:val="00A4678D"/>
    <w:rsid w:val="00A74A83"/>
    <w:rsid w:val="00A778C7"/>
    <w:rsid w:val="00AB441E"/>
    <w:rsid w:val="00AB6293"/>
    <w:rsid w:val="00AE0928"/>
    <w:rsid w:val="00AF3B82"/>
    <w:rsid w:val="00B12E95"/>
    <w:rsid w:val="00B22876"/>
    <w:rsid w:val="00B558F0"/>
    <w:rsid w:val="00BA3C7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1D068"/>
  <w15:chartTrackingRefBased/>
  <w15:docId w15:val="{33271040-03DE-4A75-AF25-4BDAA8AF3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92E7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92E7E"/>
    <w:pPr>
      <w:spacing w:before="480" w:after="240"/>
    </w:pPr>
  </w:style>
  <w:style w:type="paragraph" w:customStyle="1" w:styleId="PageHeading">
    <w:name w:val="PageHeading"/>
    <w:basedOn w:val="Normal"/>
    <w:rsid w:val="00192E7E"/>
    <w:pPr>
      <w:keepNext/>
      <w:spacing w:after="480"/>
      <w:jc w:val="center"/>
    </w:pPr>
    <w:rPr>
      <w:rFonts w:ascii="Arial" w:hAnsi="Arial" w:cs="Arial"/>
      <w:b/>
    </w:rPr>
  </w:style>
  <w:style w:type="paragraph" w:customStyle="1" w:styleId="NormalBold">
    <w:name w:val="NormalBold"/>
    <w:basedOn w:val="Normal"/>
    <w:rsid w:val="00192E7E"/>
    <w:rPr>
      <w:b/>
    </w:rPr>
  </w:style>
  <w:style w:type="paragraph" w:customStyle="1" w:styleId="NormalHanging12a">
    <w:name w:val="NormalHanging12a"/>
    <w:basedOn w:val="Normal"/>
    <w:link w:val="NormalHanging12aChar"/>
    <w:rsid w:val="00192E7E"/>
    <w:pPr>
      <w:spacing w:after="240"/>
      <w:ind w:left="567" w:hanging="567"/>
    </w:pPr>
  </w:style>
  <w:style w:type="paragraph" w:customStyle="1" w:styleId="NormalCenter12a">
    <w:name w:val="NormalCenter12a"/>
    <w:basedOn w:val="Normal"/>
    <w:rsid w:val="00192E7E"/>
    <w:pPr>
      <w:spacing w:after="240"/>
      <w:jc w:val="center"/>
    </w:pPr>
  </w:style>
  <w:style w:type="paragraph" w:styleId="Header">
    <w:name w:val="header"/>
    <w:basedOn w:val="Normal"/>
    <w:link w:val="HeaderChar"/>
    <w:rsid w:val="00192E7E"/>
    <w:pPr>
      <w:tabs>
        <w:tab w:val="center" w:pos="4513"/>
        <w:tab w:val="right" w:pos="9026"/>
      </w:tabs>
    </w:pPr>
  </w:style>
  <w:style w:type="character" w:customStyle="1" w:styleId="HeaderChar">
    <w:name w:val="Header Char"/>
    <w:basedOn w:val="DefaultParagraphFont"/>
    <w:link w:val="Header"/>
    <w:rsid w:val="00192E7E"/>
    <w:rPr>
      <w:sz w:val="24"/>
      <w:lang w:val="el-GR"/>
    </w:rPr>
  </w:style>
  <w:style w:type="paragraph" w:customStyle="1" w:styleId="EPFooter">
    <w:name w:val="EPFooter"/>
    <w:basedOn w:val="Normal"/>
    <w:rsid w:val="00192E7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92E7E"/>
    <w:rPr>
      <w:sz w:val="24"/>
      <w:lang w:val="el-GR"/>
    </w:rPr>
  </w:style>
  <w:style w:type="character" w:customStyle="1" w:styleId="Normal12HangingChar">
    <w:name w:val="Normal12Hanging Char"/>
    <w:link w:val="Normal12Hanging"/>
    <w:locked/>
    <w:rsid w:val="00192E7E"/>
    <w:rPr>
      <w:sz w:val="24"/>
    </w:rPr>
  </w:style>
  <w:style w:type="paragraph" w:customStyle="1" w:styleId="Normal12Hanging">
    <w:name w:val="Normal12Hanging"/>
    <w:basedOn w:val="Normal"/>
    <w:link w:val="Normal12HangingChar"/>
    <w:rsid w:val="00192E7E"/>
    <w:pPr>
      <w:spacing w:after="240"/>
      <w:ind w:left="567" w:hanging="567"/>
    </w:pPr>
    <w:rPr>
      <w:lang w:val="en-GB"/>
    </w:rPr>
  </w:style>
  <w:style w:type="paragraph" w:styleId="Footer">
    <w:name w:val="footer"/>
    <w:basedOn w:val="Normal"/>
    <w:link w:val="FooterChar"/>
    <w:rsid w:val="00A74A83"/>
    <w:pPr>
      <w:tabs>
        <w:tab w:val="center" w:pos="4513"/>
        <w:tab w:val="right" w:pos="9026"/>
      </w:tabs>
    </w:pPr>
  </w:style>
  <w:style w:type="character" w:customStyle="1" w:styleId="FooterChar">
    <w:name w:val="Footer Char"/>
    <w:basedOn w:val="DefaultParagraphFont"/>
    <w:link w:val="Footer"/>
    <w:rsid w:val="00A74A83"/>
    <w:rPr>
      <w:sz w:val="24"/>
      <w:lang w:val="el-GR"/>
    </w:rPr>
  </w:style>
  <w:style w:type="paragraph" w:styleId="ListParagraph">
    <w:name w:val="List Paragraph"/>
    <w:basedOn w:val="Normal"/>
    <w:uiPriority w:val="34"/>
    <w:qFormat/>
    <w:rsid w:val="00A74A83"/>
    <w:pPr>
      <w:ind w:left="720"/>
      <w:contextualSpacing/>
    </w:pPr>
  </w:style>
  <w:style w:type="paragraph" w:styleId="BalloonText">
    <w:name w:val="Balloon Text"/>
    <w:basedOn w:val="Normal"/>
    <w:link w:val="BalloonTextChar"/>
    <w:rsid w:val="00BA3C71"/>
    <w:rPr>
      <w:rFonts w:ascii="Segoe UI" w:hAnsi="Segoe UI" w:cs="Segoe UI"/>
      <w:sz w:val="18"/>
      <w:szCs w:val="18"/>
    </w:rPr>
  </w:style>
  <w:style w:type="character" w:customStyle="1" w:styleId="BalloonTextChar">
    <w:name w:val="Balloon Text Char"/>
    <w:basedOn w:val="DefaultParagraphFont"/>
    <w:link w:val="BalloonText"/>
    <w:rsid w:val="00BA3C7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BC7A0-F5FB-40CA-8B0C-83272D24C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6959</Words>
  <Characters>42182</Characters>
  <Application>Microsoft Office Word</Application>
  <DocSecurity>0</DocSecurity>
  <Lines>843</Lines>
  <Paragraphs>228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2024-04-11T12:29:00Z</dcterms:created>
  <dcterms:modified xsi:type="dcterms:W3CDTF">2024-04-11T12:29:00Z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A9-0105/2024</vt:lpwstr>
  </property>
  <property fmtid="{D5CDD505-2E9C-101B-9397-08002B2CF9AE}" pid="4" name="&lt;Type&gt;">
    <vt:lpwstr>RR</vt:lpwstr>
  </property>
</Properties>
</file>