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4247" w14:paraId="4D84DD82" w14:textId="77777777" w:rsidTr="0010095E">
        <w:trPr>
          <w:trHeight w:hRule="exact" w:val="1418"/>
        </w:trPr>
        <w:tc>
          <w:tcPr>
            <w:tcW w:w="6804" w:type="dxa"/>
            <w:shd w:val="clear" w:color="auto" w:fill="auto"/>
            <w:vAlign w:val="center"/>
          </w:tcPr>
          <w:p w14:paraId="5BF0B365" w14:textId="77777777" w:rsidR="00751A4A" w:rsidRPr="00264247" w:rsidRDefault="009038EE" w:rsidP="0010095E">
            <w:pPr>
              <w:pStyle w:val="EPName"/>
            </w:pPr>
            <w:r w:rsidRPr="00264247">
              <w:t>Parlamentul European</w:t>
            </w:r>
          </w:p>
          <w:p w14:paraId="3C1F14C4" w14:textId="77777777" w:rsidR="00751A4A" w:rsidRPr="00264247" w:rsidRDefault="00817416" w:rsidP="00756632">
            <w:pPr>
              <w:pStyle w:val="EPTerm"/>
              <w:rPr>
                <w:rStyle w:val="HideTWBExt"/>
                <w:noProof w:val="0"/>
                <w:vanish w:val="0"/>
                <w:color w:val="auto"/>
              </w:rPr>
            </w:pPr>
            <w:r w:rsidRPr="00264247">
              <w:t>2019-2024</w:t>
            </w:r>
          </w:p>
        </w:tc>
        <w:tc>
          <w:tcPr>
            <w:tcW w:w="2268" w:type="dxa"/>
            <w:shd w:val="clear" w:color="auto" w:fill="auto"/>
          </w:tcPr>
          <w:p w14:paraId="0F6C6C56" w14:textId="77777777" w:rsidR="00751A4A" w:rsidRPr="00264247" w:rsidRDefault="00187494" w:rsidP="0010095E">
            <w:pPr>
              <w:pStyle w:val="EPLogo"/>
            </w:pPr>
            <w:r w:rsidRPr="00264247">
              <w:rPr>
                <w:noProof/>
                <w:lang w:val="en-GB"/>
              </w:rPr>
              <w:drawing>
                <wp:inline distT="0" distB="0" distL="0" distR="0" wp14:anchorId="53FD1F5B" wp14:editId="30A8D6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329BE4" w14:textId="77777777" w:rsidR="00D058B8" w:rsidRPr="00264247" w:rsidRDefault="00D058B8" w:rsidP="004C5D52">
      <w:pPr>
        <w:pStyle w:val="LineTop"/>
      </w:pPr>
    </w:p>
    <w:p w14:paraId="1993679A" w14:textId="77777777" w:rsidR="00680577" w:rsidRPr="00264247" w:rsidRDefault="009038EE" w:rsidP="00680577">
      <w:pPr>
        <w:pStyle w:val="EPBodyTA1"/>
      </w:pPr>
      <w:r w:rsidRPr="00264247">
        <w:t>TEXTE ADOPTATE</w:t>
      </w:r>
    </w:p>
    <w:p w14:paraId="46FA3678" w14:textId="77777777" w:rsidR="00D058B8" w:rsidRPr="00264247" w:rsidRDefault="00D058B8" w:rsidP="00D058B8">
      <w:pPr>
        <w:pStyle w:val="LineBottom"/>
      </w:pPr>
    </w:p>
    <w:p w14:paraId="080863ED" w14:textId="72C6B89A" w:rsidR="009038EE" w:rsidRPr="00264247" w:rsidRDefault="009038EE" w:rsidP="009038EE">
      <w:pPr>
        <w:pStyle w:val="ATHeading1"/>
      </w:pPr>
      <w:bookmarkStart w:id="0" w:name="TANumber"/>
      <w:r w:rsidRPr="00264247">
        <w:t>P9_TA(2024)</w:t>
      </w:r>
      <w:bookmarkEnd w:id="0"/>
      <w:r w:rsidR="00264247" w:rsidRPr="00264247">
        <w:t>0</w:t>
      </w:r>
      <w:r w:rsidR="00264247" w:rsidRPr="00264247">
        <w:t>269</w:t>
      </w:r>
    </w:p>
    <w:p w14:paraId="44EE35C4" w14:textId="77777777" w:rsidR="009038EE" w:rsidRPr="00264247" w:rsidRDefault="009038EE" w:rsidP="009038EE">
      <w:pPr>
        <w:pStyle w:val="ATHeading2"/>
      </w:pPr>
      <w:bookmarkStart w:id="1" w:name="title"/>
      <w:r w:rsidRPr="00264247">
        <w:t>Descărcarea de gestiune 2022: Agenția Uniunii Europene pentru Gestionarea Operațională a Sistemelor Informatice la Scară Largă în Spațiul de Libertate, Securitate și Justiție (eu-LISA)</w:t>
      </w:r>
      <w:bookmarkEnd w:id="1"/>
    </w:p>
    <w:p w14:paraId="019182AA" w14:textId="77777777" w:rsidR="009038EE" w:rsidRPr="00264247" w:rsidRDefault="009038EE" w:rsidP="009038EE">
      <w:pPr>
        <w:rPr>
          <w:i/>
          <w:vanish/>
        </w:rPr>
      </w:pPr>
      <w:r w:rsidRPr="00264247">
        <w:rPr>
          <w:i/>
        </w:rPr>
        <w:fldChar w:fldCharType="begin"/>
      </w:r>
      <w:r w:rsidRPr="00264247">
        <w:rPr>
          <w:i/>
        </w:rPr>
        <w:instrText xml:space="preserve"> TC"(</w:instrText>
      </w:r>
      <w:bookmarkStart w:id="2" w:name="DocNumber"/>
      <w:r w:rsidRPr="00264247">
        <w:rPr>
          <w:i/>
        </w:rPr>
        <w:instrText>A9-0105/2024</w:instrText>
      </w:r>
      <w:bookmarkEnd w:id="2"/>
      <w:r w:rsidRPr="00264247">
        <w:rPr>
          <w:i/>
        </w:rPr>
        <w:instrText xml:space="preserve"> - Raportor: Petri Sarvamaa)"\l3 \n&gt; \* MERGEFORMAT </w:instrText>
      </w:r>
      <w:r w:rsidRPr="00264247">
        <w:rPr>
          <w:i/>
        </w:rPr>
        <w:fldChar w:fldCharType="end"/>
      </w:r>
    </w:p>
    <w:p w14:paraId="464E5ACC" w14:textId="77777777" w:rsidR="009038EE" w:rsidRPr="00264247" w:rsidRDefault="009038EE" w:rsidP="009038EE">
      <w:pPr>
        <w:rPr>
          <w:vanish/>
        </w:rPr>
      </w:pPr>
      <w:bookmarkStart w:id="3" w:name="Commission"/>
      <w:r w:rsidRPr="00264247">
        <w:rPr>
          <w:vanish/>
        </w:rPr>
        <w:t>Comisia pentru control bugetar</w:t>
      </w:r>
      <w:bookmarkEnd w:id="3"/>
    </w:p>
    <w:p w14:paraId="46FE0FF0" w14:textId="77777777" w:rsidR="009038EE" w:rsidRPr="00264247" w:rsidRDefault="009038EE" w:rsidP="009038EE">
      <w:pPr>
        <w:rPr>
          <w:vanish/>
        </w:rPr>
      </w:pPr>
      <w:bookmarkStart w:id="4" w:name="PE"/>
      <w:r w:rsidRPr="00264247">
        <w:rPr>
          <w:vanish/>
        </w:rPr>
        <w:t>PE753.534</w:t>
      </w:r>
      <w:bookmarkEnd w:id="4"/>
    </w:p>
    <w:p w14:paraId="1BB6489A" w14:textId="77777777" w:rsidR="009038EE" w:rsidRPr="00264247" w:rsidRDefault="009038EE" w:rsidP="00C91928">
      <w:pPr>
        <w:pStyle w:val="ATHeading3"/>
      </w:pPr>
      <w:bookmarkStart w:id="5" w:name="Sujet"/>
      <w:r w:rsidRPr="00264247">
        <w:t>1. Decizia Parlamentului E</w:t>
      </w:r>
      <w:bookmarkStart w:id="6" w:name="_GoBack"/>
      <w:bookmarkEnd w:id="6"/>
      <w:r w:rsidRPr="00264247">
        <w:t>uropean din 11 aprilie 2024 privind descărcarea de gestiune pentru execuția bugetului Agenției Uniunii Europene pentru Gestionarea Operațională a Sistemelor Informatice la Scară Largă în Spațiul de Libertate, Securitate și Justiție (eu-LISA) aferent exercițiului financiar 2022</w:t>
      </w:r>
      <w:bookmarkEnd w:id="5"/>
      <w:r w:rsidRPr="00264247">
        <w:t xml:space="preserve"> </w:t>
      </w:r>
      <w:bookmarkStart w:id="7" w:name="References"/>
      <w:r w:rsidRPr="00264247">
        <w:t>(2023/2165(DEC))</w:t>
      </w:r>
      <w:bookmarkEnd w:id="7"/>
    </w:p>
    <w:p w14:paraId="3B0BEA54" w14:textId="77777777" w:rsidR="005E4B62" w:rsidRPr="00264247" w:rsidRDefault="005E4B62" w:rsidP="005E4B62">
      <w:pPr>
        <w:pStyle w:val="EPComma"/>
      </w:pPr>
      <w:bookmarkStart w:id="8" w:name="TextBodyBegin"/>
      <w:bookmarkEnd w:id="8"/>
      <w:r w:rsidRPr="00264247">
        <w:rPr>
          <w:i/>
        </w:rPr>
        <w:t>Parlamentul European</w:t>
      </w:r>
      <w:r w:rsidRPr="00264247">
        <w:t>,</w:t>
      </w:r>
    </w:p>
    <w:p w14:paraId="53295CB3" w14:textId="77777777" w:rsidR="005E4B62" w:rsidRPr="00264247" w:rsidRDefault="005E4B62" w:rsidP="005E4B62">
      <w:pPr>
        <w:pStyle w:val="NormalHanging12a"/>
      </w:pPr>
      <w:r w:rsidRPr="00264247">
        <w:t>–</w:t>
      </w:r>
      <w:r w:rsidRPr="00264247">
        <w:tab/>
        <w:t>având în vedere conturile anuale finale ale Agenției Uniunii Europene pentru Gestionarea Operațională a Sistemelor Informatice la Scară Largă în Spațiul de Libertate, Securitate și Justiție (eu-LISA) pentru exercițiul financiar 2022,</w:t>
      </w:r>
    </w:p>
    <w:p w14:paraId="74D6241A" w14:textId="77777777" w:rsidR="005E4B62" w:rsidRPr="00264247" w:rsidRDefault="005E4B62" w:rsidP="005E4B62">
      <w:pPr>
        <w:pStyle w:val="NormalHanging12a"/>
      </w:pPr>
      <w:r w:rsidRPr="00264247">
        <w:t>–</w:t>
      </w:r>
      <w:r w:rsidRPr="00264247">
        <w:tab/>
        <w:t>având în vedere Raportul anual al Curții de Conturi privind agențiile UE pentru exercițiul financiar 2022, însoțit de răspunsurile agențiilor</w:t>
      </w:r>
      <w:r w:rsidRPr="00264247">
        <w:rPr>
          <w:rStyle w:val="FootnoteReference"/>
        </w:rPr>
        <w:footnoteReference w:id="1"/>
      </w:r>
      <w:r w:rsidRPr="00264247">
        <w:t>,</w:t>
      </w:r>
    </w:p>
    <w:p w14:paraId="5633FAEC" w14:textId="77777777" w:rsidR="005E4B62" w:rsidRPr="00264247" w:rsidRDefault="005E4B62" w:rsidP="005E4B62">
      <w:pPr>
        <w:pStyle w:val="NormalHanging12a"/>
      </w:pPr>
      <w:r w:rsidRPr="00264247">
        <w:t>–</w:t>
      </w:r>
      <w:r w:rsidRPr="00264247">
        <w:tab/>
        <w:t>având în vedere declarația de asigurare</w:t>
      </w:r>
      <w:r w:rsidRPr="00264247">
        <w:rPr>
          <w:rStyle w:val="FootnoteReference"/>
        </w:rPr>
        <w:footnoteReference w:id="2"/>
      </w:r>
      <w:r w:rsidRPr="00264247">
        <w:t xml:space="preserve"> privind fiabilitatea conturilor și legalitatea și regularitatea operațiunilor subiacente întocmită de Curtea de Conturi pentru exercițiul 2022 în temeiul articolului 287 din Tratatul privind funcționarea Uniunii Europene,</w:t>
      </w:r>
    </w:p>
    <w:p w14:paraId="232E04C8" w14:textId="6FFC7DD2" w:rsidR="005E4B62" w:rsidRPr="00264247" w:rsidRDefault="005E4B62" w:rsidP="005E4B62">
      <w:pPr>
        <w:pStyle w:val="NormalHanging12a"/>
      </w:pPr>
      <w:r w:rsidRPr="00264247">
        <w:t>–</w:t>
      </w:r>
      <w:r w:rsidRPr="00264247">
        <w:tab/>
        <w:t>având în vedere Recomandarea Consiliului din 22 februarie 2024 privind descărcarea de gestiune a Agenției în ceea ce privește execuția bugetară pentru exercițiul financiar 2022 (</w:t>
      </w:r>
      <w:r w:rsidR="006D1A19" w:rsidRPr="00264247">
        <w:t>06180/2024 – C9</w:t>
      </w:r>
      <w:r w:rsidR="006D1A19" w:rsidRPr="00264247">
        <w:noBreakHyphen/>
        <w:t>0103/2024</w:t>
      </w:r>
      <w:r w:rsidRPr="00264247">
        <w:t>),</w:t>
      </w:r>
    </w:p>
    <w:p w14:paraId="377A265A" w14:textId="77777777" w:rsidR="005E4B62" w:rsidRPr="00264247" w:rsidRDefault="005E4B62" w:rsidP="005E4B62">
      <w:pPr>
        <w:pStyle w:val="NormalHanging12a"/>
      </w:pPr>
      <w:r w:rsidRPr="00264247">
        <w:t>–</w:t>
      </w:r>
      <w:r w:rsidRPr="00264247">
        <w:tab/>
        <w:t>având în vedere articolul 319 din Tratatul privind funcționarea Uniunii Europene,</w:t>
      </w:r>
    </w:p>
    <w:p w14:paraId="641E1F4A" w14:textId="77777777" w:rsidR="005E4B62" w:rsidRPr="00264247" w:rsidRDefault="005E4B62" w:rsidP="005E4B62">
      <w:pPr>
        <w:pStyle w:val="NormalHanging12a"/>
      </w:pPr>
      <w:r w:rsidRPr="00264247">
        <w:t>–</w:t>
      </w:r>
      <w:r w:rsidRPr="00264247">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264247">
        <w:lastRenderedPageBreak/>
        <w:t>Regulamentului (UE, Euratom) nr. 966/2012</w:t>
      </w:r>
      <w:r w:rsidRPr="00264247">
        <w:rPr>
          <w:rStyle w:val="FootnoteReference"/>
        </w:rPr>
        <w:footnoteReference w:id="3"/>
      </w:r>
      <w:r w:rsidRPr="00264247">
        <w:t>, în special articolul 70,</w:t>
      </w:r>
    </w:p>
    <w:p w14:paraId="72A3367E" w14:textId="77777777" w:rsidR="005E4B62" w:rsidRPr="00264247" w:rsidRDefault="005E4B62" w:rsidP="005E4B62">
      <w:pPr>
        <w:pStyle w:val="NormalHanging12a"/>
      </w:pPr>
      <w:r w:rsidRPr="00264247">
        <w:t>–</w:t>
      </w:r>
      <w:r w:rsidRPr="00264247">
        <w:tab/>
        <w:t>având în vedere Regulamentul (UE) 2018/1726 al Parlamentului European și al Consiliului din 14 noiembrie 2018 privind Agenția Uniunii Europene pentru Gestionarea Operațională a Sistemelor Informatice la Scară Largă în Spațiul de Libertate, Securitate și Justiție (eu-LISA) și de modificare a Regulamentului (CE) nr. 1987/2006 și a Deciziei 2007/533/JAI a Consiliului, precum și de abrogare a Regulamentului (UE) nr. 1077/2011</w:t>
      </w:r>
      <w:r w:rsidRPr="00264247">
        <w:rPr>
          <w:rStyle w:val="FootnoteReference"/>
        </w:rPr>
        <w:footnoteReference w:id="4"/>
      </w:r>
      <w:r w:rsidRPr="00264247">
        <w:t>, în special articolul 47,</w:t>
      </w:r>
    </w:p>
    <w:p w14:paraId="7A6E6D17" w14:textId="77777777" w:rsidR="005E4B62" w:rsidRPr="00264247" w:rsidRDefault="005E4B62" w:rsidP="005E4B62">
      <w:pPr>
        <w:pStyle w:val="NormalHanging12a"/>
      </w:pPr>
      <w:r w:rsidRPr="00264247">
        <w:t>–</w:t>
      </w:r>
      <w:r w:rsidRPr="00264247">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264247">
        <w:rPr>
          <w:rStyle w:val="FootnoteReference"/>
        </w:rPr>
        <w:footnoteReference w:id="5"/>
      </w:r>
      <w:r w:rsidRPr="00264247">
        <w:t>, în special articolul 105,</w:t>
      </w:r>
    </w:p>
    <w:p w14:paraId="795C0C27" w14:textId="77777777" w:rsidR="005E4B62" w:rsidRPr="00264247" w:rsidRDefault="005E4B62" w:rsidP="005E4B62">
      <w:pPr>
        <w:pStyle w:val="NormalHanging12a"/>
      </w:pPr>
      <w:r w:rsidRPr="00264247">
        <w:t>–</w:t>
      </w:r>
      <w:r w:rsidRPr="00264247">
        <w:tab/>
        <w:t>având în vedere articolul 100 și anexa V la Regulamentul său de procedură,</w:t>
      </w:r>
    </w:p>
    <w:p w14:paraId="5B4B3DA9" w14:textId="77777777" w:rsidR="005E4B62" w:rsidRPr="00264247" w:rsidRDefault="005E4B62" w:rsidP="005E4B62">
      <w:pPr>
        <w:pStyle w:val="NormalHanging12a"/>
      </w:pPr>
      <w:r w:rsidRPr="00264247">
        <w:t>–</w:t>
      </w:r>
      <w:r w:rsidRPr="00264247">
        <w:tab/>
        <w:t>având în vedere avizul Comisiei pentru libertăți civile, justiție și afaceri interne,</w:t>
      </w:r>
    </w:p>
    <w:p w14:paraId="70896238" w14:textId="77777777" w:rsidR="005E4B62" w:rsidRPr="00264247" w:rsidRDefault="005E4B62" w:rsidP="005E4B62">
      <w:pPr>
        <w:pStyle w:val="NormalHanging12a"/>
      </w:pPr>
      <w:r w:rsidRPr="00264247">
        <w:t>–</w:t>
      </w:r>
      <w:r w:rsidRPr="00264247">
        <w:tab/>
        <w:t>având în vedere raportul Comisiei pentru control bugetar (A9-0105/2024),</w:t>
      </w:r>
    </w:p>
    <w:p w14:paraId="6189F8C6" w14:textId="77777777" w:rsidR="005E4B62" w:rsidRPr="00264247" w:rsidRDefault="005E4B62" w:rsidP="005E4B62">
      <w:pPr>
        <w:pStyle w:val="NormalHanging12a"/>
      </w:pPr>
      <w:r w:rsidRPr="00264247">
        <w:t>1.</w:t>
      </w:r>
      <w:r w:rsidRPr="00264247">
        <w:tab/>
        <w:t>acordă directoarei executive a Agenției Uniunii Europene pentru Gestionarea Operațională a Sistemelor Informatice la Scară Largă în Spațiul de Libertate, Securitate și Justiție (eu-LISA) descărcarea de gestiune pentru execuția bugetului Agenției aferent exercițiului financiar 2022;</w:t>
      </w:r>
    </w:p>
    <w:p w14:paraId="0519BCA5" w14:textId="77777777" w:rsidR="005E4B62" w:rsidRPr="00264247" w:rsidRDefault="005E4B62" w:rsidP="005E4B62">
      <w:pPr>
        <w:pStyle w:val="NormalHanging12a"/>
      </w:pPr>
      <w:r w:rsidRPr="00264247">
        <w:t>2.</w:t>
      </w:r>
      <w:r w:rsidRPr="00264247">
        <w:tab/>
        <w:t>își prezintă observațiile în cadrul rezoluției de mai jos;</w:t>
      </w:r>
    </w:p>
    <w:p w14:paraId="4766AAF5" w14:textId="77777777" w:rsidR="005E4B62" w:rsidRPr="00264247" w:rsidRDefault="005E4B62" w:rsidP="005E4B62">
      <w:pPr>
        <w:pStyle w:val="NormalHanging12a"/>
      </w:pPr>
      <w:r w:rsidRPr="00264247">
        <w:t>3.</w:t>
      </w:r>
      <w:r w:rsidRPr="00264247">
        <w:tab/>
        <w:t xml:space="preserve">încredințează Președintei sarcina de a transmite prezenta decizie împreună cu rezoluția Parlamentului, ca parte integrantă a acesteia, directoarei executive a Agenției Uniunii Europene pentru Gestionarea Operațională a Sistemelor Informatice la Scară Largă în Spațiul de Libertate, Securitate și Justiție (eu-LISA), Consiliului, Comisiei și Curții de Conturi și de a asigura publicarea acestora în </w:t>
      </w:r>
      <w:r w:rsidRPr="00264247">
        <w:rPr>
          <w:i/>
        </w:rPr>
        <w:t>Jurnalul Oficial al Uniunii Europene</w:t>
      </w:r>
      <w:r w:rsidRPr="00264247">
        <w:t xml:space="preserve"> (seria L).</w:t>
      </w:r>
    </w:p>
    <w:p w14:paraId="48B94881" w14:textId="77777777" w:rsidR="005E4B62" w:rsidRPr="00264247" w:rsidRDefault="005E4B62" w:rsidP="005E4B62"/>
    <w:p w14:paraId="071F4BFE" w14:textId="77777777" w:rsidR="005E4B62" w:rsidRPr="00264247" w:rsidRDefault="005E4B62" w:rsidP="005E4B62">
      <w:pPr>
        <w:widowControl/>
        <w:rPr>
          <w:rFonts w:ascii="Arial" w:hAnsi="Arial" w:cs="Arial"/>
          <w:b/>
        </w:rPr>
        <w:sectPr w:rsidR="005E4B62" w:rsidRPr="00264247" w:rsidSect="002F370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56B2FB8E" w14:textId="77777777" w:rsidR="005E4B62" w:rsidRPr="00264247" w:rsidRDefault="00324CF0" w:rsidP="00C91928">
      <w:pPr>
        <w:pStyle w:val="ATHeading3"/>
      </w:pPr>
      <w:r w:rsidRPr="00264247">
        <w:lastRenderedPageBreak/>
        <w:t xml:space="preserve">2. Decizia Parlamentului European din 11 aprilie 2024 </w:t>
      </w:r>
      <w:r w:rsidR="005E4B62" w:rsidRPr="00264247">
        <w:t>privind închiderea conturilor Agenției Uniunii Europene pentru Gestionarea Operațională a Sistemelor Informatice la Scară Largă în Spațiul de Libertate, Securitate și Justiție (eu-LISA) pentru exercițiul financiar 2022</w:t>
      </w:r>
      <w:r w:rsidR="00C91928" w:rsidRPr="00264247">
        <w:t xml:space="preserve"> </w:t>
      </w:r>
      <w:r w:rsidR="005E4B62" w:rsidRPr="00264247">
        <w:t>(2023/2165(DEC))</w:t>
      </w:r>
    </w:p>
    <w:p w14:paraId="2B695DD7" w14:textId="77777777" w:rsidR="005E4B62" w:rsidRPr="00264247" w:rsidRDefault="005E4B62" w:rsidP="005E4B62">
      <w:pPr>
        <w:pStyle w:val="EPComma"/>
      </w:pPr>
      <w:r w:rsidRPr="00264247">
        <w:rPr>
          <w:i/>
        </w:rPr>
        <w:t>Parlamentul European</w:t>
      </w:r>
      <w:r w:rsidRPr="00264247">
        <w:t>,</w:t>
      </w:r>
    </w:p>
    <w:p w14:paraId="0441C020" w14:textId="77777777" w:rsidR="005E4B62" w:rsidRPr="00264247" w:rsidRDefault="005E4B62" w:rsidP="005E4B62">
      <w:pPr>
        <w:pStyle w:val="NormalHanging12a"/>
      </w:pPr>
      <w:r w:rsidRPr="00264247">
        <w:t>–</w:t>
      </w:r>
      <w:r w:rsidRPr="00264247">
        <w:tab/>
        <w:t>având în vedere conturile anuale finale ale Agenției Uniunii Europene pentru Gestionarea Operațională a Sistemelor Informatice la Scară Largă în Spațiul de Libertate, Securitate și Justiție (eu-LISA) pentru exercițiul financiar 2022,</w:t>
      </w:r>
    </w:p>
    <w:p w14:paraId="697435E2" w14:textId="77777777" w:rsidR="005E4B62" w:rsidRPr="00264247" w:rsidRDefault="005E4B62" w:rsidP="005E4B62">
      <w:pPr>
        <w:pStyle w:val="NormalHanging12a"/>
      </w:pPr>
      <w:r w:rsidRPr="00264247">
        <w:t>–</w:t>
      </w:r>
      <w:r w:rsidRPr="00264247">
        <w:tab/>
        <w:t>având în vedere Raportul anual al Curții de Conturi privind agențiile UE pentru exercițiul financiar 2022, însoțit de răspunsurile agențiilor</w:t>
      </w:r>
      <w:r w:rsidRPr="00264247">
        <w:rPr>
          <w:rStyle w:val="FootnoteReference"/>
        </w:rPr>
        <w:footnoteReference w:id="6"/>
      </w:r>
      <w:r w:rsidRPr="00264247">
        <w:t>,</w:t>
      </w:r>
    </w:p>
    <w:p w14:paraId="2A440A07" w14:textId="77777777" w:rsidR="005E4B62" w:rsidRPr="00264247" w:rsidRDefault="005E4B62" w:rsidP="005E4B62">
      <w:pPr>
        <w:pStyle w:val="NormalHanging12a"/>
      </w:pPr>
      <w:r w:rsidRPr="00264247">
        <w:t>–</w:t>
      </w:r>
      <w:r w:rsidRPr="00264247">
        <w:tab/>
        <w:t>având în vedere declarația de asigurare</w:t>
      </w:r>
      <w:r w:rsidRPr="00264247">
        <w:rPr>
          <w:rStyle w:val="FootnoteReference"/>
        </w:rPr>
        <w:footnoteReference w:id="7"/>
      </w:r>
      <w:r w:rsidRPr="00264247">
        <w:t xml:space="preserve"> privind fiabilitatea conturilor și legalitatea și regularitatea operațiunilor subiacente întocmită de Curtea de Conturi pentru exercițiul 2022 în temeiul articolului 287 din Tratatul privind funcționarea Uniunii Europene,</w:t>
      </w:r>
    </w:p>
    <w:p w14:paraId="0F4169BD" w14:textId="287CA01D" w:rsidR="005E4B62" w:rsidRPr="00264247" w:rsidRDefault="005E4B62" w:rsidP="005E4B62">
      <w:pPr>
        <w:pStyle w:val="NormalHanging12a"/>
      </w:pPr>
      <w:r w:rsidRPr="00264247">
        <w:t>–</w:t>
      </w:r>
      <w:r w:rsidRPr="00264247">
        <w:tab/>
        <w:t>având în vedere Recomandarea Consiliului din 22 februarie 2024 privind descărcarea de gestiune a Agenției în ceea ce privește execuția bugetară pentru exercițiul financiar 2022 (</w:t>
      </w:r>
      <w:r w:rsidR="006D1A19" w:rsidRPr="00264247">
        <w:t>06180/2024 – C9</w:t>
      </w:r>
      <w:r w:rsidR="006D1A19" w:rsidRPr="00264247">
        <w:noBreakHyphen/>
        <w:t>0103/2024</w:t>
      </w:r>
      <w:r w:rsidRPr="00264247">
        <w:t>),</w:t>
      </w:r>
    </w:p>
    <w:p w14:paraId="5B823E2B" w14:textId="77777777" w:rsidR="005E4B62" w:rsidRPr="00264247" w:rsidRDefault="005E4B62" w:rsidP="005E4B62">
      <w:pPr>
        <w:pStyle w:val="NormalHanging12a"/>
      </w:pPr>
      <w:r w:rsidRPr="00264247">
        <w:t>–</w:t>
      </w:r>
      <w:r w:rsidRPr="00264247">
        <w:tab/>
        <w:t>având în vedere articolul 319 din Tratatul privind funcționarea Uniunii Europene,</w:t>
      </w:r>
    </w:p>
    <w:p w14:paraId="2E97CE8A" w14:textId="77777777" w:rsidR="005E4B62" w:rsidRPr="00264247" w:rsidRDefault="005E4B62" w:rsidP="005E4B62">
      <w:pPr>
        <w:pStyle w:val="NormalHanging12a"/>
      </w:pPr>
      <w:r w:rsidRPr="00264247">
        <w:t>–</w:t>
      </w:r>
      <w:r w:rsidRPr="00264247">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264247">
        <w:rPr>
          <w:rStyle w:val="FootnoteReference"/>
        </w:rPr>
        <w:footnoteReference w:id="8"/>
      </w:r>
      <w:r w:rsidRPr="00264247">
        <w:t>, în special articolul 70,</w:t>
      </w:r>
    </w:p>
    <w:p w14:paraId="10DB5296" w14:textId="77777777" w:rsidR="005E4B62" w:rsidRPr="00264247" w:rsidRDefault="005E4B62" w:rsidP="005E4B62">
      <w:pPr>
        <w:pStyle w:val="NormalHanging12a"/>
      </w:pPr>
      <w:r w:rsidRPr="00264247">
        <w:t>–</w:t>
      </w:r>
      <w:r w:rsidRPr="00264247">
        <w:tab/>
        <w:t>având în vedere Regulamentul (UE) 2018/1726 al Parlamentului European și al Consiliului din 14 noiembrie 2018 privind Agenția Uniunii Europene pentru Gestionarea Operațională a Sistemelor Informatice la Scară Largă în Spațiul de Libertate, Securitate și Justiție (eu-LISA) și de modificare a Regulamentului (CE) nr. 1987/2006 și a Deciziei 2007/533/JAI a Consiliului, precum și de abrogare a Regulamentului (UE) nr. 1077/2011</w:t>
      </w:r>
      <w:r w:rsidRPr="00264247">
        <w:rPr>
          <w:rStyle w:val="FootnoteReference"/>
        </w:rPr>
        <w:footnoteReference w:id="9"/>
      </w:r>
      <w:r w:rsidRPr="00264247">
        <w:t>, în special articolul 47,</w:t>
      </w:r>
    </w:p>
    <w:p w14:paraId="48FBFEC9" w14:textId="77777777" w:rsidR="005E4B62" w:rsidRPr="00264247" w:rsidRDefault="005E4B62" w:rsidP="005E4B62">
      <w:pPr>
        <w:pStyle w:val="NormalHanging12a"/>
      </w:pPr>
      <w:r w:rsidRPr="00264247">
        <w:t>–</w:t>
      </w:r>
      <w:r w:rsidRPr="00264247">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264247">
        <w:rPr>
          <w:rStyle w:val="FootnoteReference"/>
        </w:rPr>
        <w:footnoteReference w:id="10"/>
      </w:r>
      <w:r w:rsidRPr="00264247">
        <w:t>, în special articolul 105,</w:t>
      </w:r>
    </w:p>
    <w:p w14:paraId="066A4B00" w14:textId="77777777" w:rsidR="005E4B62" w:rsidRPr="00264247" w:rsidRDefault="005E4B62" w:rsidP="005E4B62">
      <w:pPr>
        <w:pStyle w:val="NormalHanging12a"/>
      </w:pPr>
      <w:r w:rsidRPr="00264247">
        <w:t>–</w:t>
      </w:r>
      <w:r w:rsidRPr="00264247">
        <w:tab/>
        <w:t>având în vedere articolul 100 și anexa V la Regulamentul său de procedură,</w:t>
      </w:r>
    </w:p>
    <w:p w14:paraId="36CBFAA5" w14:textId="77777777" w:rsidR="005E4B62" w:rsidRPr="00264247" w:rsidRDefault="005E4B62" w:rsidP="005E4B62">
      <w:pPr>
        <w:pStyle w:val="NormalHanging12a"/>
      </w:pPr>
      <w:r w:rsidRPr="00264247">
        <w:lastRenderedPageBreak/>
        <w:t>–</w:t>
      </w:r>
      <w:r w:rsidRPr="00264247">
        <w:tab/>
        <w:t>având în vedere avizul Comisiei pentru libertăți civile, justiție și afaceri interne,</w:t>
      </w:r>
    </w:p>
    <w:p w14:paraId="4A5B55E5" w14:textId="77777777" w:rsidR="005E4B62" w:rsidRPr="00264247" w:rsidRDefault="005E4B62" w:rsidP="005E4B62">
      <w:pPr>
        <w:pStyle w:val="NormalHanging12a"/>
      </w:pPr>
      <w:r w:rsidRPr="00264247">
        <w:t>–</w:t>
      </w:r>
      <w:r w:rsidRPr="00264247">
        <w:tab/>
        <w:t>având în vedere raportul Comisiei pentru control bugetar (A9-0105/2024),</w:t>
      </w:r>
    </w:p>
    <w:p w14:paraId="2CFB16BF" w14:textId="501746E9" w:rsidR="005E4B62" w:rsidRPr="00264247" w:rsidRDefault="005E4B62" w:rsidP="005E4B62">
      <w:pPr>
        <w:pStyle w:val="NormalHanging12a"/>
      </w:pPr>
      <w:r w:rsidRPr="00264247">
        <w:t>1.</w:t>
      </w:r>
      <w:r w:rsidRPr="00264247">
        <w:tab/>
      </w:r>
      <w:r w:rsidR="00126EFF" w:rsidRPr="00264247">
        <w:t xml:space="preserve">aprobă </w:t>
      </w:r>
      <w:r w:rsidRPr="00264247">
        <w:t>închiderea conturilor Agenției Uniunii Europene pentru Gestionarea Operațională a Sistemelor Informatice la Scară Largă în Spațiul de Libertate, Securitate și Justiție (eu-LISA) pentru exercițiul financiar 2022;</w:t>
      </w:r>
    </w:p>
    <w:p w14:paraId="37A46E16" w14:textId="77777777" w:rsidR="005E4B62" w:rsidRPr="00264247" w:rsidRDefault="005E4B62" w:rsidP="005E4B62">
      <w:pPr>
        <w:pStyle w:val="NormalHanging12a"/>
      </w:pPr>
      <w:r w:rsidRPr="00264247">
        <w:t>2.</w:t>
      </w:r>
      <w:r w:rsidRPr="00264247">
        <w:tab/>
        <w:t xml:space="preserve">încredințează Președintei sarcina de a transmite prezenta decizie directoarei executive a Agenției Uniunii Europene pentru Gestionarea Operațională a Sistemelor Informatice la Scară Largă în Spațiul de Libertate, Securitate și Justiție (eu-LISA), Consiliului, Comisiei și Curții de Conturi și de a asigura publicarea acesteia în </w:t>
      </w:r>
      <w:r w:rsidRPr="00264247">
        <w:rPr>
          <w:i/>
        </w:rPr>
        <w:t>Jurnalul Oficial al Uniunii Europene</w:t>
      </w:r>
      <w:r w:rsidRPr="00264247">
        <w:t xml:space="preserve"> (seria L).</w:t>
      </w:r>
    </w:p>
    <w:p w14:paraId="3A200D85" w14:textId="77777777" w:rsidR="005E4B62" w:rsidRPr="00264247" w:rsidRDefault="005E4B62" w:rsidP="005E4B62"/>
    <w:p w14:paraId="7AB384C0" w14:textId="77777777" w:rsidR="005E4B62" w:rsidRPr="00264247" w:rsidRDefault="005E4B62" w:rsidP="005E4B62">
      <w:pPr>
        <w:widowControl/>
        <w:rPr>
          <w:rFonts w:ascii="Arial" w:hAnsi="Arial" w:cs="Arial"/>
          <w:b/>
        </w:rPr>
        <w:sectPr w:rsidR="005E4B62" w:rsidRPr="00264247" w:rsidSect="002F3700">
          <w:footnotePr>
            <w:numRestart w:val="eachPage"/>
          </w:footnotePr>
          <w:endnotePr>
            <w:numFmt w:val="decimal"/>
          </w:endnotePr>
          <w:pgSz w:w="11906" w:h="16838"/>
          <w:pgMar w:top="1134" w:right="1418" w:bottom="1418" w:left="1418" w:header="567" w:footer="567" w:gutter="0"/>
          <w:cols w:space="720"/>
          <w:docGrid w:linePitch="326"/>
        </w:sectPr>
      </w:pPr>
    </w:p>
    <w:p w14:paraId="53F8A6FF" w14:textId="77777777" w:rsidR="005E4B62" w:rsidRPr="00264247" w:rsidRDefault="00324CF0" w:rsidP="00C91928">
      <w:pPr>
        <w:pStyle w:val="ATHeading3"/>
      </w:pPr>
      <w:r w:rsidRPr="00264247">
        <w:lastRenderedPageBreak/>
        <w:t xml:space="preserve">3. Rezoluția Parlamentului European din 11 aprilie 2024 </w:t>
      </w:r>
      <w:r w:rsidR="005E4B62" w:rsidRPr="00264247">
        <w:t>conținând observațiile care fac parte integrantă din decizia privind descărcarea de gestiune pentru execuția bugetului Agenției Uniunii Europene pentru Gestionarea Operațională a Sistemelor Informatice la Scară Largă în Spațiul de Libertate, Securitate și Justiție (eu-LISA) aferent exercițiului financiar 2022</w:t>
      </w:r>
      <w:r w:rsidR="00C91928" w:rsidRPr="00264247">
        <w:t xml:space="preserve"> </w:t>
      </w:r>
      <w:r w:rsidR="005E4B62" w:rsidRPr="00264247">
        <w:t>(2023/2165(DEC))</w:t>
      </w:r>
    </w:p>
    <w:p w14:paraId="052B5830" w14:textId="77777777" w:rsidR="005E4B62" w:rsidRPr="00264247" w:rsidRDefault="005E4B62" w:rsidP="005E4B62">
      <w:pPr>
        <w:pStyle w:val="EPComma"/>
      </w:pPr>
      <w:r w:rsidRPr="00264247">
        <w:rPr>
          <w:i/>
        </w:rPr>
        <w:t>Parlamentul European</w:t>
      </w:r>
      <w:r w:rsidRPr="00264247">
        <w:t>,</w:t>
      </w:r>
    </w:p>
    <w:p w14:paraId="6AE2CADA" w14:textId="77777777" w:rsidR="005E4B62" w:rsidRPr="00264247" w:rsidRDefault="005E4B62" w:rsidP="005E4B62">
      <w:pPr>
        <w:pStyle w:val="NormalHanging12a"/>
      </w:pPr>
      <w:r w:rsidRPr="00264247">
        <w:t>–</w:t>
      </w:r>
      <w:r w:rsidRPr="00264247">
        <w:tab/>
        <w:t>având în vedere decizia sa privind descărcarea de gestiune pentru execuția bugetului Agenției Uniunii Europene pentru Gestionarea Operațională a Sistemelor Informatice la Scară Largă în Spațiul de Libertate, Securitate și Justiție (eu-LISA) aferent exercițiului financiar 2022,</w:t>
      </w:r>
    </w:p>
    <w:p w14:paraId="198D0DDA" w14:textId="77777777" w:rsidR="005E4B62" w:rsidRPr="00264247" w:rsidRDefault="005E4B62" w:rsidP="005E4B62">
      <w:pPr>
        <w:pStyle w:val="NormalHanging12a"/>
      </w:pPr>
      <w:r w:rsidRPr="00264247">
        <w:t>–</w:t>
      </w:r>
      <w:r w:rsidRPr="00264247">
        <w:tab/>
        <w:t>având în vedere articolul 100 și anexa V la Regulamentul său de procedură,</w:t>
      </w:r>
    </w:p>
    <w:p w14:paraId="53591306" w14:textId="77777777" w:rsidR="005E4B62" w:rsidRPr="00264247" w:rsidRDefault="005E4B62" w:rsidP="005E4B62">
      <w:pPr>
        <w:pStyle w:val="NormalHanging12a"/>
      </w:pPr>
      <w:r w:rsidRPr="00264247">
        <w:t>–</w:t>
      </w:r>
      <w:r w:rsidRPr="00264247">
        <w:tab/>
        <w:t>având în vedere avizul Comisiei pentru libertăți civile, justiție și afaceri interne,</w:t>
      </w:r>
    </w:p>
    <w:p w14:paraId="1B3BBB2D" w14:textId="77777777" w:rsidR="005E4B62" w:rsidRPr="00264247" w:rsidRDefault="005E4B62" w:rsidP="005E4B62">
      <w:pPr>
        <w:pStyle w:val="NormalHanging12a"/>
      </w:pPr>
      <w:r w:rsidRPr="00264247">
        <w:t>–</w:t>
      </w:r>
      <w:r w:rsidRPr="00264247">
        <w:tab/>
        <w:t>având în vedere raportul Comisiei pentru control bugetar (A9-0105/2024),</w:t>
      </w:r>
    </w:p>
    <w:p w14:paraId="5D8879B3" w14:textId="77777777" w:rsidR="005E4B62" w:rsidRPr="00264247" w:rsidRDefault="005E4B62" w:rsidP="005E4B62">
      <w:pPr>
        <w:pStyle w:val="Normal12Hanging"/>
        <w:shd w:val="clear" w:color="auto" w:fill="FFFFFF" w:themeFill="background1"/>
        <w:rPr>
          <w:szCs w:val="24"/>
          <w:lang w:val="ro-RO"/>
        </w:rPr>
      </w:pPr>
      <w:r w:rsidRPr="00264247">
        <w:rPr>
          <w:lang w:val="ro-RO"/>
        </w:rPr>
        <w:t>A.</w:t>
      </w:r>
      <w:r w:rsidRPr="00264247">
        <w:rPr>
          <w:lang w:val="ro-RO"/>
        </w:rPr>
        <w:tab/>
        <w:t>întrucât, potrivit situației veniturilor și cheltuielilor sale</w:t>
      </w:r>
      <w:r w:rsidRPr="00264247">
        <w:rPr>
          <w:szCs w:val="24"/>
          <w:vertAlign w:val="superscript"/>
          <w:lang w:val="ro-RO"/>
        </w:rPr>
        <w:footnoteReference w:id="11"/>
      </w:r>
      <w:r w:rsidRPr="00264247">
        <w:rPr>
          <w:lang w:val="ro-RO"/>
        </w:rPr>
        <w:t>, bugetul definitiv al Agenției Europene pentru Gestionarea Operațională a Sistemelor Informatice la Scară Largă în Spațiul de Libertate, Securitate și Justiție (eu‑LISA) (denumită în continuare „Agenția”) aferent exercițiului financiar 2022 a fost de 351 630 151 EUR, ceea ce reprezintă o majorare de 62,41 % față de exercițiul 2021; întrucât bugetul Agenției provine aproape exclusiv de la bugetul Uniunii;</w:t>
      </w:r>
    </w:p>
    <w:p w14:paraId="57B1A563" w14:textId="77777777" w:rsidR="005E4B62" w:rsidRPr="00264247" w:rsidRDefault="005E4B62" w:rsidP="005E4B62">
      <w:pPr>
        <w:pStyle w:val="Normal12Hanging"/>
        <w:shd w:val="clear" w:color="auto" w:fill="FFFFFF" w:themeFill="background1"/>
        <w:rPr>
          <w:szCs w:val="24"/>
          <w:lang w:val="ro-RO"/>
        </w:rPr>
      </w:pPr>
      <w:r w:rsidRPr="00264247">
        <w:rPr>
          <w:lang w:val="ro-RO"/>
        </w:rPr>
        <w:t>B.</w:t>
      </w:r>
      <w:r w:rsidRPr="00264247">
        <w:rPr>
          <w:lang w:val="ro-RO"/>
        </w:rPr>
        <w:tab/>
        <w:t>întrucât creșterea bugetului Agenției pe 2022 se explică în principal prin sarcinile suplimentare ale Agenției legate de gestionarea noilor sisteme informatice la scară largă și de interoperabilitatea sistemelor informatice;</w:t>
      </w:r>
    </w:p>
    <w:p w14:paraId="5522AD3E" w14:textId="77777777" w:rsidR="005E4B62" w:rsidRPr="00264247" w:rsidRDefault="005E4B62" w:rsidP="005E4B62">
      <w:pPr>
        <w:pStyle w:val="Normal12Hanging"/>
        <w:shd w:val="clear" w:color="auto" w:fill="FFFFFF" w:themeFill="background1"/>
        <w:rPr>
          <w:szCs w:val="24"/>
          <w:lang w:val="ro-RO"/>
        </w:rPr>
      </w:pPr>
      <w:r w:rsidRPr="00264247">
        <w:rPr>
          <w:lang w:val="ro-RO"/>
        </w:rPr>
        <w:t>C.</w:t>
      </w:r>
      <w:r w:rsidRPr="00264247">
        <w:rPr>
          <w:lang w:val="ro-RO"/>
        </w:rPr>
        <w:tab/>
        <w:t>întrucât, în raportul său privind conturile anuale ale Agenției pentru exercițiul financiar 2022 („raportul Curții”), Curtea de Conturi („Curtea”) declară că a obținut asigurarea rezonabilă cu privire la fiabilitatea conturilor anuale ale Agenției și cu privire la legalitatea și regularitatea operațiunilor subiacente, în ceea ce privește veniturile, sub toate aspectele semnificative; întrucât Curtea a identificat un cuantum total al plăților efectuate în 2022 de 17,8 milioane EUR, din care 10,9 milioane EUR legate de trei contracte specifice care s-au dovedit a fi neconforme și 6,8 milioane EUR au fost considerate neconforme cu dispozițiile contractelor-cadru aferente, ceea ce reprezintă, în total, 4,80 % din creditele de plată disponibile în 2022, depășind astfel pragul de semnificație stabilit pentru audit și conducând la o opinie cu rezerve privind legalitatea și regularitatea plăților subiacente conturilor; întrucât, cu excepția acestor plăți neconforme, Curtea a constatat legalitatea și regularitatea sub toate aspectele semnificative a operațiunilor subiacente în ceea ce privește plățile aferente exercițiului încheiat la 31 decembrie 2022,</w:t>
      </w:r>
    </w:p>
    <w:p w14:paraId="2E5CFB0B" w14:textId="77777777" w:rsidR="005E4B62" w:rsidRPr="00264247" w:rsidRDefault="005E4B62" w:rsidP="005E4B62">
      <w:pPr>
        <w:pStyle w:val="Normal12Hanging"/>
        <w:shd w:val="clear" w:color="auto" w:fill="FFFFFF" w:themeFill="background1"/>
        <w:rPr>
          <w:b/>
          <w:i/>
          <w:szCs w:val="24"/>
          <w:lang w:val="ro-RO"/>
        </w:rPr>
      </w:pPr>
      <w:r w:rsidRPr="00264247">
        <w:rPr>
          <w:b/>
          <w:i/>
          <w:lang w:val="ro-RO"/>
        </w:rPr>
        <w:t>Gestiunea bugetară și financiară</w:t>
      </w:r>
    </w:p>
    <w:p w14:paraId="40178E77" w14:textId="77777777" w:rsidR="005E4B62" w:rsidRPr="00264247" w:rsidRDefault="005E4B62" w:rsidP="005E4B62">
      <w:pPr>
        <w:shd w:val="clear" w:color="auto" w:fill="FFFFFF" w:themeFill="background1"/>
        <w:spacing w:after="240"/>
        <w:ind w:left="567" w:hanging="567"/>
        <w:rPr>
          <w:szCs w:val="24"/>
        </w:rPr>
      </w:pPr>
      <w:r w:rsidRPr="00264247">
        <w:t>1.</w:t>
      </w:r>
      <w:r w:rsidRPr="00264247">
        <w:tab/>
        <w:t xml:space="preserve">ia act de faptul că eforturile de monitorizare a bugetului în cursul exercițiului financiar </w:t>
      </w:r>
      <w:r w:rsidRPr="00264247">
        <w:lastRenderedPageBreak/>
        <w:t>2022 au condus la o rată de execuție bugetară a creditelor de angajament de 91,13 %, ceea ce reprezintă o scădere de 8,87 % față de 2021; constată, de asemenea, cu îngrijorare că rata de execuție a creditelor de plată a fost de 86,71 %, ceea ce reprezintă o creștere de 7,94 % față de 2021;</w:t>
      </w:r>
    </w:p>
    <w:p w14:paraId="62C15148" w14:textId="77777777" w:rsidR="005E4B62" w:rsidRPr="00264247" w:rsidRDefault="005E4B62" w:rsidP="005E4B62">
      <w:pPr>
        <w:pStyle w:val="NormalHanging12a"/>
        <w:shd w:val="clear" w:color="auto" w:fill="FFFFFF" w:themeFill="background1"/>
        <w:rPr>
          <w:szCs w:val="24"/>
        </w:rPr>
      </w:pPr>
      <w:r w:rsidRPr="00264247">
        <w:t>2.</w:t>
      </w:r>
      <w:r w:rsidRPr="00264247">
        <w:tab/>
        <w:t>constată cu îngrijorare, pe baza raportului Curții, că Agenția a reportat în 2023 14,4 milioane EUR (23 %) din creditele de angajament disponibile în 2022 și că această sumă a inclus 13,7 milioane EUR (sau 95 %) din creditele de la titlul II, aferente cheltuielilor administrative (97 % în 2021); observă recurența reportărilor de credite, ceea ce a determinat Curtea să reamintească că ratele ridicate recurente ale reportărilor contravin principiului bugetar al anualității și indică probleme structurale în execuția bugetului sau o planificare bugetară deficitară; ia act de răspunsul Agenției, conform căruia reportările din 2022 au vizat activități administrative necesare sau recurente, oferind asigurări cu privire la respectarea bunei gestiuni financiare a operațiunilor subiacente; constată, conform raportului Agenției privind măsurile luate în urma descărcării de gestiune pentru execuția bugetului Agenției aferent exercițiului financiar 2021 (denumit în continuare „raportul Agenției privind măsurile luate”), că Agenția a elaborat un plan de acțiune care include mai multe măsuri puse în aplicare începând din 2023 pentru a respecta principiul anualității și pentru a reduce nivelul reportărilor; constată, în acest context, că semnarea în al patrulea trimestru al anului 2023 a noului contract-cadru pentru furnizarea de servicii externe de asistență este esențială pentru atingerea acestor obiective; se așteaptă ca punerea în aplicare a acestui plan de acțiune să conducă la o îmbunătățire semnificativă și invită Agenția să informeze autoritatea care acordă descărcarea de gestiune cu privire la progresele înregistrate în acest sens;</w:t>
      </w:r>
    </w:p>
    <w:p w14:paraId="2D582022" w14:textId="77777777" w:rsidR="005E4B62" w:rsidRPr="00264247" w:rsidRDefault="005E4B62" w:rsidP="005E4B62">
      <w:pPr>
        <w:pStyle w:val="Normal12Hanging"/>
        <w:shd w:val="clear" w:color="auto" w:fill="FFFFFF" w:themeFill="background1"/>
        <w:rPr>
          <w:szCs w:val="24"/>
          <w:lang w:val="ro-RO"/>
        </w:rPr>
      </w:pPr>
      <w:r w:rsidRPr="00264247">
        <w:rPr>
          <w:b/>
          <w:i/>
          <w:lang w:val="ro-RO"/>
        </w:rPr>
        <w:t>Performanță</w:t>
      </w:r>
    </w:p>
    <w:p w14:paraId="28D57E30" w14:textId="77777777" w:rsidR="005E4B62" w:rsidRPr="00264247" w:rsidRDefault="005E4B62" w:rsidP="005E4B62">
      <w:pPr>
        <w:pStyle w:val="NormalHanging12a"/>
        <w:shd w:val="clear" w:color="auto" w:fill="FFFFFF" w:themeFill="background1"/>
        <w:rPr>
          <w:szCs w:val="24"/>
        </w:rPr>
      </w:pPr>
      <w:r w:rsidRPr="00264247">
        <w:t>3.</w:t>
      </w:r>
      <w:r w:rsidRPr="00264247">
        <w:tab/>
        <w:t>salută faptul că Agenția utilizează anumite instrumente, cum ar fi indicatorii-cheie de performanță, pentru a evalua valoarea adăugată oferită de activitățile sale și pentru a-și îmbunătăți gestiunea bugetară; ia act de faptul că programul anual de lucru pentru 2022 a inclus 135 de activități, 90 de activități fiind realizate (67 %), 16 activități fiind în curs (12 %), 20 de activități fiind în curs de desfășurare și întârziate (15 %) și 9 activități fiind amânate (7 %); ia act de noua abordare a Agenției, în cadrul căreia activitățile sale sunt sistematizate în portofolii și programe pentru a reflecta modelul operațional al Agenției și interdependențele dintre proiecte și activități; invită Agenția să identifice și să raporteze îmbunătățirile obținute prin această nouă abordare;</w:t>
      </w:r>
    </w:p>
    <w:p w14:paraId="2156B601" w14:textId="77777777" w:rsidR="005E4B62" w:rsidRPr="00264247" w:rsidRDefault="005E4B62" w:rsidP="005E4B62">
      <w:pPr>
        <w:pStyle w:val="NormalHanging12a"/>
        <w:shd w:val="clear" w:color="auto" w:fill="FFFFFF" w:themeFill="background1"/>
        <w:rPr>
          <w:szCs w:val="24"/>
        </w:rPr>
      </w:pPr>
      <w:r w:rsidRPr="00264247">
        <w:t>4.</w:t>
      </w:r>
      <w:r w:rsidRPr="00264247">
        <w:tab/>
        <w:t>felicită Agenția pentru faptul că a adoptat toate documentele statutare de programare corporativă și rapoartele corporative obligatorii, în conformitate cu cerințele de reglementare și în termenele legale, cum ar fi documentul unic de programare 2023-2025; ia act de faptul că Agenția a adoptat, de asemenea, o foaie de parcurs pentru punerea în aplicare a strategiei cu scopul de a-și alinia obiectivele operaționale strategice și de a monitoriza punerea în aplicare a strategiei pe termen lung a Agenției pentru perioada 2021-2027; ia act, de asemenea, de eforturile Agenției de a-și îmbunătăți procesele de planificare multianuală și anuală prin intermediul unui nou instrument (Anaplan); ia act de faptul că Agenția a utilizat cadrul comun de evaluare (CAF) pentru a-și analiza punctele forte și punctele slabe, ceea ce a condus la prezentarea, în aprilie 2022, a unui raport de autoevaluare însoțit un plan de acțiune pentru îndeplinirea foii de parcurs, care detaliază prioritățile Agenției pentru dezvoltarea operațională; ia act de faptul că Agenția a solicitat eticheta „utilizator CAF eficace”;</w:t>
      </w:r>
    </w:p>
    <w:p w14:paraId="1691118B" w14:textId="77777777" w:rsidR="005E4B62" w:rsidRPr="00264247" w:rsidRDefault="005E4B62" w:rsidP="005E4B62">
      <w:pPr>
        <w:pStyle w:val="NormalHanging12a"/>
        <w:shd w:val="clear" w:color="auto" w:fill="FFFFFF" w:themeFill="background1"/>
        <w:rPr>
          <w:szCs w:val="24"/>
        </w:rPr>
      </w:pPr>
      <w:r w:rsidRPr="00264247">
        <w:rPr>
          <w:shd w:val="clear" w:color="auto" w:fill="FFFFFF"/>
        </w:rPr>
        <w:lastRenderedPageBreak/>
        <w:t>5.</w:t>
      </w:r>
      <w:r w:rsidRPr="00264247">
        <w:rPr>
          <w:shd w:val="clear" w:color="auto" w:fill="FFFFFF"/>
        </w:rPr>
        <w:tab/>
        <w:t>salută sprijinul continuu al Agenției în ceea ce privește punerea în aplicare a politicilor Uniunii în domeniul liberei circulații a persoanelor și a mărfurilor, al vizelor comune de călătorie, al controlului la frontiere și al imigrației și azilului, precum și cooperarea dintre autoritățile naționale de aplicare a legii și autoritățile judiciare, inclusiv privind combaterea criminalității organizate, a contrabandei cu ființe umane și a traficului de persoane și a terorismului; se așteaptă ca Agenția să aducă o contribuție semnificativă la digitalizarea justiției, pentru a îmbunătăți cooperarea dintre autoritățile judiciare ale Uniunii și pentru a asigura un acces mai bun la justiție pentru cetățenii și întreprinderile din Uniune;</w:t>
      </w:r>
    </w:p>
    <w:p w14:paraId="565AB86B" w14:textId="77777777" w:rsidR="005E4B62" w:rsidRPr="00264247" w:rsidRDefault="005E4B62" w:rsidP="005E4B62">
      <w:pPr>
        <w:pStyle w:val="NormalHanging12a"/>
        <w:shd w:val="clear" w:color="auto" w:fill="FFFFFF" w:themeFill="background1"/>
        <w:rPr>
          <w:szCs w:val="24"/>
        </w:rPr>
      </w:pPr>
      <w:r w:rsidRPr="00264247">
        <w:t>6.</w:t>
      </w:r>
      <w:r w:rsidRPr="00264247">
        <w:tab/>
        <w:t>reamintește rolul-cheie al Agenției în asigurarea funcționării stabile și a disponibilității continue, precum și a evoluției și întreținerii sistemelor de informații ale Uniunii în domeniul justiției și afacerilor interne (JAI), cum ar fi Sistemul de informații Schengen (SIS), Sistemul de informații privind vizele (VIS) și Baza europeană de date dactiloscopice ale solicitanților de azi (Eurodac); reamintește că aceste sisteme sunt esențiale în domeniul controlului la frontiere și al cooperării în materie de aplicare a legii, al eliberării vizelor și al controalelor, precum și al examinării cererilor de azil; ia act de faptul că, în 2022, cu excepția unor incidente care au dus la o scurtă indisponibilitate și la întârzieri, toate sistemele operaționale de bază au respectat acordurile relevante privind nivelul serviciilor, disponibilitatea SIS situându-se la 99,94 %, cea a VIS la 99,69 % și cea a Eurodac la 99,88 %;</w:t>
      </w:r>
    </w:p>
    <w:p w14:paraId="7161C02D" w14:textId="77777777" w:rsidR="005E4B62" w:rsidRPr="00264247" w:rsidRDefault="005E4B62" w:rsidP="005E4B62">
      <w:pPr>
        <w:pStyle w:val="NormalHanging12a"/>
        <w:shd w:val="clear" w:color="auto" w:fill="FFFFFF" w:themeFill="background1"/>
        <w:rPr>
          <w:szCs w:val="24"/>
        </w:rPr>
      </w:pPr>
      <w:r w:rsidRPr="00264247">
        <w:t>7.</w:t>
      </w:r>
      <w:r w:rsidRPr="00264247">
        <w:tab/>
        <w:t>salută intrarea în funcțiune a unui SIS reînnoit în martie 2023 (amânat din noiembrie 2022); ia act de progresele înregistrate, însă cu întârzieri la diferite niveluri, în ceea ce privește analiza, proiectarea, dezvoltarea și testarea noilor sisteme JAI, și anume Sistemul de intrare/ieșire (EES), Sistemul european de informații și de autorizare privind călătoriile (ETIAS) și Sistemul european de informații cu privire la cazierele judiciare ale resortisanților țărilor terțe (ECRIS-TCN), precum și în ceea ce privește integrarea acestor sisteme, inclusiv a serviciului comun de comparare a datelor biometrice; constată, de asemenea, că 947 de transportatori (atât din interiorul, cât și din afara Uniunii) și 54 de furnizori de software pentru operatorii de transport s-au înregistrat la Agenție sau au solicitat înregistrarea pentru a stabili conexiuni de la sistem la sistem pentru EES și ETIAS; salută, în acest context, organizarea unei mese rotunde a sectorului intitulate „EES, ETIAS și pregătirea transportatorilor pentru intrarea în funcțiune” și campania de înregistrare și de sensibilizare a operatorilor de transport menită să crească gradul de conștientizare și să stimuleze înregistrarea; ia act de faptul că VIS face obiectul unor schimbări majore, în conformitate cu Regulamentul VIS revizuit; ia act, în acest context, de faptul că, în 2022, Agenția a lansat două proiecte, unul privind revizuirea VIS și unul privind interoperabilitatea VIS, pentru a structura evoluția VIS;</w:t>
      </w:r>
    </w:p>
    <w:p w14:paraId="4E168059" w14:textId="77777777" w:rsidR="005E4B62" w:rsidRPr="00264247" w:rsidRDefault="005E4B62" w:rsidP="005E4B62">
      <w:pPr>
        <w:pStyle w:val="NormalHanging12a"/>
        <w:shd w:val="clear" w:color="auto" w:fill="FFFFFF" w:themeFill="background1"/>
        <w:rPr>
          <w:szCs w:val="24"/>
        </w:rPr>
      </w:pPr>
      <w:r w:rsidRPr="00264247">
        <w:t>8.</w:t>
      </w:r>
      <w:r w:rsidRPr="00264247">
        <w:tab/>
        <w:t xml:space="preserve">ia act, de asemenea, de progresele înregistrate în ceea ce privește noua arhitectură de interoperabilitate (IO), care va integra toate sistemele de informații gestionate de Agenție pentru a îmbunătăți schimbul de informații și colaborarea dintre autoritățile de aplicare a legii și autoritățile judiciare din întreaga Uniune; constată, în acest context, că, conform Raportului anual de activitate consolidat (RAAC) al Agenției pe 2022, deși Agenția și-a menținut angajamentul de a pune în aplicare aceste noi sisteme, efectele negative ale perturbărilor lanțului de aprovizionare, combinate cu dificultățile unora dintre contractanții Agenției de a respecta calendarele de punere în aplicare, au dus la întârzieri care au necesitat reevaluarea și revizuirea planului inițial; constată că aceste întârzieri, în special în ceea ce privește intrarea în funcțiune a sistemului central EES, o </w:t>
      </w:r>
      <w:r w:rsidRPr="00264247">
        <w:lastRenderedPageBreak/>
        <w:t>piatră de temelie a arhitecturii de interoperabilitate, au avut un efect de domino asupra calendarului și executării tuturor proiectelor interconectate; ia act de măsurile luate de Agenție pentru a soluționa această problemă prin aprobarea unei noi strategii pentru punerea în aplicare a EES, a abordării bazate pe produse viabile minime și a unei noi foi de parcurs privind interoperabilitatea, cu revizuirea completă a calendarului IO, care cuprinde o serie de etape ce vizează furnizarea la intervale regulate, o dată la șase-nouă luni până în 2026, a elementelor pe care se bazează arhitectura de interoperabilitate, astfel cum se prevede în raportul Agenției privind măsurile luate; constată, pe baza declarației de asigurare a directoarei executive a Agenției, că termenele prelungite pentru punerea în funcțiune a programului EES ar putea avea un impact asupra resurselor necesare pentru finalizarea dezvoltării;</w:t>
      </w:r>
    </w:p>
    <w:p w14:paraId="5046B5DD" w14:textId="77777777" w:rsidR="005E4B62" w:rsidRPr="00264247" w:rsidRDefault="005E4B62" w:rsidP="005E4B62">
      <w:pPr>
        <w:pStyle w:val="NormalHanging12a"/>
      </w:pPr>
      <w:r w:rsidRPr="00264247">
        <w:t>9.</w:t>
      </w:r>
      <w:r w:rsidRPr="00264247">
        <w:tab/>
        <w:t>ia act cu satisfacție de faptul că Agenția a continuat să îndeplinească o serie de alte obiective statutare strâns legate, cum ar fi formări pentru statele membre privind utilizarea sistemelor de informații JAI și pregătirea rapoartelor statutare referitoare la performanța lor tehnică, statisticile anuale și listele autorităților desemnate; salută, în acest context, faptul că, în 2022, Agenția a desfășurat 48 de activități de formare cu peste 3 000 de participanți, și-a actualizat platforma de e-learning și și-a finalizat foaia de parcurs pentru formarea statelor membre și planul de acțiune aferent; constată, de asemenea, că Agenția a continuat să își extindă rolul în domeniul justiției în Uniune prin demararea pregătirilor pentru preluarea sistemului e-CODEX (o platformă care facilitează procedurile judiciare transfrontaliere prin transmiterea securizată a informațiilor), a publicat un raport despre modul în care digitalizarea călătoriilor internaționale va afecta călătorii care se îndreaptă către Uniune și a elaborat împreună cu Agenția Uniunii Europene pentru Cooperare în Materie de Justiție Penală (Eurojust) un raport privind utilizarea soluțiilor de inteligență artificială pentru a sprijini cooperarea transfrontalieră în domeniul justiției penale;</w:t>
      </w:r>
    </w:p>
    <w:p w14:paraId="43BBCFD4" w14:textId="77777777" w:rsidR="005E4B62" w:rsidRPr="00264247" w:rsidRDefault="005E4B62" w:rsidP="005E4B62">
      <w:pPr>
        <w:pStyle w:val="NormalHanging12a"/>
        <w:rPr>
          <w:szCs w:val="24"/>
        </w:rPr>
      </w:pPr>
      <w:r w:rsidRPr="00264247">
        <w:t>10.</w:t>
      </w:r>
      <w:r w:rsidRPr="00264247">
        <w:tab/>
        <w:t>ia act de cooperarea Agenției cu agențiile Uniunii, în special cu Agenția Europeană pentru Poliția de Frontieră și Garda de Coastă (Frontex) în ceea ce privește dezvoltarea ETIAS, cu Agenția Uniunii Europene pentru Cooperare în Materie de Aplicare a Legii (Europol) în legătură cu punerea în aplicare a regulamentelor privind SIS reformat, EES, ETIAS și interoperabilitatea, cu Eurojust în ceea ce privește punerea în aplicare a ECRIS-TCN și e-CODEX, a regulamentelor privind interoperabilitatea, precum și coordonarea activităților legate de digitalizarea cooperării judiciare, cu Agenția Uniunii Europene pentru Azil (EUAA) în legătură cu punerea în aplicare a Regulamentului Comisiei privind rețeaua de comunicații electronice „DubliNet”, cu Agenția Uniunii Europene pentru Formare în Materie de Aplicare a Legii (CEPOL) în legătură cu organizarea de cursuri comune de formare privind utilizarea sistemelor în domeniul JAI și cu Agenția pentru Drepturi Fundamentale a Uniunii Europene în ceea ce privește organizarea de cursuri comune de formare care să evidențieze aspectul drepturilor fundamentale în gestionarea sistemelor de informații JAI; încurajează Agenția să își continue cooperarea cu alte agenții ale Uniunii;</w:t>
      </w:r>
    </w:p>
    <w:p w14:paraId="1720CB1D" w14:textId="77777777" w:rsidR="005E4B62" w:rsidRPr="00264247" w:rsidRDefault="005E4B62" w:rsidP="005E4B62">
      <w:pPr>
        <w:pStyle w:val="Normal12Hanging"/>
        <w:shd w:val="clear" w:color="auto" w:fill="FFFFFF" w:themeFill="background1"/>
        <w:rPr>
          <w:b/>
          <w:i/>
          <w:szCs w:val="24"/>
          <w:lang w:val="ro-RO"/>
        </w:rPr>
      </w:pPr>
      <w:r w:rsidRPr="00264247">
        <w:rPr>
          <w:b/>
          <w:i/>
          <w:lang w:val="ro-RO"/>
        </w:rPr>
        <w:t>Eficiență și realizări</w:t>
      </w:r>
    </w:p>
    <w:p w14:paraId="601CDBDE" w14:textId="77777777" w:rsidR="005E4B62" w:rsidRPr="00264247" w:rsidRDefault="005E4B62" w:rsidP="005E4B62">
      <w:pPr>
        <w:pStyle w:val="Normal12Hanging"/>
        <w:shd w:val="clear" w:color="auto" w:fill="FFFFFF" w:themeFill="background1"/>
        <w:rPr>
          <w:szCs w:val="24"/>
          <w:lang w:val="ro-RO"/>
        </w:rPr>
      </w:pPr>
      <w:r w:rsidRPr="00264247">
        <w:rPr>
          <w:lang w:val="ro-RO"/>
        </w:rPr>
        <w:t>11.</w:t>
      </w:r>
      <w:r w:rsidRPr="00264247">
        <w:rPr>
          <w:lang w:val="ro-RO"/>
        </w:rPr>
        <w:tab/>
        <w:t xml:space="preserve">ia act de măsurile luate de Agenție pentru a-și îmbunătăți eficiența energetică și performanța de mediu, inclusiv în ceea ce privește obiectivele de neutralitate climatică, astfel cum se prevede în raportul Agenției privind măsurile luate, în RAAC, în răspunsurile Agenției la întrebările cu solicitare de răspuns scris ale Parlamentului și în raportul Curții; ia act, în acest context, de faptul că, în 2022, Agenția a început să pună </w:t>
      </w:r>
      <w:r w:rsidRPr="00264247">
        <w:rPr>
          <w:lang w:val="ro-RO"/>
        </w:rPr>
        <w:lastRenderedPageBreak/>
        <w:t>în aplicare treptat propriul său sistem de management de mediu, bazat pe principiile EMAS și pe Planul de acțiune al Comisiei privind Pactul verde european, și și-a adoptat politica de mediu; ia act de faptul că punerea în aplicare integrală a sistemului de management de mediu și, prin urmare, înregistrarea EMAS sunt prevăzute a fi realizate până în 2024; salută participarea Agenției la rețeaua pentru ecologizare a Rețelei agențiilor UE, care oferă posibilitatea de a beneficia de materiale de la alte agenții ale Uniunii cu mai multă experiență în punerea în aplicare a EMAS; constată, de asemenea, că Agenția utilizează criterii privind achizițiile publice ecologice în domenii de activitate precum gestionarea instalațiilor, proiectele hardware și infrastructura și proiectele informatice; felicită Agenția pentru raportarea cu privire la performanța sa de mediu prin intermediul unui indicator-cheie de performanță care indică amprenta de carbon a Agenției; ia act de faptul că nivelul de referință al indicatorilor volumetrici pentru apă, energie, consumul de hârtie și producția de deșeuri va fi stabilit în 2023, urmând să fie utilizat la calcularea și evaluarea acestor indicatori începând din acel moment;</w:t>
      </w:r>
    </w:p>
    <w:p w14:paraId="4E2BC6AA" w14:textId="77777777" w:rsidR="005E4B62" w:rsidRPr="00264247" w:rsidRDefault="005E4B62" w:rsidP="005E4B62">
      <w:pPr>
        <w:pStyle w:val="Normal12Hanging"/>
        <w:shd w:val="clear" w:color="auto" w:fill="FFFFFF" w:themeFill="background1"/>
        <w:rPr>
          <w:szCs w:val="24"/>
          <w:lang w:val="ro-RO"/>
        </w:rPr>
      </w:pPr>
      <w:r w:rsidRPr="00264247">
        <w:rPr>
          <w:lang w:val="ro-RO"/>
        </w:rPr>
        <w:t>12.</w:t>
      </w:r>
      <w:r w:rsidRPr="00264247">
        <w:rPr>
          <w:lang w:val="ro-RO"/>
        </w:rPr>
        <w:tab/>
        <w:t>constată, pe baza răspunsurilor scrise ale Agenției la întrebările orizontale ale Parlamentului, că aceasta a încheiat acorduri privind nivelul serviciilor cu mai multe alte agenții ale Uniunii pentru furnizarea de sprijin în chestiuni legate de continuitatea activității, precum și pentru a spori eficiența în alte domenii de cooperare; ia act, în acest context, de faptul că Agenția are acorduri privind nivelul serviciilor cu Frontex și EUAA pentru găzduirea siturilor lor de recuperare în caz de dezastru și un acord anual privind nivelul serviciilor cu Europol pentru organizarea reuniunilor comune ale Europol și ale Comitetului de securitate al eu-LISA; invită Agenția să își continue cooperarea cu alte agenții ale Uniunii, astfel încât să poată fi utilizate toate resursele disponibile; felicită Agenția pentru cooperarea sa cu Agenția Uniunii Europene pentru Securitate Cibernetică (ENISA) prin intermediul unui acord privind nivelul serviciilor care acoperă serviciile de sprijin oferite de ENISA în ceea ce privește planificarea, executarea și evaluarea exercițiilor anuale de securitate cibernetică;</w:t>
      </w:r>
    </w:p>
    <w:p w14:paraId="00713AA2" w14:textId="77777777" w:rsidR="005E4B62" w:rsidRPr="00264247" w:rsidRDefault="005E4B62" w:rsidP="005E4B62">
      <w:pPr>
        <w:pStyle w:val="Normal12Hanging"/>
        <w:shd w:val="clear" w:color="auto" w:fill="FFFFFF" w:themeFill="background1"/>
        <w:rPr>
          <w:szCs w:val="24"/>
          <w:lang w:val="ro-RO"/>
        </w:rPr>
      </w:pPr>
      <w:r w:rsidRPr="00264247">
        <w:rPr>
          <w:lang w:val="ro-RO"/>
        </w:rPr>
        <w:t>13.</w:t>
      </w:r>
      <w:r w:rsidRPr="00264247">
        <w:rPr>
          <w:lang w:val="ro-RO"/>
        </w:rPr>
        <w:tab/>
        <w:t>indică faptul că, în februarie 2022, Agenția a adoptat o strategie de recrutare pentru a-și clarifica și armoniza planificarea resurselor umane cu scopul de a optimiza utilizarea resurselor, în special de a echilibra componența generală a resurselor umane ale Agenției (și anume, ponderea personalului intern în raport cu prestatorii externi de servicii); constată, de asemenea, că Agenția a realizat câștiguri de eficiență utilizând liste de rezervă existente, create în cursul procedurilor de selecție anterioare, precum și profiluri grupate și liste de rezervă mai lungi pentru a acoperi mai multe posturi în cadrul unei proceduri de recrutare;</w:t>
      </w:r>
    </w:p>
    <w:p w14:paraId="12E30849" w14:textId="77777777" w:rsidR="005E4B62" w:rsidRPr="00264247" w:rsidRDefault="005E4B62" w:rsidP="005E4B62">
      <w:pPr>
        <w:pStyle w:val="Normal12Hanging"/>
        <w:shd w:val="clear" w:color="auto" w:fill="FFFFFF" w:themeFill="background1"/>
        <w:rPr>
          <w:szCs w:val="24"/>
          <w:lang w:val="ro-RO"/>
        </w:rPr>
      </w:pPr>
      <w:r w:rsidRPr="00264247">
        <w:rPr>
          <w:lang w:val="ro-RO"/>
        </w:rPr>
        <w:t>14.</w:t>
      </w:r>
      <w:r w:rsidRPr="00264247">
        <w:rPr>
          <w:lang w:val="ro-RO"/>
        </w:rPr>
        <w:tab/>
        <w:t>felicită Agenția pentru progresele înregistrate în 2022 în direcția digitalizării proceselor sale; constată, în domeniul resurselor umane, că Agenția a implementat noi module ale sistemului SYSPER (sistemul integrat de informații al</w:t>
      </w:r>
      <w:r w:rsidRPr="00264247">
        <w:rPr>
          <w:color w:val="4D5156"/>
          <w:shd w:val="clear" w:color="auto" w:fill="FFFFFF"/>
          <w:lang w:val="ro-RO"/>
        </w:rPr>
        <w:t xml:space="preserve"> Comisiei</w:t>
      </w:r>
      <w:r w:rsidRPr="00264247">
        <w:rPr>
          <w:lang w:val="ro-RO"/>
        </w:rPr>
        <w:t xml:space="preserve"> pentru gestionarea resurselor umane), și anume modulul de raportare a resurselor umane și modulul ATS; ia act de faptul că, în domeniul achizițiilor publice, Agenția s-a familiarizat în 2022 cu Instrumentul de gestionare a achizițiilor publice (PPMT) al Comisiei și cu cerințele acestuia pentru a îndeplini condițiile prealabile de integrare care au fost finalizate cu succes în 2023; ia act de faptul că Agenția aplică modulul eSubmission pentru proceduri de ofertare de peste 15 000 EUR; constată, de asemenea, că s-a renunțat la semnătura fizică a ofertanților de la introducerea modulului respectiv; invită Agenția să își intensifice eforturile în vederea punerii în aplicare depline a PPMT; ia act, în fine, de faptul că, în domeniul prevenirii și gestionării conflictelor de interese, Agenția a </w:t>
      </w:r>
      <w:r w:rsidRPr="00264247">
        <w:rPr>
          <w:lang w:val="ro-RO"/>
        </w:rPr>
        <w:lastRenderedPageBreak/>
        <w:t>digitalizat depunerea declarațiilor obligatorii sau a cererilor de punere în aplicare a normelor relevante;</w:t>
      </w:r>
    </w:p>
    <w:p w14:paraId="2AC18B2D" w14:textId="77777777" w:rsidR="005E4B62" w:rsidRPr="00264247" w:rsidRDefault="005E4B62" w:rsidP="005E4B62">
      <w:pPr>
        <w:pStyle w:val="Normal12Hanging"/>
        <w:shd w:val="clear" w:color="auto" w:fill="FFFFFF" w:themeFill="background1"/>
        <w:rPr>
          <w:szCs w:val="24"/>
          <w:lang w:val="ro-RO"/>
        </w:rPr>
      </w:pPr>
      <w:r w:rsidRPr="00264247">
        <w:rPr>
          <w:b/>
          <w:i/>
          <w:lang w:val="ro-RO"/>
        </w:rPr>
        <w:t>Politica de personal</w:t>
      </w:r>
    </w:p>
    <w:p w14:paraId="5E04F43B" w14:textId="77777777" w:rsidR="005E4B62" w:rsidRPr="00264247" w:rsidRDefault="005E4B62" w:rsidP="005E4B62">
      <w:pPr>
        <w:pStyle w:val="Normal12Hanging"/>
        <w:shd w:val="clear" w:color="auto" w:fill="FFFFFF" w:themeFill="background1"/>
        <w:rPr>
          <w:szCs w:val="24"/>
          <w:lang w:val="ro-RO"/>
        </w:rPr>
      </w:pPr>
      <w:r w:rsidRPr="00264247">
        <w:rPr>
          <w:lang w:val="ro-RO"/>
        </w:rPr>
        <w:t>15.</w:t>
      </w:r>
      <w:r w:rsidRPr="00264247">
        <w:rPr>
          <w:lang w:val="ro-RO"/>
        </w:rPr>
        <w:tab/>
        <w:t>constată că, la 31 decembrie 2022, schema de personal era completată în proporție de 89,3 %, fiind ocupate 192 de posturi de agenți temporari (193 în 2021) din cele 215 autorizate de la bugetul Uniunii (față de 213 posturi autorizate în 2021); constată că, în plus, în 2022, la Agenție au lucrat 121 de agenți contractuali (AC) și 11 experți naționali detașați (END) din 167 AC și, respectiv, 11 END autorizați; ia act de faptul că numărul de posturi de AC prevăzute în buget a crescut cu 35, de la 132 la 167, ca urmare a autorizării bugetare pentru noile sarcini încredințate Agenției (VIS revizuit, ETIAS și interoperabilitate); ia act de faptul că, în pofida eforturilor Agenției, rata de rotație a personalului a crescut de la 5,5 % în 2021 la 7,1 % în 2022, iar rata de ocupare a scăzut la 82 %, sub obiectivul Agenției de 94 %, în special din cauza numărului de posturi pe durată scurtă și de posturi la grade inferioare de care are nevoie Agenția;</w:t>
      </w:r>
    </w:p>
    <w:p w14:paraId="7F1A6A70" w14:textId="77777777" w:rsidR="005E4B62" w:rsidRPr="00264247" w:rsidRDefault="005E4B62" w:rsidP="005E4B62">
      <w:pPr>
        <w:pStyle w:val="NormalHanging12a"/>
      </w:pPr>
      <w:r w:rsidRPr="00264247">
        <w:t>16.</w:t>
      </w:r>
      <w:r w:rsidRPr="00264247">
        <w:tab/>
        <w:t>ia act cu preocupare de componența personalului de conducere de nivel superior și mediu al Agenției din punctul de vedere al genului, și anume 12 bărbați (86 %) și două femei (14 %), a Consiliului de administrație, cu 50 de bărbați (82 %) și 11 femei (18 %), precum și a personalului, în general, cu 209 bărbați (67 %) și 101 femei (33 %); constată, pe baza raportului Agenției privind măsurile luate, că aceasta își continuă eforturile pentru a asigura un echilibru general de gen, concentrându-se pe comunicare și pe procedurile de recrutare pentru a atrage un număr mai mare de candidate; salută participarea Agenției în 2022 la târgul mondial online de locuri de muncă „Femeile în domeniul tehnologiei”; salută, de asemenea, numirea noii directoare executive, atingându-se astfel echilibrul de gen în posturile de conducere de nivel superior; reamintește că este important să se asigure echilibrul de gen și invită Agenția să își continue eforturile de asigurare a echilibrului de gen la toate nivelurile prin acțiuni concrete care să atragă candidaturi din partea femeilor pentru posturile oferite de Agenție; solicită Comisiei și statelor membre să țină seama de importanța de a asigura echilibrul de gen la numirea membrilor lor în Consiliul de administrație al Agenției;</w:t>
      </w:r>
    </w:p>
    <w:p w14:paraId="33723B88" w14:textId="77777777" w:rsidR="005E4B62" w:rsidRPr="00264247" w:rsidRDefault="005E4B62" w:rsidP="005E4B62">
      <w:pPr>
        <w:pStyle w:val="Normal12Hanging"/>
        <w:shd w:val="clear" w:color="auto" w:fill="FFFFFF" w:themeFill="background1"/>
        <w:rPr>
          <w:szCs w:val="24"/>
          <w:lang w:val="ro-RO"/>
        </w:rPr>
      </w:pPr>
      <w:r w:rsidRPr="00264247">
        <w:rPr>
          <w:lang w:val="ro-RO"/>
        </w:rPr>
        <w:t>17.</w:t>
      </w:r>
      <w:r w:rsidRPr="00264247">
        <w:rPr>
          <w:lang w:val="ro-RO"/>
        </w:rPr>
        <w:tab/>
        <w:t>felicită Agenția pentru eforturile sale în domeniul resurselor umane pentru a atrage o rezervă diversă de candidați, a poziționa Agenția ca angajator de seamă și a păstra personalul său talentat; constată, în acest context, că, în 2022, Agenția a reprezentat Rețeaua agențiilor UE la târgul online de locuri de muncă pentru organizațiile internaționale și și-a intensificat activitățile de creare a unei identități corporative prin campanii specifice, cum ar fi mărturii ale membrilor personalului pe platformele de comunicare socială; felicită Agenția pentru lansarea unui program pilot de mobilitate internă, menit să valorifice competențele existente ale membrilor personalului și să promoveze evoluția profesională continuă a personalului Agenției; constată, în acest context, că Agenția a început să își dezvolte strategia de gestionare a resurselor umane bazată pe competențe și să își revizuiască cadrul de competențe, ceea ce va avea un impact asupra anunțurilor de posturi vacante și asupra evaluărilor candidaților;</w:t>
      </w:r>
    </w:p>
    <w:p w14:paraId="40629929" w14:textId="77777777" w:rsidR="005E4B62" w:rsidRPr="00264247" w:rsidRDefault="005E4B62" w:rsidP="005E4B62">
      <w:pPr>
        <w:pStyle w:val="NormalHanging12a"/>
        <w:shd w:val="clear" w:color="auto" w:fill="FFFFFF" w:themeFill="background1"/>
      </w:pPr>
      <w:r w:rsidRPr="00264247">
        <w:t>18.</w:t>
      </w:r>
      <w:r w:rsidRPr="00264247">
        <w:tab/>
        <w:t xml:space="preserve">salută politica Agenției de zero toleranță față de hărțuire; ia act de faptul că, în 2022, au fost efectuate și încheiate pe plan intern trei anchete administrative legate de hărțuire, un caz suplimentar fiind adus în justiție; invită Agenția să tragă rapid la răspundere persoanele cu comportament inadecvat; ia act de faptul că, începând din 2022, Agenția a semnat un contract cu o firmă de avocatură externă pentru a putea face față cu </w:t>
      </w:r>
      <w:r w:rsidRPr="00264247">
        <w:lastRenderedPageBreak/>
        <w:t>promptitudine unei cereri tot mai mari de anchete administrative, inclusiv legate de hărțuirea sexuală sau psihologică sau de alte aspecte disciplinare; ia act de faptul că Agenția a finalizat selecția unor noi consilieri confidențiali, cinci noi consilieri fiind selectați și formați pentru a sprijini organizația în ceea ce privește promovarea respectului și demnității la locul de muncă și pentru a sprijini membrii personalului care solicită asistență în situații percepute ca hărțuire psihologică sau sexuală;</w:t>
      </w:r>
    </w:p>
    <w:p w14:paraId="219AA20C" w14:textId="77777777" w:rsidR="005E4B62" w:rsidRPr="00264247" w:rsidRDefault="005E4B62" w:rsidP="005E4B62">
      <w:pPr>
        <w:pStyle w:val="NormalHanging12a"/>
        <w:shd w:val="clear" w:color="auto" w:fill="FFFFFF" w:themeFill="background1"/>
      </w:pPr>
      <w:r w:rsidRPr="00264247">
        <w:t>19.</w:t>
      </w:r>
      <w:r w:rsidRPr="00264247">
        <w:tab/>
        <w:t>ia act de măsurile luate de Agenție pentru a îmbunătăți experiența și starea de bine a angajaților; ia act de faptul că a fost inițiat un program de sănătate mintală pentru personal și familiile acestora, care include un serviciu de autoîngrijire, seminare online și sesiuni de consiliere individuală; constată că, în urma unei derogări primite în așteptarea modelului de decizie, Agenția nu a aplicat prin analogie Decizia Comisiei din 24 martie 2022 privind timpul de lucru și munca hibridă; ia act de faptul că, începând din septembrie 2022, Agenția a aplicat o decizie a directoarei executive referitoare la acordurile interimare privind munca hibridă; constată, de asemenea, că, la 16 noiembrie 2023, Agenția a adoptat modelul de decizie cu data de intrare în vigoare de 1 ianuarie 2024; constată, în fine, cu satisfacție, că Agenția a adoptat „Carta privind diversitatea și incluziunea” a Rețelei agențiilor UE;</w:t>
      </w:r>
    </w:p>
    <w:p w14:paraId="44476C44" w14:textId="77777777" w:rsidR="005E4B62" w:rsidRPr="00264247" w:rsidRDefault="005E4B62" w:rsidP="005E4B62">
      <w:pPr>
        <w:pStyle w:val="Normal12Hanging"/>
        <w:shd w:val="clear" w:color="auto" w:fill="FFFFFF" w:themeFill="background1"/>
        <w:rPr>
          <w:b/>
          <w:i/>
          <w:szCs w:val="24"/>
          <w:lang w:val="ro-RO"/>
        </w:rPr>
      </w:pPr>
      <w:r w:rsidRPr="00264247">
        <w:rPr>
          <w:b/>
          <w:i/>
          <w:lang w:val="ro-RO"/>
        </w:rPr>
        <w:t>Achiziții publice</w:t>
      </w:r>
    </w:p>
    <w:p w14:paraId="0311589B" w14:textId="77777777" w:rsidR="005E4B62" w:rsidRPr="00264247" w:rsidRDefault="005E4B62" w:rsidP="005E4B62">
      <w:pPr>
        <w:pStyle w:val="NormalHanging12a"/>
      </w:pPr>
      <w:r w:rsidRPr="00264247">
        <w:t>20.</w:t>
      </w:r>
      <w:r w:rsidRPr="00264247">
        <w:tab/>
        <w:t>subliniază observațiile din raportul Curții care au condus la o opinie cu rezerve din cauza neregularității mai multor plăți efectuate în 2022, în valoare totală de 17,8 milioane EUR, în legătură cu șapte contracte specifice, plățile respective reprezentând 4,8 % din creditele de plată disponibile în 2022; constată că neregularitatea acestor plăți este legată în principal de abateri de la contractele-cadru corespunzătoare; constată, conform răspunsurilor Agenției la întrebările cu solicitare de răspuns scris ale Parlamentului, că neregulile legate de plățile efectuate în 2022 pot fi grupate în trei categorii, și anume modificarea contractelor pe durată determinată (6,5 milioane EUR); prelungirea contractelor specifice peste perioada maximă permisă (3,7 milioane EUR); și lipsa de detalii privind cerințele din contractele specifice (7,5 milioane EUR); ia act de faptul că unele dintre aceste plăți necuvenite, în valoare totală de 10,5 milioane EUR, se referă la trei contracte specifice pe baza cărora au fost efectuate plăți și în 2021 și în privința cărora Curtea a constatat nereguli pentru exercițiul respectiv în raportul său anual privind agențiile Uniunii; constată, conform declarațiilor directoarei executive a Agenției din cadrul reuniunii sale cu Comisia pentru control bugetar din 29 noiembrie 2023 („declarațiile directoarei executive”), că șase dintre cele șapte contracte specifice identificate în raportul Curții au expirat fără plăți restante; subliniază că aceasta este o problemă recurentă pentru Agenție; ia act de măsurile luate de Agenție pentru a o soluționa, astfel cum se arată în răspunsurile Agenției la observațiile Curții; invită Agenția să continue să acorde o atenție maximă acestei probleme și să informeze autoritatea care acordă descărcarea de gestiune despre progresele înregistrate;</w:t>
      </w:r>
    </w:p>
    <w:p w14:paraId="4B80D500" w14:textId="77777777" w:rsidR="005E4B62" w:rsidRPr="00264247" w:rsidRDefault="005E4B62" w:rsidP="005E4B62">
      <w:pPr>
        <w:pStyle w:val="Normal12Hanging"/>
        <w:shd w:val="clear" w:color="auto" w:fill="FFFFFF" w:themeFill="background1"/>
        <w:rPr>
          <w:szCs w:val="24"/>
          <w:lang w:val="ro-RO"/>
        </w:rPr>
      </w:pPr>
      <w:r w:rsidRPr="00264247">
        <w:rPr>
          <w:lang w:val="ro-RO"/>
        </w:rPr>
        <w:t>21.</w:t>
      </w:r>
      <w:r w:rsidRPr="00264247">
        <w:rPr>
          <w:lang w:val="ro-RO"/>
        </w:rPr>
        <w:tab/>
        <w:t xml:space="preserve">ia act cu profundă îngrijorare de faptul că 2022 a fost al treilea an consecutiv pentru care Curtea a emis o opinie cu rezerve privind domeniul de achiziții publice și de gestionare a contractelor al Agenției, aceasta suportând costuri ridicate din cauza neregulilor, a procedurilor de licitație întârziate și inadecvate și a lipsei de diligență din partea Agenției în ceea ce privește normele în materie de achiziții publice; ia act de planul de acțiune al Agenției pentru o analiză aprofundată a proceselor sale, menit să identifice și să elimine cauzele profunde ale observațiilor recurente ale Curții în acest domeniu, astfel cum se prevede în răspunsurile Agenției la întrebările cu solicitare de răspuns </w:t>
      </w:r>
      <w:r w:rsidRPr="00264247">
        <w:rPr>
          <w:lang w:val="ro-RO"/>
        </w:rPr>
        <w:lastRenderedPageBreak/>
        <w:t>scris ale Parlamentului, în raportul Agenției privind măsurile luate și în declarațiile directoarei executive; se așteaptă, prin urmare, la o îmbunătățire durabilă ca urmare a punerii în aplicare a acestui plan de acțiune, în special având în vedere că șase dintre cele șapte contracte specifice considerate neconforme de către Curte au expirat fără plăți restante; invită Agenția să informeze periodic autoritatea care acordă descărcarea de gestiune cu privire la progresele înregistrate la punerea în aplicare a planului de acțiune și orice măsuri corective întreprinse;</w:t>
      </w:r>
    </w:p>
    <w:p w14:paraId="28783EAA" w14:textId="77777777" w:rsidR="005E4B62" w:rsidRPr="00264247" w:rsidRDefault="005E4B62" w:rsidP="005E4B62">
      <w:pPr>
        <w:pStyle w:val="Normal12Hanging"/>
        <w:shd w:val="clear" w:color="auto" w:fill="FFFFFF" w:themeFill="background1"/>
        <w:rPr>
          <w:szCs w:val="24"/>
          <w:lang w:val="ro-RO"/>
        </w:rPr>
      </w:pPr>
      <w:r w:rsidRPr="00264247">
        <w:rPr>
          <w:lang w:val="ro-RO"/>
        </w:rPr>
        <w:t>22.</w:t>
      </w:r>
      <w:r w:rsidRPr="00264247">
        <w:rPr>
          <w:lang w:val="ro-RO"/>
        </w:rPr>
        <w:tab/>
        <w:t>subliniază că, conform raportului Curții, în 2022, la fel ca în 2021, Agenția a efectuat plăți pe baza unui contract specific (în valoare de 40 de milioane EUR) care nu a pus în aplicare în mod corespunzător contractul-cadru aferent, deoarece nu a specificat detaliile serviciilor achiziționate (cantități și data livrării); constată că, în temeiul acestui contract, Agenția a plătit 7,5 milioane EUR în 2022; ia act de faptul că, potrivit observațiilor Agenției incluse în nota din 13 noiembrie 2023 intitulată „Descărcarea de gestiune 2022 - Constatările CCE privind eu-LISA. Scurtă prezentare pentru deputații în Parlamentul European”, cauza principală a naturii incomplete a acestui contract, semnat la sfârșitul anului 2018, a fost necesitatea de a menține finanțarea interoperabilității EES-VIS, a cărei planificare bugetară, care nu se află sub controlul Agenției, s-a îndepărtat în mod semnificativ de la legislația relevantă efectiv adoptată; constată că, fără acest contract, suma aferentă, necesară pentru a asigura interoperabilitatea, ar fi fost pierdută; ia act, pe baza răspunsului Agenției la observația Curții, de măsurile corective pe care Agenția le-a luat printr-o modificare a contractului respectiv, prin care a fost adăugată o descriere mai detaliată a serviciilor furnizate; ia act de faptul că Agenția nu a prelungit acest contract, care a expirat în 2022; reamintește, în acest context, că întârzierile repetate în adoptarea și punerea în aplicare a actelor juridice aplicabile sunt factori-cheie pentru determinarea nivelului de detaliere și precizie pe care Agenția îl poate oferi la stabilirea inițială a contractelor-cadru; ia act de abordarea din raportul Agenției privind măsurile luate conform căreia o perioadă mai scurtă de pregătire a actelor de punere în aplicare ar avea un impact direct asupra capacității Agenției de a-și planifica mai bine achizițiile și de a limita modificările contractuale;</w:t>
      </w:r>
    </w:p>
    <w:p w14:paraId="2808CC30" w14:textId="77777777" w:rsidR="005E4B62" w:rsidRPr="00264247" w:rsidRDefault="005E4B62" w:rsidP="005E4B62">
      <w:pPr>
        <w:pStyle w:val="NormalHanging12a"/>
      </w:pPr>
      <w:r w:rsidRPr="00264247">
        <w:t>23.</w:t>
      </w:r>
      <w:r w:rsidRPr="00264247">
        <w:tab/>
        <w:t>constată cu îngrijorare că, potrivit raportului Curții, Agenția a utilizat o procedură negociată pentru a atribui un contract, fără publicarea prealabilă a unui anunț de participare; ia act de faptul că Agenția a justificat această decizie din motive de extremă urgență, neurmând avizul serviciilor juridice și privind achizițiile ale Agenției; ia act de motivele invocate de Curte pentru a explica de ce utilizarea acestei proceduri nu a fost justificată; ia act, cu toate acestea, de răspunsul Agenției potrivit căruia s-ar fi materializat un risc de neîntreținere de mai multe luni deoarece termenele de punere în aplicare a programului EES s-au schimbat în mod oficial ulterior, iar timpul total necesar pentru atribuirea contractului și tranziția către un nou contractant a fost estimat la cel puțin opt luni; consideră, în acest context, că abordarea Agenției a fost rezonabilă; constată că, potrivit răspunsului Agenției, contractul atribuit a expirat între timp;</w:t>
      </w:r>
    </w:p>
    <w:p w14:paraId="748E0B66" w14:textId="77777777" w:rsidR="005E4B62" w:rsidRPr="00264247" w:rsidRDefault="005E4B62" w:rsidP="005E4B62">
      <w:pPr>
        <w:pStyle w:val="Normal12Hanging"/>
        <w:rPr>
          <w:szCs w:val="24"/>
          <w:lang w:val="ro-RO"/>
        </w:rPr>
      </w:pPr>
      <w:r w:rsidRPr="00264247">
        <w:rPr>
          <w:lang w:val="ro-RO"/>
        </w:rPr>
        <w:t>24.</w:t>
      </w:r>
      <w:r w:rsidRPr="00264247">
        <w:rPr>
          <w:lang w:val="ro-RO"/>
        </w:rPr>
        <w:tab/>
        <w:t xml:space="preserve">ia act, de asemenea, de două observații din raportul Curții referitoare la sistemele de gestiune și control ale Agenției; ia act de prima observație privind achiziționarea de hardware (27,7 milioane EUR) pentru care listele de prețuri ale vânzătorilor de hardware nu au fost obținute și nu au fost efectuate verificări ex ante; ia act de a doua observație privind atribuirea unui contract-cadru pentru operațiuni transversale, cu o valoare estimată la 490 de milioane EUR, observație potrivit căreia, pentru șase reuniuni ale comisiei de evaluare, nu a fost păstrat niciun proces-verbal și a fost semnat doar raportul final; invită Agenția să își îmbunătățească sistemele de control intern </w:t>
      </w:r>
      <w:r w:rsidRPr="00264247">
        <w:rPr>
          <w:lang w:val="ro-RO"/>
        </w:rPr>
        <w:lastRenderedPageBreak/>
        <w:t>pentru a evita astfel de deficiențe în viitor;</w:t>
      </w:r>
    </w:p>
    <w:p w14:paraId="08585094" w14:textId="77777777" w:rsidR="005E4B62" w:rsidRPr="00264247" w:rsidRDefault="005E4B62" w:rsidP="005E4B62">
      <w:pPr>
        <w:pStyle w:val="Normal12Hanging"/>
        <w:rPr>
          <w:szCs w:val="24"/>
          <w:lang w:val="ro-RO"/>
        </w:rPr>
      </w:pPr>
      <w:r w:rsidRPr="00264247">
        <w:rPr>
          <w:lang w:val="ro-RO"/>
        </w:rPr>
        <w:t>25.</w:t>
      </w:r>
      <w:r w:rsidRPr="00264247">
        <w:rPr>
          <w:lang w:val="ro-RO"/>
        </w:rPr>
        <w:tab/>
        <w:t>ia act de faptul că Agenția este vizată de opt observații încă „deschise” din rapoartele Curții din anii anteriori (2017, 2018 și 2021); îndeamnă Agenția să închidă aceste observații în cel mai scurt timp și să informeze autoritatea care acordă descărcarea de gestiune cu privire la progresele înregistrate în acest sens;</w:t>
      </w:r>
    </w:p>
    <w:p w14:paraId="3F17EF72" w14:textId="77777777" w:rsidR="005E4B62" w:rsidRPr="00264247" w:rsidRDefault="005E4B62" w:rsidP="005E4B62">
      <w:pPr>
        <w:pStyle w:val="Normal12Hanging"/>
        <w:rPr>
          <w:b/>
          <w:i/>
          <w:szCs w:val="24"/>
          <w:lang w:val="ro-RO"/>
        </w:rPr>
      </w:pPr>
      <w:r w:rsidRPr="00264247">
        <w:rPr>
          <w:b/>
          <w:i/>
          <w:lang w:val="ro-RO"/>
        </w:rPr>
        <w:t>Prevenirea și gestionarea conflictelor de interese și transparența</w:t>
      </w:r>
    </w:p>
    <w:p w14:paraId="1449AC4D" w14:textId="77777777" w:rsidR="005E4B62" w:rsidRPr="00264247" w:rsidRDefault="005E4B62" w:rsidP="005E4B62">
      <w:pPr>
        <w:pStyle w:val="NormalHanging12a"/>
        <w:shd w:val="clear" w:color="auto" w:fill="FFFFFF" w:themeFill="background1"/>
        <w:rPr>
          <w:rFonts w:cstheme="minorHAnsi"/>
        </w:rPr>
      </w:pPr>
      <w:r w:rsidRPr="00264247">
        <w:t>26.</w:t>
      </w:r>
      <w:r w:rsidRPr="00264247">
        <w:tab/>
        <w:t>ia act de faptul că Agenția a pus în aplicare decizii privind prevenirea și gestionarea conflictelor de interese pentru personalul său și privind activitățile externe în timpul și după încheierea activității în cadrul Agenției; salută faptul că toți membrii personalului trebuie să depună declarațiile de interese o dată la doi ani, cu excepția membrilor personalului implicați în circuitele financiare și a personalului cu funcții de conducere de nivel superior, care trebuie să prezinte aceste declarații anual; constată, de asemenea, că toți membrii personalului Agenției au obligația de a depune astfel de declarații în orice moment în care situația lor se schimbă; observă că Agenția publică pe site-ul său declarațiile de interese și CV-urile membrilor personalului cu funcții de conducere de nivel superior; salută faptul că, începând din 2022, sunt publicate atât declarațiile de interese, cât și CV-urile membrilor consiliului de administrație și ale supleanților acestora;</w:t>
      </w:r>
    </w:p>
    <w:p w14:paraId="6963CF2D" w14:textId="77777777" w:rsidR="005E4B62" w:rsidRPr="00264247" w:rsidRDefault="005E4B62" w:rsidP="005E4B62">
      <w:pPr>
        <w:pStyle w:val="NormalHanging12a"/>
      </w:pPr>
      <w:r w:rsidRPr="00264247">
        <w:t>27.</w:t>
      </w:r>
      <w:r w:rsidRPr="00264247">
        <w:tab/>
        <w:t>salută faptul că, în martie 2022, Agenția a adoptat orientările revizuite privind avertizarea în interes public; ia act de declarația Agenției potrivit căreia, în 2022, aceasta a sporit claritatea și vizibilitatea diferitelor canale de comunicare aflate la dispoziția personalului, cum ar fi consilierii confidențiali sau avertizarea în interes public; salută, de asemenea, adoptarea orientărilor privind accesul public la documente; salută intrarea în vigoare, începând din septembrie 2022, a deciziei Agenției 09/08/2022 de creare a unui registru de transparență, în virtutea căreia reuniunile dintre personalul său de conducere de nivel superior și operatorii economici sunt publicate pe site-ul său web;</w:t>
      </w:r>
    </w:p>
    <w:p w14:paraId="350FDCF2" w14:textId="77777777" w:rsidR="005E4B62" w:rsidRPr="00264247" w:rsidRDefault="005E4B62" w:rsidP="005E4B62">
      <w:pPr>
        <w:pStyle w:val="Normal12Hanging"/>
        <w:shd w:val="clear" w:color="auto" w:fill="FFFFFF" w:themeFill="background1"/>
        <w:rPr>
          <w:b/>
          <w:i/>
          <w:szCs w:val="24"/>
          <w:lang w:val="ro-RO"/>
        </w:rPr>
      </w:pPr>
      <w:r w:rsidRPr="00264247">
        <w:rPr>
          <w:b/>
          <w:i/>
          <w:lang w:val="ro-RO"/>
        </w:rPr>
        <w:t>Controlul intern</w:t>
      </w:r>
    </w:p>
    <w:p w14:paraId="3C9C0376" w14:textId="77777777" w:rsidR="005E4B62" w:rsidRPr="00264247" w:rsidRDefault="005E4B62" w:rsidP="005E4B62">
      <w:pPr>
        <w:pStyle w:val="Normal12Hanging"/>
        <w:shd w:val="clear" w:color="auto" w:fill="FFFFFF" w:themeFill="background1"/>
        <w:rPr>
          <w:szCs w:val="24"/>
          <w:lang w:val="ro-RO"/>
        </w:rPr>
      </w:pPr>
      <w:r w:rsidRPr="00264247">
        <w:rPr>
          <w:lang w:val="ro-RO"/>
        </w:rPr>
        <w:t>28.</w:t>
      </w:r>
      <w:r w:rsidRPr="00264247">
        <w:rPr>
          <w:lang w:val="ro-RO"/>
        </w:rPr>
        <w:tab/>
        <w:t>recunoaște importanța auditurilor externe privind respectarea protecției datelor pentru a asigura un nivel ridicat de protecție la prelucrarea datelor cu caracter personal de către Agenție; ia act de faptul că, în 2022, Agenția a monitorizat în permanență punerea în aplicare a recomandărilor identificate în auditurile efectuate de Autoritatea Europeană pentru Protecția Datelor (AEPD) cu privire la SIS, VIS și Eurodac; ia act de faptul că, în 2022, a fost efectuată o nouă inspecție AEPD cu privire la Eurodac, VIS și SIS II, care s-a axat pe guvernanța generală a securității informatice, pe incidentele de securitate și pe încălcările securității datelor, precum și pe metodologia și practicile pentru dezvoltarea și testarea în condiții de siguranță a sistemelor, punând accentul pe gestionarea controlului accesului în diferite medii; constată, pe baza raportului Agenției privind măsurile luate, că statutul auditului AEPD din 2018 privind VIS și SIS este „finalizat”, deoarece toate cele 43 de recomandări au fost finalizate, în timp ce statutul auditului AEPD din 2019 privind Eurodac este „parțial pus în aplicare”, 23 din cele 29 de recomandări fiind finalizate;</w:t>
      </w:r>
    </w:p>
    <w:p w14:paraId="483D8DA6" w14:textId="77777777" w:rsidR="005E4B62" w:rsidRPr="00264247" w:rsidRDefault="005E4B62" w:rsidP="005E4B62">
      <w:pPr>
        <w:pStyle w:val="Normal12Hanging"/>
        <w:shd w:val="clear" w:color="auto" w:fill="FFFFFF" w:themeFill="background1"/>
        <w:rPr>
          <w:szCs w:val="24"/>
          <w:lang w:val="ro-RO"/>
        </w:rPr>
      </w:pPr>
      <w:r w:rsidRPr="00264247">
        <w:rPr>
          <w:lang w:val="ro-RO"/>
        </w:rPr>
        <w:t>29.</w:t>
      </w:r>
      <w:r w:rsidRPr="00264247">
        <w:rPr>
          <w:lang w:val="ro-RO"/>
        </w:rPr>
        <w:tab/>
        <w:t xml:space="preserve">salută autoevaluarea anuală de către Agenție a sistemului său de control intern în 2022, ceea ce a dus la îndeplinirea sau îndeplinirea parțială a 81 % din criteriile de </w:t>
      </w:r>
      <w:r w:rsidRPr="00264247">
        <w:rPr>
          <w:lang w:val="ro-RO"/>
        </w:rPr>
        <w:lastRenderedPageBreak/>
        <w:t xml:space="preserve">monitorizare a controlului intern ale Agenției; constată că concluzia acestei evaluări este că sistemul de control intern este prezent, funcțional și eficace, deși sunt necesare unele îmbunătățiri în ceea ce privește, de exemplu, asigurarea respectării răspunderii, controalele ex ante și gestionarea contractelor; constată că o deficiență majoră în ceea ce privește principiul 10 „Alege și dezvoltă activități de control” în cadrul componentei „Activități de control” persistă în al treilea an la rând; ia act de faptul că, în 2022, Agenția a continuat să își consolideze controalele privind gestionarea informațiilor prin revizuirea politicii Agenției referitoare la conservarea pe termen lung a documentelor și a procedurilor de conservare a documentelor, precum și prin adoptarea unor orientări privind accesul public la documente; invită Agenția să își continue eforturile de reducere a </w:t>
      </w:r>
      <w:r w:rsidRPr="00264247">
        <w:rPr>
          <w:shd w:val="clear" w:color="auto" w:fill="FFFFFF"/>
          <w:lang w:val="ro-RO"/>
        </w:rPr>
        <w:t>deficiențelor din domeniul activităților de control pentru a atenua riscurile legate de realizarea politicilor și a obiectivelor operaționale și de control intern;</w:t>
      </w:r>
    </w:p>
    <w:p w14:paraId="7C6FF397" w14:textId="77777777" w:rsidR="005E4B62" w:rsidRPr="00264247" w:rsidRDefault="005E4B62" w:rsidP="005E4B62">
      <w:pPr>
        <w:pStyle w:val="Normal12Hanging"/>
        <w:shd w:val="clear" w:color="auto" w:fill="FFFFFF" w:themeFill="background1"/>
        <w:rPr>
          <w:szCs w:val="24"/>
          <w:lang w:val="ro-RO"/>
        </w:rPr>
      </w:pPr>
      <w:r w:rsidRPr="00264247">
        <w:rPr>
          <w:lang w:val="ro-RO"/>
        </w:rPr>
        <w:t>30.</w:t>
      </w:r>
      <w:r w:rsidRPr="00264247">
        <w:rPr>
          <w:lang w:val="ro-RO"/>
        </w:rPr>
        <w:tab/>
        <w:t>ia act de faptul că, la sfârșitul anului 2022, rata de punere în aplicare a recomandărilor de audit formulate de diferite organisme de audit și de anchetă era de 63 %, 20 de recomandări fiind puse în aplicare din cele 32 de recomandări restante (12 recomandări depășiseră termenul limită); constată că, în total, la sfârșitul anului 2022 erau deschise 33 de recomandări, trei dintre acestea fiind critice; invită Agenția să transpună în practică recomandările pendinte și să informeze autoritatea care acordă descărcarea de gestiune cu privire la progresele înregistrate;</w:t>
      </w:r>
    </w:p>
    <w:p w14:paraId="6DE0E356" w14:textId="77777777" w:rsidR="005E4B62" w:rsidRPr="00264247" w:rsidRDefault="005E4B62" w:rsidP="005E4B62">
      <w:pPr>
        <w:pStyle w:val="NormalHanging12a"/>
        <w:shd w:val="clear" w:color="auto" w:fill="FFFFFF" w:themeFill="background1"/>
        <w:rPr>
          <w:szCs w:val="24"/>
        </w:rPr>
      </w:pPr>
      <w:r w:rsidRPr="00264247">
        <w:t>31.</w:t>
      </w:r>
      <w:r w:rsidRPr="00264247">
        <w:tab/>
        <w:t>constată că, în 2022, Agenția a solicitat Oficiului European de Luptă Antifraudă (OLAF) să evalueze două cazuri de presupusă fraudă în cadrul procedurilor de recrutare și un caz de posibilă existență a unor activități frauduloase din partea unui membru al personalului; ia act de faptul că, ca răspuns la toate cele trei cereri, OLAF a decis să nu deschidă o investigație; ia act de faptul că, în 2022, Agenția a dat curs recomandărilor din investigațiile OLAF referitoare la cazurile OC/2020/0441/A2 și OC/2017/1121/A2; salută adoptarea strategiei antifraudă a Agenției pentru perioada 2022-2024, împreună cu un plan de acțiune care cuprinde 12 acțiuni;</w:t>
      </w:r>
    </w:p>
    <w:p w14:paraId="677E4144" w14:textId="77777777" w:rsidR="005E4B62" w:rsidRPr="00264247" w:rsidRDefault="005E4B62" w:rsidP="005E4B62">
      <w:pPr>
        <w:pStyle w:val="Normal12Hanging"/>
        <w:shd w:val="clear" w:color="auto" w:fill="FFFFFF" w:themeFill="background1"/>
        <w:rPr>
          <w:b/>
          <w:i/>
          <w:szCs w:val="24"/>
          <w:lang w:val="ro-RO"/>
        </w:rPr>
      </w:pPr>
      <w:r w:rsidRPr="00264247">
        <w:rPr>
          <w:b/>
          <w:i/>
          <w:lang w:val="ro-RO"/>
        </w:rPr>
        <w:t>Altele</w:t>
      </w:r>
    </w:p>
    <w:p w14:paraId="719AC49D" w14:textId="77777777" w:rsidR="005E4B62" w:rsidRPr="00264247" w:rsidRDefault="005E4B62" w:rsidP="005E4B62">
      <w:pPr>
        <w:pStyle w:val="NormalHanging12a"/>
        <w:shd w:val="clear" w:color="auto" w:fill="FFFFFF" w:themeFill="background1"/>
        <w:rPr>
          <w:szCs w:val="24"/>
        </w:rPr>
      </w:pPr>
      <w:r w:rsidRPr="00264247">
        <w:t>32.</w:t>
      </w:r>
      <w:r w:rsidRPr="00264247">
        <w:tab/>
        <w:t>ia act de faptul că, în 2022, Agenția s-a concentrat pe asigurarea vizibilității realizărilor sale și pe creșterea gradului de sensibilizare a publicului cu privire la rolul său în slujba intereselor cetățenilor Uniunii și furnizarea de servicii informatice părților interesate; felicită, în acest context, Agenția pentru finalizarea noului său portal online „Descoperă eu-LISA 2.0”, care le oferă părților interesate o imagine de ansamblu actualizată privind principale sarcini și domenii de activitate ale Agenției, precum și pentru publicarea unei broșuri speciale pentru cea de a 10-a aniversare a sa, marcată de organizarea, în cooperare cu Președinția cehă, a conferinței Agenției intitulată „10 ani în calitate de inimă digitală a spațiului Schengen”, care a găzduit 20 de vorbitori și 388 de participanți; felicită Agenția pentru faptul că a primit în 2022 premiul „Forbes Social Award” pentru inițiativele sale inovatoare și inspiratoare în domeniul comunicării publice, evidențiându-se prin vocația sa etică puternică și utilizarea unor strategii, tehnici și instrumente de comunicare inovatoare; ia act de îmbunătățirea indicatorilor Agenției pe platformele de comunicare socială în 2022;</w:t>
      </w:r>
    </w:p>
    <w:p w14:paraId="59759EFD" w14:textId="77777777" w:rsidR="005E4B62" w:rsidRPr="00264247" w:rsidRDefault="005E4B62" w:rsidP="005E4B62">
      <w:pPr>
        <w:pStyle w:val="NormalHanging12a"/>
        <w:shd w:val="clear" w:color="auto" w:fill="FFFFFF" w:themeFill="background1"/>
        <w:rPr>
          <w:szCs w:val="24"/>
        </w:rPr>
      </w:pPr>
      <w:r w:rsidRPr="00264247">
        <w:t>33.</w:t>
      </w:r>
      <w:r w:rsidRPr="00264247">
        <w:tab/>
        <w:t xml:space="preserve">ia act de faptul că, în 2022, Agenția a adoptat un număr mare de planuri de securitate și de continuitate a activității pentru sistemele sale operaționale de bază, pentru a garanta un nivel mai ridicat de securitate cibernetică și de reziliență, astfel cum este prevăd instrumentele juridice, și a organizat un exercițiu de securitate cibernetică pentru a </w:t>
      </w:r>
      <w:r w:rsidRPr="00264247">
        <w:lastRenderedPageBreak/>
        <w:t>verifica eficacitatea măsurilor de securitate puse în aplicare pentru protecția SIS central; ia act de faptul că Agenția a crescut substanțial nivelul de monitorizare a sistemelor informatice corporative conectate la internet din cauza nivelului crescut de amenințare cibernetică generat de războiul ilegal de agresiune al Rusiei împotriva Ucrainei;</w:t>
      </w:r>
    </w:p>
    <w:p w14:paraId="106135BE" w14:textId="77777777" w:rsidR="005E4B62" w:rsidRPr="00264247" w:rsidRDefault="005E4B62" w:rsidP="005E4B62">
      <w:pPr>
        <w:pStyle w:val="NormalHanging12a"/>
        <w:ind w:left="560" w:hanging="560"/>
      </w:pPr>
      <w:r w:rsidRPr="00264247">
        <w:t>34.</w:t>
      </w:r>
      <w:r w:rsidRPr="00264247">
        <w:tab/>
        <w:t>ia act de continuarea furnizării de servicii de găzduire pentru sistemele de rezervă ale Frontex și ale EUAA; ia act de dezvoltarea și punerea în aplicare a „centrului de date ca serviciu” pentru centralizarea gestionării operaționale, a monitorizării și a planificării capacităților infrastructurii informatice utilizate de sistemele JAI; salută progresele înregistrate în ceea ce privește pregătirile pentru viitorul centru de date modular, care va oferi o capacitate-tampon suplimentară și o creștere cu 50 % a capacității pentru găzduirea de noi sisteme JAI; reamintește importanța respectării legislației Uniunii, în special în ceea ce privește protecția datelor;</w:t>
      </w:r>
    </w:p>
    <w:p w14:paraId="7C5767BA" w14:textId="77777777" w:rsidR="005E4B62" w:rsidRPr="00264247" w:rsidRDefault="005E4B62" w:rsidP="005E4B62">
      <w:pPr>
        <w:pStyle w:val="NormalCenter12a"/>
        <w:shd w:val="clear" w:color="auto" w:fill="FFFFFF" w:themeFill="background1"/>
      </w:pPr>
      <w:r w:rsidRPr="00264247">
        <w:t>°</w:t>
      </w:r>
    </w:p>
    <w:p w14:paraId="40334321" w14:textId="77777777" w:rsidR="005E4B62" w:rsidRPr="00264247" w:rsidRDefault="005E4B62" w:rsidP="005E4B62">
      <w:pPr>
        <w:pStyle w:val="NormalCenter12a"/>
        <w:shd w:val="clear" w:color="auto" w:fill="FFFFFF" w:themeFill="background1"/>
      </w:pPr>
      <w:r w:rsidRPr="00264247">
        <w:t>°</w:t>
      </w:r>
      <w:r w:rsidRPr="00264247">
        <w:tab/>
        <w:t>°</w:t>
      </w:r>
    </w:p>
    <w:p w14:paraId="09A32CDF" w14:textId="5D7FD0FA" w:rsidR="00E365E1" w:rsidRPr="00264247" w:rsidRDefault="005E4B62" w:rsidP="00126EFF">
      <w:pPr>
        <w:pStyle w:val="NormalHanging12a"/>
        <w:shd w:val="clear" w:color="auto" w:fill="FFFFFF" w:themeFill="background1"/>
      </w:pPr>
      <w:r w:rsidRPr="00264247">
        <w:t>35.</w:t>
      </w:r>
      <w:r w:rsidRPr="00264247">
        <w:tab/>
        <w:t xml:space="preserve">face trimitere, pentru alte observații cu caracter orizontal care însoțesc decizia privind descărcarea de gestiune, la rezoluția sa din </w:t>
      </w:r>
      <w:r w:rsidR="00126EFF" w:rsidRPr="00264247">
        <w:t xml:space="preserve">11 aprilie </w:t>
      </w:r>
      <w:r w:rsidRPr="00264247">
        <w:t>2024</w:t>
      </w:r>
      <w:r w:rsidRPr="00264247">
        <w:rPr>
          <w:rStyle w:val="FootnoteReference"/>
        </w:rPr>
        <w:footnoteReference w:id="12"/>
      </w:r>
      <w:r w:rsidRPr="00264247">
        <w:t xml:space="preserve"> referitoare la performanțele, gestiunea financiară și controlul agențiilor.</w:t>
      </w:r>
      <w:bookmarkStart w:id="9" w:name="TextBodyEnd"/>
      <w:bookmarkEnd w:id="9"/>
    </w:p>
    <w:sectPr w:rsidR="00E365E1" w:rsidRPr="00264247" w:rsidSect="002F370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40FF2" w14:textId="77777777" w:rsidR="009038EE" w:rsidRPr="002F3700" w:rsidRDefault="009038EE">
      <w:r w:rsidRPr="002F3700">
        <w:separator/>
      </w:r>
    </w:p>
  </w:endnote>
  <w:endnote w:type="continuationSeparator" w:id="0">
    <w:p w14:paraId="3AD4EDA8" w14:textId="77777777" w:rsidR="009038EE" w:rsidRPr="002F3700" w:rsidRDefault="009038EE">
      <w:r w:rsidRPr="002F37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A2792" w14:textId="77777777" w:rsidR="005E4B62" w:rsidRPr="002F3700" w:rsidRDefault="005E4B62" w:rsidP="00410CC3">
    <w:pPr>
      <w:pStyle w:val="EPFooter"/>
    </w:pPr>
    <w:r w:rsidRPr="002F3700">
      <w:t>PE</w:t>
    </w:r>
    <w:r w:rsidRPr="002F3700">
      <w:rPr>
        <w:rStyle w:val="HideTWBExt"/>
      </w:rPr>
      <w:t>&lt;NoPE&gt;</w:t>
    </w:r>
    <w:r w:rsidRPr="002F3700">
      <w:t>753.534</w:t>
    </w:r>
    <w:r w:rsidRPr="002F3700">
      <w:rPr>
        <w:rStyle w:val="HideTWBExt"/>
      </w:rPr>
      <w:t>&lt;/NoPE&gt;&lt;Version&gt;</w:t>
    </w:r>
    <w:r w:rsidRPr="002F3700">
      <w:t>v02-00</w:t>
    </w:r>
    <w:r w:rsidRPr="002F3700">
      <w:rPr>
        <w:rStyle w:val="HideTWBExt"/>
      </w:rPr>
      <w:t>&lt;/Version&gt;</w:t>
    </w:r>
    <w:r w:rsidRPr="002F3700">
      <w:tab/>
    </w:r>
    <w:r w:rsidRPr="002F3700">
      <w:fldChar w:fldCharType="begin"/>
    </w:r>
    <w:r w:rsidRPr="002F3700">
      <w:instrText xml:space="preserve"> PAGE  \* MERGEFORMAT </w:instrText>
    </w:r>
    <w:r w:rsidRPr="002F3700">
      <w:fldChar w:fldCharType="separate"/>
    </w:r>
    <w:r w:rsidR="002F3700" w:rsidRPr="002F3700">
      <w:rPr>
        <w:noProof/>
      </w:rPr>
      <w:t>2</w:t>
    </w:r>
    <w:r w:rsidRPr="002F3700">
      <w:fldChar w:fldCharType="end"/>
    </w:r>
    <w:r w:rsidRPr="002F3700">
      <w:t>/</w:t>
    </w:r>
    <w:fldSimple w:instr=" NUMPAGES  \* MERGEFORMAT ">
      <w:r w:rsidR="002F3700" w:rsidRPr="002F3700">
        <w:rPr>
          <w:noProof/>
        </w:rPr>
        <w:t>4</w:t>
      </w:r>
    </w:fldSimple>
    <w:r w:rsidRPr="002F3700">
      <w:tab/>
    </w:r>
    <w:r w:rsidRPr="002F3700">
      <w:rPr>
        <w:rStyle w:val="HideTWBExt"/>
      </w:rPr>
      <w:t>&lt;PathFdR&gt;</w:t>
    </w:r>
    <w:r w:rsidRPr="002F3700">
      <w:t>RR\1298800RO.docx</w:t>
    </w:r>
    <w:r w:rsidRPr="002F3700">
      <w:rPr>
        <w:rStyle w:val="HideTWBExt"/>
      </w:rPr>
      <w:t>&lt;/PathFdR&gt;</w:t>
    </w:r>
  </w:p>
  <w:p w14:paraId="44ACFAA2" w14:textId="77777777" w:rsidR="005E4B62" w:rsidRPr="002F3700" w:rsidRDefault="005E4B62" w:rsidP="00410CC3">
    <w:pPr>
      <w:pStyle w:val="EPFooter2"/>
    </w:pPr>
    <w:r w:rsidRPr="002F3700">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BBB40" w14:textId="77777777" w:rsidR="005E4B62" w:rsidRPr="002F3700" w:rsidRDefault="005E4B62" w:rsidP="00410CC3">
    <w:pPr>
      <w:pStyle w:val="EPFooter"/>
    </w:pPr>
    <w:r w:rsidRPr="002F3700">
      <w:rPr>
        <w:rStyle w:val="HideTWBExt"/>
      </w:rPr>
      <w:t>&lt;PathFdR&gt;</w:t>
    </w:r>
    <w:r w:rsidRPr="002F3700">
      <w:t>RR\1298800RO.docx</w:t>
    </w:r>
    <w:r w:rsidRPr="002F3700">
      <w:rPr>
        <w:rStyle w:val="HideTWBExt"/>
      </w:rPr>
      <w:t>&lt;/PathFdR&gt;</w:t>
    </w:r>
    <w:r w:rsidRPr="002F3700">
      <w:tab/>
    </w:r>
    <w:r w:rsidRPr="002F3700">
      <w:tab/>
      <w:t>PE</w:t>
    </w:r>
    <w:r w:rsidRPr="002F3700">
      <w:rPr>
        <w:rStyle w:val="HideTWBExt"/>
      </w:rPr>
      <w:t>&lt;NoPE&gt;</w:t>
    </w:r>
    <w:r w:rsidRPr="002F3700">
      <w:t>753.534</w:t>
    </w:r>
    <w:r w:rsidRPr="002F3700">
      <w:rPr>
        <w:rStyle w:val="HideTWBExt"/>
      </w:rPr>
      <w:t>&lt;/NoPE&gt;&lt;Version&gt;</w:t>
    </w:r>
    <w:r w:rsidRPr="002F3700">
      <w:t>v02-00</w:t>
    </w:r>
    <w:r w:rsidRPr="002F3700">
      <w:rPr>
        <w:rStyle w:val="HideTWBExt"/>
      </w:rPr>
      <w:t>&lt;/Version&gt;</w:t>
    </w:r>
  </w:p>
  <w:p w14:paraId="572B4929" w14:textId="77777777" w:rsidR="005E4B62" w:rsidRPr="002F3700" w:rsidRDefault="005E4B62" w:rsidP="00410CC3">
    <w:pPr>
      <w:pStyle w:val="EPFooter2"/>
    </w:pPr>
    <w:r w:rsidRPr="002F3700">
      <w:t>RO</w:t>
    </w:r>
    <w:r w:rsidRPr="002F3700">
      <w:tab/>
    </w:r>
    <w:r w:rsidRPr="002F3700">
      <w:rPr>
        <w:b w:val="0"/>
        <w:i/>
        <w:color w:val="C0C0C0"/>
        <w:sz w:val="22"/>
      </w:rPr>
      <w:t>Unită în diversitate</w:t>
    </w:r>
    <w:r w:rsidRPr="002F3700">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76B3B" w14:textId="77777777" w:rsidR="00064002" w:rsidRPr="002F370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9ECC0" w14:textId="77777777" w:rsidR="00064002" w:rsidRPr="002F370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E8BC8" w14:textId="77777777" w:rsidR="00064002" w:rsidRPr="002F37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03EAF" w14:textId="77777777" w:rsidR="009038EE" w:rsidRPr="002F3700" w:rsidRDefault="009038EE">
      <w:r w:rsidRPr="002F3700">
        <w:separator/>
      </w:r>
    </w:p>
  </w:footnote>
  <w:footnote w:type="continuationSeparator" w:id="0">
    <w:p w14:paraId="2507BF8F" w14:textId="77777777" w:rsidR="009038EE" w:rsidRPr="002F3700" w:rsidRDefault="009038EE">
      <w:r w:rsidRPr="002F3700">
        <w:continuationSeparator/>
      </w:r>
    </w:p>
  </w:footnote>
  <w:footnote w:id="1">
    <w:p w14:paraId="0AD3D964" w14:textId="77777777" w:rsidR="005E4B62" w:rsidRPr="00264247" w:rsidRDefault="005E4B62" w:rsidP="002F3700">
      <w:pPr>
        <w:pStyle w:val="FootnoteText"/>
        <w:ind w:left="567" w:hanging="567"/>
        <w:rPr>
          <w:sz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C, C/2023/594, 27.10.2023.</w:t>
      </w:r>
    </w:p>
  </w:footnote>
  <w:footnote w:id="2">
    <w:p w14:paraId="7C477D4F" w14:textId="77777777" w:rsidR="005E4B62" w:rsidRPr="00264247" w:rsidRDefault="005E4B62" w:rsidP="002F3700">
      <w:pPr>
        <w:pStyle w:val="FootnoteText"/>
        <w:ind w:left="567" w:hanging="567"/>
        <w:rPr>
          <w:sz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C, C/2023/112, 12.10.2023.</w:t>
      </w:r>
    </w:p>
  </w:footnote>
  <w:footnote w:id="3">
    <w:p w14:paraId="5D9F3170" w14:textId="77777777" w:rsidR="005E4B62" w:rsidRPr="00264247" w:rsidRDefault="005E4B62" w:rsidP="002F3700">
      <w:pPr>
        <w:pStyle w:val="FootnoteText"/>
        <w:ind w:left="567" w:hanging="567"/>
        <w:rPr>
          <w:sz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L 193, 30.7.2018, p. 1.</w:t>
      </w:r>
    </w:p>
  </w:footnote>
  <w:footnote w:id="4">
    <w:p w14:paraId="3F388BB3" w14:textId="77777777" w:rsidR="005E4B62" w:rsidRPr="00264247" w:rsidRDefault="005E4B62" w:rsidP="002F3700">
      <w:pPr>
        <w:pStyle w:val="FootnoteText"/>
        <w:ind w:left="567" w:hanging="567"/>
        <w:rPr>
          <w:sz w:val="24"/>
          <w:szCs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L 295, 21.11.2018, p. 99.</w:t>
      </w:r>
    </w:p>
  </w:footnote>
  <w:footnote w:id="5">
    <w:p w14:paraId="77542F16" w14:textId="77777777" w:rsidR="005E4B62" w:rsidRPr="00264247" w:rsidRDefault="005E4B62" w:rsidP="002F3700">
      <w:pPr>
        <w:pStyle w:val="FootnoteText"/>
        <w:ind w:left="567" w:hanging="567"/>
        <w:rPr>
          <w:sz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L 122, 10.5.2019, p. 1.</w:t>
      </w:r>
    </w:p>
  </w:footnote>
  <w:footnote w:id="6">
    <w:p w14:paraId="739F4FC2" w14:textId="77777777" w:rsidR="005E4B62" w:rsidRPr="00264247" w:rsidRDefault="005E4B62" w:rsidP="002F3700">
      <w:pPr>
        <w:pStyle w:val="FootnoteText"/>
        <w:ind w:left="567" w:hanging="567"/>
        <w:rPr>
          <w:sz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C, C/2023/594, 27.10.2023.</w:t>
      </w:r>
    </w:p>
  </w:footnote>
  <w:footnote w:id="7">
    <w:p w14:paraId="41C3AD8D" w14:textId="77777777" w:rsidR="005E4B62" w:rsidRPr="00264247" w:rsidRDefault="005E4B62" w:rsidP="002F3700">
      <w:pPr>
        <w:pStyle w:val="FootnoteText"/>
        <w:ind w:left="567" w:hanging="567"/>
        <w:rPr>
          <w:sz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C, C/2023/112, 12.10.2023.</w:t>
      </w:r>
    </w:p>
  </w:footnote>
  <w:footnote w:id="8">
    <w:p w14:paraId="0AE5DF9B" w14:textId="77777777" w:rsidR="005E4B62" w:rsidRPr="00264247" w:rsidRDefault="005E4B62" w:rsidP="002F3700">
      <w:pPr>
        <w:pStyle w:val="FootnoteText"/>
        <w:ind w:left="567" w:hanging="567"/>
        <w:rPr>
          <w:sz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L 193, 30.7.2018, p. 1.</w:t>
      </w:r>
    </w:p>
  </w:footnote>
  <w:footnote w:id="9">
    <w:p w14:paraId="2FBFE792" w14:textId="77777777" w:rsidR="005E4B62" w:rsidRPr="00264247" w:rsidRDefault="005E4B62" w:rsidP="002F3700">
      <w:pPr>
        <w:pStyle w:val="FootnoteText"/>
        <w:ind w:left="567" w:hanging="567"/>
        <w:rPr>
          <w:sz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L 295, 21.11.2018, p. 99.</w:t>
      </w:r>
    </w:p>
  </w:footnote>
  <w:footnote w:id="10">
    <w:p w14:paraId="70239099" w14:textId="77777777" w:rsidR="005E4B62" w:rsidRPr="00264247" w:rsidRDefault="005E4B62" w:rsidP="002F3700">
      <w:pPr>
        <w:pStyle w:val="FootnoteText"/>
        <w:ind w:left="567" w:hanging="567"/>
        <w:rPr>
          <w:sz w:val="24"/>
          <w:szCs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JO L 122, 10.5.2019, p. 1.</w:t>
      </w:r>
    </w:p>
  </w:footnote>
  <w:footnote w:id="11">
    <w:p w14:paraId="1F6F1F24" w14:textId="77777777" w:rsidR="005E4B62" w:rsidRPr="00264247" w:rsidRDefault="005E4B62" w:rsidP="002F3700">
      <w:pPr>
        <w:pStyle w:val="FootnoteText"/>
        <w:ind w:left="567" w:hanging="567"/>
        <w:rPr>
          <w:sz w:val="24"/>
          <w:lang w:val="ro-RO"/>
        </w:rPr>
      </w:pPr>
      <w:r w:rsidRPr="00264247">
        <w:rPr>
          <w:sz w:val="24"/>
          <w:vertAlign w:val="superscript"/>
          <w:lang w:val="ro-RO"/>
        </w:rPr>
        <w:footnoteRef/>
      </w:r>
      <w:r w:rsidR="002F3700" w:rsidRPr="00264247">
        <w:rPr>
          <w:sz w:val="24"/>
          <w:lang w:val="ro-RO"/>
        </w:rPr>
        <w:t xml:space="preserve"> </w:t>
      </w:r>
      <w:r w:rsidR="002F3700" w:rsidRPr="00264247">
        <w:rPr>
          <w:sz w:val="24"/>
          <w:lang w:val="ro-RO"/>
        </w:rPr>
        <w:tab/>
      </w:r>
      <w:r w:rsidRPr="00264247">
        <w:rPr>
          <w:sz w:val="24"/>
          <w:lang w:val="ro-RO"/>
        </w:rPr>
        <w:t>JO C 38, 31.1.2023, p. 103.</w:t>
      </w:r>
    </w:p>
  </w:footnote>
  <w:footnote w:id="12">
    <w:p w14:paraId="050A6EBD" w14:textId="0B80E875" w:rsidR="005E4B62" w:rsidRPr="002F3700" w:rsidRDefault="005E4B62" w:rsidP="002F3700">
      <w:pPr>
        <w:pStyle w:val="FootnoteText"/>
        <w:ind w:left="567" w:hanging="567"/>
        <w:rPr>
          <w:sz w:val="24"/>
          <w:lang w:val="ro-RO"/>
        </w:rPr>
      </w:pPr>
      <w:r w:rsidRPr="00264247">
        <w:rPr>
          <w:rStyle w:val="FootnoteReference"/>
          <w:sz w:val="24"/>
          <w:lang w:val="ro-RO"/>
        </w:rPr>
        <w:footnoteRef/>
      </w:r>
      <w:r w:rsidR="002F3700" w:rsidRPr="00264247">
        <w:rPr>
          <w:sz w:val="24"/>
          <w:lang w:val="ro-RO"/>
        </w:rPr>
        <w:t xml:space="preserve"> </w:t>
      </w:r>
      <w:r w:rsidR="002F3700" w:rsidRPr="00264247">
        <w:rPr>
          <w:sz w:val="24"/>
          <w:lang w:val="ro-RO"/>
        </w:rPr>
        <w:tab/>
      </w:r>
      <w:r w:rsidRPr="00264247">
        <w:rPr>
          <w:sz w:val="24"/>
          <w:lang w:val="ro-RO"/>
        </w:rPr>
        <w:t>Texte adoptate, P9_TA(2024)</w:t>
      </w:r>
      <w:r w:rsidR="00264247" w:rsidRPr="00264247">
        <w:rPr>
          <w:sz w:val="24"/>
          <w:lang w:val="ro-RO"/>
        </w:rPr>
        <w:t>0</w:t>
      </w:r>
      <w:r w:rsidR="00264247" w:rsidRPr="00264247">
        <w:rPr>
          <w:sz w:val="24"/>
          <w:lang w:val="ro-RO"/>
        </w:rPr>
        <w:t>280</w:t>
      </w:r>
      <w:r w:rsidRPr="00264247">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26764" w14:textId="77777777" w:rsidR="00064002" w:rsidRPr="002F37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59391" w14:textId="77777777" w:rsidR="00064002" w:rsidRPr="002F37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B2563" w14:textId="77777777" w:rsidR="00064002" w:rsidRPr="002F37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RO"/>
    <w:docVar w:name="dvnumam" w:val="0"/>
    <w:docVar w:name="dvpe" w:val="753.534"/>
    <w:docVar w:name="dvrapporteur" w:val="Raportor: "/>
    <w:docVar w:name="dvtitre" w:val="1. Decizia Parlamentului European din 11 aprilie 2024 privind descărcarea de gestiune pentru execuția bugetului Agenției Uniunii Europene pentru Gestionarea Operațională a Sistemelor Informatice la Scară Largă în Spațiul de Libertate, Securitate și Justiție (eu-LISA) aferent exercițiului financiar 2022(2023/2165(DEC))"/>
  </w:docVars>
  <w:rsids>
    <w:rsidRoot w:val="009038EE"/>
    <w:rsid w:val="00002272"/>
    <w:rsid w:val="00064002"/>
    <w:rsid w:val="000677B9"/>
    <w:rsid w:val="000831BA"/>
    <w:rsid w:val="000A42CC"/>
    <w:rsid w:val="000E7DD9"/>
    <w:rsid w:val="0010095E"/>
    <w:rsid w:val="00125B37"/>
    <w:rsid w:val="00126EFF"/>
    <w:rsid w:val="00187494"/>
    <w:rsid w:val="001F32AE"/>
    <w:rsid w:val="00264247"/>
    <w:rsid w:val="002767FF"/>
    <w:rsid w:val="002B18FE"/>
    <w:rsid w:val="002B5493"/>
    <w:rsid w:val="002F3700"/>
    <w:rsid w:val="00324CF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B62"/>
    <w:rsid w:val="006037C0"/>
    <w:rsid w:val="006631B6"/>
    <w:rsid w:val="00680577"/>
    <w:rsid w:val="006D1A1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8E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192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D2C26"/>
  <w15:chartTrackingRefBased/>
  <w15:docId w15:val="{90C3A581-539E-4685-BC36-3E37ADB07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4B6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4B62"/>
    <w:pPr>
      <w:spacing w:before="480" w:after="240"/>
    </w:pPr>
  </w:style>
  <w:style w:type="paragraph" w:customStyle="1" w:styleId="PageHeading">
    <w:name w:val="PageHeading"/>
    <w:basedOn w:val="Normal"/>
    <w:rsid w:val="005E4B62"/>
    <w:pPr>
      <w:keepNext/>
      <w:spacing w:after="480"/>
      <w:jc w:val="center"/>
    </w:pPr>
    <w:rPr>
      <w:rFonts w:ascii="Arial" w:hAnsi="Arial" w:cs="Arial"/>
      <w:b/>
    </w:rPr>
  </w:style>
  <w:style w:type="paragraph" w:customStyle="1" w:styleId="NormalBold">
    <w:name w:val="NormalBold"/>
    <w:basedOn w:val="Normal"/>
    <w:rsid w:val="005E4B62"/>
    <w:rPr>
      <w:b/>
    </w:rPr>
  </w:style>
  <w:style w:type="paragraph" w:customStyle="1" w:styleId="NormalHanging12a">
    <w:name w:val="NormalHanging12a"/>
    <w:basedOn w:val="Normal"/>
    <w:link w:val="NormalHanging12aChar"/>
    <w:rsid w:val="005E4B62"/>
    <w:pPr>
      <w:spacing w:after="240"/>
      <w:ind w:left="567" w:hanging="567"/>
    </w:pPr>
  </w:style>
  <w:style w:type="paragraph" w:customStyle="1" w:styleId="NormalCenter12a">
    <w:name w:val="NormalCenter12a"/>
    <w:basedOn w:val="Normal"/>
    <w:rsid w:val="005E4B62"/>
    <w:pPr>
      <w:spacing w:after="240"/>
      <w:jc w:val="center"/>
    </w:pPr>
  </w:style>
  <w:style w:type="paragraph" w:styleId="Header">
    <w:name w:val="header"/>
    <w:basedOn w:val="Normal"/>
    <w:link w:val="HeaderChar"/>
    <w:rsid w:val="005E4B62"/>
    <w:pPr>
      <w:tabs>
        <w:tab w:val="center" w:pos="4513"/>
        <w:tab w:val="right" w:pos="9026"/>
      </w:tabs>
    </w:pPr>
  </w:style>
  <w:style w:type="character" w:customStyle="1" w:styleId="HeaderChar">
    <w:name w:val="Header Char"/>
    <w:basedOn w:val="DefaultParagraphFont"/>
    <w:link w:val="Header"/>
    <w:rsid w:val="005E4B62"/>
    <w:rPr>
      <w:sz w:val="24"/>
      <w:lang w:val="ro-RO"/>
    </w:rPr>
  </w:style>
  <w:style w:type="paragraph" w:customStyle="1" w:styleId="EPFooter">
    <w:name w:val="EPFooter"/>
    <w:basedOn w:val="Normal"/>
    <w:rsid w:val="005E4B6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E4B62"/>
    <w:rPr>
      <w:sz w:val="24"/>
      <w:lang w:val="ro-RO"/>
    </w:rPr>
  </w:style>
  <w:style w:type="character" w:customStyle="1" w:styleId="Normal12HangingChar">
    <w:name w:val="Normal12Hanging Char"/>
    <w:link w:val="Normal12Hanging"/>
    <w:locked/>
    <w:rsid w:val="005E4B62"/>
    <w:rPr>
      <w:sz w:val="24"/>
    </w:rPr>
  </w:style>
  <w:style w:type="paragraph" w:customStyle="1" w:styleId="Normal12Hanging">
    <w:name w:val="Normal12Hanging"/>
    <w:basedOn w:val="Normal"/>
    <w:link w:val="Normal12HangingChar"/>
    <w:rsid w:val="005E4B62"/>
    <w:pPr>
      <w:spacing w:after="240"/>
      <w:ind w:left="567" w:hanging="567"/>
    </w:pPr>
    <w:rPr>
      <w:lang w:val="en-GB"/>
    </w:rPr>
  </w:style>
  <w:style w:type="paragraph" w:customStyle="1" w:styleId="Normal24a">
    <w:name w:val="Normal24a"/>
    <w:basedOn w:val="Normal"/>
    <w:rsid w:val="005E4B62"/>
    <w:pPr>
      <w:spacing w:after="480"/>
    </w:pPr>
  </w:style>
  <w:style w:type="paragraph" w:customStyle="1" w:styleId="NormalBoldCenter">
    <w:name w:val="NormalBoldCenter"/>
    <w:basedOn w:val="Normal"/>
    <w:rsid w:val="005E4B62"/>
    <w:pPr>
      <w:jc w:val="center"/>
    </w:pPr>
    <w:rPr>
      <w:b/>
    </w:rPr>
  </w:style>
  <w:style w:type="paragraph" w:customStyle="1" w:styleId="Normal12a">
    <w:name w:val="Normal12a"/>
    <w:basedOn w:val="Normal"/>
    <w:rsid w:val="005E4B62"/>
    <w:pPr>
      <w:spacing w:after="240"/>
    </w:pPr>
  </w:style>
  <w:style w:type="paragraph" w:customStyle="1" w:styleId="PageHeadingNotTOC">
    <w:name w:val="PageHeadingNotTOC"/>
    <w:basedOn w:val="Normal"/>
    <w:rsid w:val="005E4B62"/>
    <w:pPr>
      <w:keepNext/>
      <w:spacing w:after="480"/>
      <w:jc w:val="center"/>
    </w:pPr>
    <w:rPr>
      <w:rFonts w:ascii="Arial" w:hAnsi="Arial" w:cs="Arial"/>
      <w:b/>
    </w:rPr>
  </w:style>
  <w:style w:type="paragraph" w:customStyle="1" w:styleId="RollCallSymbols14pt">
    <w:name w:val="RollCallSymbols14pt"/>
    <w:basedOn w:val="Normal"/>
    <w:rsid w:val="005E4B6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E4B62"/>
    <w:pPr>
      <w:tabs>
        <w:tab w:val="center" w:pos="284"/>
        <w:tab w:val="left" w:pos="426"/>
      </w:tabs>
    </w:pPr>
    <w:rPr>
      <w:snapToGrid w:val="0"/>
      <w:lang w:eastAsia="en-US"/>
    </w:rPr>
  </w:style>
  <w:style w:type="paragraph" w:customStyle="1" w:styleId="RollCallVotes">
    <w:name w:val="RollCallVotes"/>
    <w:basedOn w:val="Normal"/>
    <w:rsid w:val="005E4B62"/>
    <w:pPr>
      <w:spacing w:before="120" w:after="120"/>
      <w:jc w:val="center"/>
    </w:pPr>
    <w:rPr>
      <w:b/>
      <w:bCs/>
      <w:snapToGrid w:val="0"/>
      <w:sz w:val="16"/>
      <w:lang w:eastAsia="en-US"/>
    </w:rPr>
  </w:style>
  <w:style w:type="paragraph" w:customStyle="1" w:styleId="RollCallTable">
    <w:name w:val="RollCallTable"/>
    <w:basedOn w:val="Normal"/>
    <w:rsid w:val="005E4B62"/>
    <w:pPr>
      <w:spacing w:before="120" w:after="120"/>
    </w:pPr>
    <w:rPr>
      <w:snapToGrid w:val="0"/>
      <w:sz w:val="16"/>
      <w:lang w:eastAsia="en-US"/>
    </w:rPr>
  </w:style>
  <w:style w:type="paragraph" w:styleId="Footer">
    <w:name w:val="footer"/>
    <w:basedOn w:val="Normal"/>
    <w:link w:val="FooterChar"/>
    <w:rsid w:val="00C91928"/>
    <w:pPr>
      <w:tabs>
        <w:tab w:val="center" w:pos="4513"/>
        <w:tab w:val="right" w:pos="9026"/>
      </w:tabs>
    </w:pPr>
  </w:style>
  <w:style w:type="character" w:customStyle="1" w:styleId="FooterChar">
    <w:name w:val="Footer Char"/>
    <w:basedOn w:val="DefaultParagraphFont"/>
    <w:link w:val="Footer"/>
    <w:rsid w:val="00C91928"/>
    <w:rPr>
      <w:sz w:val="24"/>
      <w:lang w:val="ro-RO"/>
    </w:rPr>
  </w:style>
  <w:style w:type="character" w:styleId="CommentReference">
    <w:name w:val="annotation reference"/>
    <w:basedOn w:val="DefaultParagraphFont"/>
    <w:rsid w:val="00126EFF"/>
    <w:rPr>
      <w:sz w:val="16"/>
      <w:szCs w:val="16"/>
    </w:rPr>
  </w:style>
  <w:style w:type="paragraph" w:styleId="CommentText">
    <w:name w:val="annotation text"/>
    <w:basedOn w:val="Normal"/>
    <w:link w:val="CommentTextChar"/>
    <w:rsid w:val="00126EFF"/>
    <w:rPr>
      <w:sz w:val="20"/>
    </w:rPr>
  </w:style>
  <w:style w:type="character" w:customStyle="1" w:styleId="CommentTextChar">
    <w:name w:val="Comment Text Char"/>
    <w:basedOn w:val="DefaultParagraphFont"/>
    <w:link w:val="CommentText"/>
    <w:rsid w:val="00126EFF"/>
    <w:rPr>
      <w:lang w:val="ro-RO"/>
    </w:rPr>
  </w:style>
  <w:style w:type="paragraph" w:styleId="CommentSubject">
    <w:name w:val="annotation subject"/>
    <w:basedOn w:val="CommentText"/>
    <w:next w:val="CommentText"/>
    <w:link w:val="CommentSubjectChar"/>
    <w:rsid w:val="00126EFF"/>
    <w:rPr>
      <w:b/>
      <w:bCs/>
    </w:rPr>
  </w:style>
  <w:style w:type="character" w:customStyle="1" w:styleId="CommentSubjectChar">
    <w:name w:val="Comment Subject Char"/>
    <w:basedOn w:val="CommentTextChar"/>
    <w:link w:val="CommentSubject"/>
    <w:rsid w:val="00126EFF"/>
    <w:rPr>
      <w:b/>
      <w:bCs/>
      <w:lang w:val="ro-RO"/>
    </w:rPr>
  </w:style>
  <w:style w:type="paragraph" w:styleId="BalloonText">
    <w:name w:val="Balloon Text"/>
    <w:basedOn w:val="Normal"/>
    <w:link w:val="BalloonTextChar"/>
    <w:rsid w:val="00126EFF"/>
    <w:rPr>
      <w:rFonts w:ascii="Segoe UI" w:hAnsi="Segoe UI" w:cs="Segoe UI"/>
      <w:sz w:val="18"/>
      <w:szCs w:val="18"/>
    </w:rPr>
  </w:style>
  <w:style w:type="character" w:customStyle="1" w:styleId="BalloonTextChar">
    <w:name w:val="Balloon Text Char"/>
    <w:basedOn w:val="DefaultParagraphFont"/>
    <w:link w:val="BalloonText"/>
    <w:rsid w:val="00126EFF"/>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9DA12-D640-4784-BC82-A499A5DCC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6839</Words>
  <Characters>39932</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2024-04-11T14:35:00Z</dcterms:created>
  <dcterms:modified xsi:type="dcterms:W3CDTF">2024-04-11T14:35:00Z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A9-0105/2024</vt:lpwstr>
  </property>
  <property fmtid="{D5CDD505-2E9C-101B-9397-08002B2CF9AE}" pid="4" name="&lt;Type&gt;">
    <vt:lpwstr>RR</vt:lpwstr>
  </property>
</Properties>
</file>