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C32F1" w:rsidTr="0010095E">
        <w:trPr>
          <w:trHeight w:hRule="exact" w:val="1418"/>
        </w:trPr>
        <w:tc>
          <w:tcPr>
            <w:tcW w:w="6804" w:type="dxa"/>
            <w:shd w:val="clear" w:color="auto" w:fill="auto"/>
            <w:vAlign w:val="center"/>
          </w:tcPr>
          <w:p w:rsidR="00751A4A" w:rsidRPr="00CC32F1" w:rsidRDefault="00291A86" w:rsidP="0010095E">
            <w:pPr>
              <w:pStyle w:val="EPName"/>
            </w:pPr>
            <w:r w:rsidRPr="00CC32F1">
              <w:t>Europaparlamentet</w:t>
            </w:r>
          </w:p>
          <w:p w:rsidR="00751A4A" w:rsidRPr="00CC32F1" w:rsidRDefault="00817416" w:rsidP="00756632">
            <w:pPr>
              <w:pStyle w:val="EPTerm"/>
              <w:rPr>
                <w:rStyle w:val="HideTWBExt"/>
                <w:noProof w:val="0"/>
                <w:vanish w:val="0"/>
                <w:color w:val="auto"/>
              </w:rPr>
            </w:pPr>
            <w:r w:rsidRPr="00CC32F1">
              <w:t>2019-2024</w:t>
            </w:r>
          </w:p>
        </w:tc>
        <w:tc>
          <w:tcPr>
            <w:tcW w:w="2268" w:type="dxa"/>
            <w:shd w:val="clear" w:color="auto" w:fill="auto"/>
          </w:tcPr>
          <w:p w:rsidR="00751A4A" w:rsidRPr="00CC32F1" w:rsidRDefault="00187494" w:rsidP="0010095E">
            <w:pPr>
              <w:pStyle w:val="EPLogo"/>
            </w:pPr>
            <w:r w:rsidRPr="00CC32F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C32F1" w:rsidRDefault="00D058B8" w:rsidP="004C5D52">
      <w:pPr>
        <w:pStyle w:val="LineTop"/>
      </w:pPr>
    </w:p>
    <w:p w:rsidR="00680577" w:rsidRPr="00CC32F1" w:rsidRDefault="00291A86" w:rsidP="00680577">
      <w:pPr>
        <w:pStyle w:val="EPBodyTA1"/>
      </w:pPr>
      <w:r w:rsidRPr="00CC32F1">
        <w:t>ANTAGNA TEXTER</w:t>
      </w:r>
    </w:p>
    <w:p w:rsidR="00D058B8" w:rsidRPr="00CC32F1" w:rsidRDefault="00D058B8" w:rsidP="00D058B8">
      <w:pPr>
        <w:pStyle w:val="LineBottom"/>
      </w:pPr>
    </w:p>
    <w:p w:rsidR="00291A86" w:rsidRPr="00CC32F1" w:rsidRDefault="00291A86" w:rsidP="00291A86">
      <w:pPr>
        <w:pStyle w:val="ATHeading1"/>
      </w:pPr>
      <w:bookmarkStart w:id="0" w:name="TANumber"/>
      <w:r w:rsidRPr="00CC32F1">
        <w:t>P9_TA(2024)0</w:t>
      </w:r>
      <w:bookmarkEnd w:id="0"/>
      <w:r w:rsidR="00CC32F1" w:rsidRPr="00CC32F1">
        <w:t>269</w:t>
      </w:r>
    </w:p>
    <w:p w:rsidR="00291A86" w:rsidRPr="00CC32F1" w:rsidRDefault="00291A86" w:rsidP="00291A86">
      <w:pPr>
        <w:pStyle w:val="ATHeading2"/>
      </w:pPr>
      <w:bookmarkStart w:id="1" w:name="title"/>
      <w:r w:rsidRPr="00CC32F1">
        <w:t>Ansvarsfrihet 2022: Europeiska unionens byrå för den operativa förvaltningen av stora it-system inom området frihet, säkerhet och rättvisa (eu-LISA)</w:t>
      </w:r>
      <w:bookmarkEnd w:id="1"/>
    </w:p>
    <w:p w:rsidR="00291A86" w:rsidRPr="00CC32F1" w:rsidRDefault="00291A86" w:rsidP="00291A86">
      <w:pPr>
        <w:rPr>
          <w:i/>
          <w:vanish/>
        </w:rPr>
      </w:pPr>
      <w:r w:rsidRPr="00CC32F1">
        <w:rPr>
          <w:i/>
        </w:rPr>
        <w:fldChar w:fldCharType="begin"/>
      </w:r>
      <w:r w:rsidRPr="00CC32F1">
        <w:rPr>
          <w:i/>
        </w:rPr>
        <w:instrText xml:space="preserve"> TC"(</w:instrText>
      </w:r>
      <w:bookmarkStart w:id="2" w:name="DocNumber"/>
      <w:r w:rsidRPr="00CC32F1">
        <w:rPr>
          <w:i/>
        </w:rPr>
        <w:instrText>A9-0105/2024</w:instrText>
      </w:r>
      <w:bookmarkEnd w:id="2"/>
      <w:r w:rsidRPr="00CC32F1">
        <w:rPr>
          <w:i/>
        </w:rPr>
        <w:instrText xml:space="preserve"> - Föredragande: Petri Sarvamaa)"\l3 \n&gt; \* MERGEFORMAT </w:instrText>
      </w:r>
      <w:r w:rsidRPr="00CC32F1">
        <w:rPr>
          <w:i/>
        </w:rPr>
        <w:fldChar w:fldCharType="end"/>
      </w:r>
    </w:p>
    <w:p w:rsidR="00291A86" w:rsidRPr="00CC32F1" w:rsidRDefault="00291A86" w:rsidP="00291A86">
      <w:pPr>
        <w:rPr>
          <w:vanish/>
        </w:rPr>
      </w:pPr>
      <w:bookmarkStart w:id="3" w:name="Commission"/>
      <w:r w:rsidRPr="00CC32F1">
        <w:rPr>
          <w:vanish/>
        </w:rPr>
        <w:t>Budgetkontrollutskottet</w:t>
      </w:r>
      <w:bookmarkEnd w:id="3"/>
    </w:p>
    <w:p w:rsidR="00291A86" w:rsidRPr="00CC32F1" w:rsidRDefault="00291A86" w:rsidP="00291A86">
      <w:pPr>
        <w:rPr>
          <w:vanish/>
        </w:rPr>
      </w:pPr>
      <w:bookmarkStart w:id="4" w:name="PE"/>
      <w:r w:rsidRPr="00CC32F1">
        <w:rPr>
          <w:vanish/>
        </w:rPr>
        <w:t>PE753.534</w:t>
      </w:r>
      <w:bookmarkEnd w:id="4"/>
    </w:p>
    <w:p w:rsidR="00291A86" w:rsidRPr="00CC32F1" w:rsidRDefault="001D1B2B" w:rsidP="00291A86">
      <w:pPr>
        <w:pStyle w:val="ATHeading3"/>
      </w:pPr>
      <w:bookmarkStart w:id="5" w:name="Sujet"/>
      <w:r w:rsidRPr="00CC32F1">
        <w:t xml:space="preserve">1. </w:t>
      </w:r>
      <w:r w:rsidR="00291A86" w:rsidRPr="00CC32F1">
        <w:t xml:space="preserve">Europaparlamentets beslut av den </w:t>
      </w:r>
      <w:r w:rsidR="00CA54A5" w:rsidRPr="00CC32F1">
        <w:t xml:space="preserve">11 april </w:t>
      </w:r>
      <w:r w:rsidR="00291A86" w:rsidRPr="00CC32F1">
        <w:t>2024 om ansvarsfrihet för genomförandet av budgeten för Europeiska unionens byrå för den operativa förvaltningen av stora it-system inom området frihet, säkerhet och rättvisa (eu-Lisa) för budgetåret 2022</w:t>
      </w:r>
      <w:bookmarkEnd w:id="5"/>
      <w:r w:rsidR="00291A86" w:rsidRPr="00CC32F1">
        <w:t xml:space="preserve"> </w:t>
      </w:r>
      <w:bookmarkStart w:id="6" w:name="References"/>
      <w:r w:rsidR="00291A86" w:rsidRPr="00CC32F1">
        <w:t>(2023/2165(DEC))</w:t>
      </w:r>
      <w:bookmarkEnd w:id="6"/>
    </w:p>
    <w:p w:rsidR="00F62D9E" w:rsidRPr="00CC32F1" w:rsidRDefault="00F62D9E" w:rsidP="00F62D9E">
      <w:pPr>
        <w:pStyle w:val="EPComma"/>
      </w:pPr>
      <w:bookmarkStart w:id="7" w:name="TextBodyBegin"/>
      <w:bookmarkEnd w:id="7"/>
      <w:r w:rsidRPr="00CC32F1">
        <w:rPr>
          <w:i/>
        </w:rPr>
        <w:t>Europaparlamentet fattar detta beslut</w:t>
      </w:r>
    </w:p>
    <w:p w:rsidR="00F62D9E" w:rsidRPr="00CC32F1" w:rsidRDefault="00F62D9E" w:rsidP="00F62D9E">
      <w:pPr>
        <w:pStyle w:val="NormalHanging12a"/>
      </w:pPr>
      <w:r w:rsidRPr="00CC32F1">
        <w:t>–</w:t>
      </w:r>
      <w:r w:rsidRPr="00CC32F1">
        <w:tab/>
        <w:t>med beaktande av den slutliga årsredovisningen för Europeiska unionens byrå för den operativa förvaltningen av stora it-system inom området frihet, säkerhet och rättvisa (eu-Lisa) för budgetåret 2022,</w:t>
      </w:r>
    </w:p>
    <w:p w:rsidR="00F62D9E" w:rsidRPr="00CC32F1" w:rsidRDefault="00F62D9E" w:rsidP="00F62D9E">
      <w:pPr>
        <w:pStyle w:val="NormalHanging12a"/>
      </w:pPr>
      <w:r w:rsidRPr="00CC32F1">
        <w:t>–</w:t>
      </w:r>
      <w:r w:rsidRPr="00CC32F1">
        <w:tab/>
        <w:t>med beaktande av revisionsrättens årsrapport om EU:s byråer för budgetåret 2022, med byråernas svar</w:t>
      </w:r>
      <w:r w:rsidRPr="00CC32F1">
        <w:rPr>
          <w:rStyle w:val="FootnoteReference"/>
        </w:rPr>
        <w:footnoteReference w:id="1"/>
      </w:r>
      <w:r w:rsidRPr="00CC32F1">
        <w:t>,</w:t>
      </w:r>
    </w:p>
    <w:p w:rsidR="00F62D9E" w:rsidRPr="00CC32F1" w:rsidRDefault="00F62D9E" w:rsidP="00F62D9E">
      <w:pPr>
        <w:pStyle w:val="NormalHanging12a"/>
      </w:pPr>
      <w:r w:rsidRPr="00CC32F1">
        <w:t>–</w:t>
      </w:r>
      <w:r w:rsidRPr="00CC32F1">
        <w:tab/>
        <w:t>med beaktande av förklaringen om räkenskapernas tillförlitlighet och de underliggande transaktionernas laglighet och korrekthet</w:t>
      </w:r>
      <w:r w:rsidRPr="00CC32F1">
        <w:rPr>
          <w:rStyle w:val="FootnoteReference"/>
        </w:rPr>
        <w:footnoteReference w:id="2"/>
      </w:r>
      <w:r w:rsidRPr="00CC32F1">
        <w:t>, som avgetts av revisionsrätten för budgetåret 2022 i enlighet med artikel 287 i fördraget om Europeiska unionens funktionssätt,</w:t>
      </w:r>
    </w:p>
    <w:p w:rsidR="00F62D9E" w:rsidRPr="00CC32F1" w:rsidRDefault="00F62D9E" w:rsidP="00F62D9E">
      <w:pPr>
        <w:pStyle w:val="NormalHanging12a"/>
      </w:pPr>
      <w:r w:rsidRPr="00CC32F1">
        <w:t>–</w:t>
      </w:r>
      <w:r w:rsidRPr="00CC32F1">
        <w:tab/>
        <w:t>med beaktande av rådets rekommendation av den 22 februari 2024 om att bevilja byrån ansvarsfrihet för genomförandet av budgeten för budgetåret 2022 (</w:t>
      </w:r>
      <w:r w:rsidR="005A2E10" w:rsidRPr="00CC32F1">
        <w:t>06180</w:t>
      </w:r>
      <w:r w:rsidRPr="00CC32F1">
        <w:t>/2024 – C9</w:t>
      </w:r>
      <w:r w:rsidRPr="00CC32F1">
        <w:noBreakHyphen/>
      </w:r>
      <w:r w:rsidR="005A2E10" w:rsidRPr="00CC32F1">
        <w:t>0103</w:t>
      </w:r>
      <w:r w:rsidRPr="00CC32F1">
        <w:t>/2024),</w:t>
      </w:r>
    </w:p>
    <w:p w:rsidR="00F62D9E" w:rsidRPr="00CC32F1" w:rsidRDefault="00F62D9E" w:rsidP="00F62D9E">
      <w:pPr>
        <w:pStyle w:val="NormalHanging12a"/>
      </w:pPr>
      <w:r w:rsidRPr="00CC32F1">
        <w:t>–</w:t>
      </w:r>
      <w:r w:rsidRPr="00CC32F1">
        <w:tab/>
        <w:t>med beaktande av artikel 319 i fördraget om Europeiska unionens funktionssätt,</w:t>
      </w:r>
    </w:p>
    <w:p w:rsidR="00F62D9E" w:rsidRPr="00CC32F1" w:rsidRDefault="00F62D9E" w:rsidP="00F62D9E">
      <w:pPr>
        <w:pStyle w:val="NormalHanging12a"/>
      </w:pPr>
      <w:r w:rsidRPr="00CC32F1">
        <w:t>–</w:t>
      </w:r>
      <w:r w:rsidRPr="00CC32F1">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CC32F1">
        <w:rPr>
          <w:rStyle w:val="FootnoteReference"/>
        </w:rPr>
        <w:footnoteReference w:id="3"/>
      </w:r>
      <w:r w:rsidRPr="00CC32F1">
        <w:t>, särskilt artikel 70,</w:t>
      </w:r>
    </w:p>
    <w:p w:rsidR="00F62D9E" w:rsidRPr="00CC32F1" w:rsidRDefault="00F62D9E" w:rsidP="00F62D9E">
      <w:pPr>
        <w:pStyle w:val="NormalHanging12a"/>
      </w:pPr>
      <w:r w:rsidRPr="00CC32F1">
        <w:t>–</w:t>
      </w:r>
      <w:r w:rsidRPr="00CC32F1">
        <w:tab/>
        <w:t>med beaktande av Europaparlamentet</w:t>
      </w:r>
      <w:r w:rsidR="00C1318D">
        <w:t xml:space="preserve">s och rådets förordning (EU) </w:t>
      </w:r>
      <w:r w:rsidRPr="00CC32F1">
        <w:t xml:space="preserve">2018/1726 av den 14 november 2018 om Europeiska unionens byrå för den operativa förvaltningen av </w:t>
      </w:r>
      <w:r w:rsidRPr="00CC32F1">
        <w:lastRenderedPageBreak/>
        <w:t>stora it-system inom området frihet, säkerhet och rättvisa (eu-Lisa), om ändring av förordning (EG) nr 1987/2006 och rådets beslut 2007/533/RIF och om upphävande av förordning (EU) nr 1077/2011</w:t>
      </w:r>
      <w:r w:rsidRPr="00CC32F1">
        <w:rPr>
          <w:rStyle w:val="FootnoteReference"/>
        </w:rPr>
        <w:footnoteReference w:id="4"/>
      </w:r>
      <w:r w:rsidRPr="00CC32F1">
        <w:t>, särskilt artikel 47,</w:t>
      </w:r>
    </w:p>
    <w:p w:rsidR="00F62D9E" w:rsidRPr="00CC32F1" w:rsidRDefault="00F62D9E" w:rsidP="00F62D9E">
      <w:pPr>
        <w:pStyle w:val="NormalHanging12a"/>
      </w:pPr>
      <w:r w:rsidRPr="00CC32F1">
        <w:t>–</w:t>
      </w:r>
      <w:r w:rsidRPr="00CC32F1">
        <w:tab/>
        <w:t>med beaktande av kommissionens delegerade förordning (EU) 2019/715 av den 18 december 2018 med rambudgetförordning för de organ som inrättats enligt EUF</w:t>
      </w:r>
      <w:r w:rsidRPr="00CC32F1">
        <w:noBreakHyphen/>
        <w:t>fördraget och Euratomfördraget och som avses i artikel 70 i Europaparlamentets och rådets förordning (EU, Euratom) 2018/1046</w:t>
      </w:r>
      <w:r w:rsidRPr="00CC32F1">
        <w:rPr>
          <w:rStyle w:val="FootnoteReference"/>
        </w:rPr>
        <w:footnoteReference w:id="5"/>
      </w:r>
      <w:r w:rsidRPr="00CC32F1">
        <w:t>, särskilt artikel 105,</w:t>
      </w:r>
    </w:p>
    <w:p w:rsidR="00F62D9E" w:rsidRPr="00CC32F1" w:rsidRDefault="00F62D9E" w:rsidP="00F62D9E">
      <w:pPr>
        <w:pStyle w:val="NormalHanging12a"/>
      </w:pPr>
      <w:r w:rsidRPr="00CC32F1">
        <w:t>–</w:t>
      </w:r>
      <w:r w:rsidRPr="00CC32F1">
        <w:tab/>
        <w:t>med beaktande av artikel 100 och bilaga V i arbetsordningen,</w:t>
      </w:r>
    </w:p>
    <w:p w:rsidR="00F62D9E" w:rsidRPr="00CC32F1" w:rsidRDefault="00F62D9E" w:rsidP="00F62D9E">
      <w:pPr>
        <w:pStyle w:val="NormalHanging12a"/>
      </w:pPr>
      <w:r w:rsidRPr="00CC32F1">
        <w:t>–</w:t>
      </w:r>
      <w:r w:rsidRPr="00CC32F1">
        <w:tab/>
        <w:t>med beaktande av yttrandet från utskottet för medborgerliga fri- och rättigheter samt rättsliga och inrikes frågor,</w:t>
      </w:r>
    </w:p>
    <w:p w:rsidR="00F62D9E" w:rsidRPr="00CC32F1" w:rsidRDefault="00F62D9E" w:rsidP="00F62D9E">
      <w:pPr>
        <w:pStyle w:val="NormalHanging12a"/>
      </w:pPr>
      <w:r w:rsidRPr="00CC32F1">
        <w:t>–</w:t>
      </w:r>
      <w:r w:rsidRPr="00CC32F1">
        <w:tab/>
        <w:t>med beaktande av betänkandet från budgetkontrollutskottet (A9-0105/2024).</w:t>
      </w:r>
    </w:p>
    <w:p w:rsidR="00F62D9E" w:rsidRPr="00CC32F1" w:rsidRDefault="00F62D9E" w:rsidP="00F62D9E">
      <w:pPr>
        <w:pStyle w:val="NormalHanging12a"/>
      </w:pPr>
      <w:r w:rsidRPr="00CC32F1">
        <w:t>1.</w:t>
      </w:r>
      <w:r w:rsidRPr="00CC32F1">
        <w:tab/>
        <w:t>Europaparlamentet beviljar verkställande direktören för Europeiska unionens byrå för den operativa förvaltningen av stora it-system inom området frihet, säkerhet och rättvisa (eu-Lisa) ansvarsfrihet för genomförandet av byråns budget för budgetåret 2022.</w:t>
      </w:r>
    </w:p>
    <w:p w:rsidR="00F62D9E" w:rsidRPr="00CC32F1" w:rsidRDefault="00F62D9E" w:rsidP="00F62D9E">
      <w:pPr>
        <w:pStyle w:val="NormalHanging12a"/>
      </w:pPr>
      <w:r w:rsidRPr="00CC32F1">
        <w:t>2.</w:t>
      </w:r>
      <w:r w:rsidRPr="00CC32F1">
        <w:tab/>
        <w:t>Europaparlamentet redovisar sina iakttagelser i resolutionen nedan.</w:t>
      </w:r>
    </w:p>
    <w:p w:rsidR="00F62D9E" w:rsidRPr="00CC32F1" w:rsidRDefault="00F62D9E" w:rsidP="00F62D9E">
      <w:pPr>
        <w:pStyle w:val="NormalHanging12a"/>
      </w:pPr>
      <w:r w:rsidRPr="00CC32F1">
        <w:t>3.</w:t>
      </w:r>
      <w:r w:rsidRPr="00CC32F1">
        <w:tab/>
        <w:t xml:space="preserve">Europaparlamentet uppdrar åt talmannen att översända detta beslut och den resolution som utgör en del av beslutet till verkställande direktören för Europeiska unionens byrå för den operativa förvaltningen av stora it-system inom området frihet, säkerhet och rättvisa (eu-Lisa), rådet, kommissionen och revisionsrätten, och att se till att de offentliggörs i </w:t>
      </w:r>
      <w:r w:rsidRPr="00CC32F1">
        <w:rPr>
          <w:i/>
          <w:iCs/>
        </w:rPr>
        <w:t>Europeiska unionens officiella tidning</w:t>
      </w:r>
      <w:r w:rsidRPr="00CC32F1">
        <w:t xml:space="preserve"> (L-serien).</w:t>
      </w:r>
    </w:p>
    <w:p w:rsidR="00F62D9E" w:rsidRPr="00CC32F1" w:rsidRDefault="00F62D9E" w:rsidP="00F62D9E"/>
    <w:p w:rsidR="00F62D9E" w:rsidRPr="00CC32F1" w:rsidRDefault="00F62D9E" w:rsidP="00F62D9E">
      <w:pPr>
        <w:widowControl/>
        <w:rPr>
          <w:rFonts w:ascii="Arial" w:hAnsi="Arial" w:cs="Arial"/>
          <w:b/>
        </w:rPr>
        <w:sectPr w:rsidR="00F62D9E" w:rsidRPr="00CC32F1" w:rsidSect="00D936E7">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F62D9E" w:rsidRPr="00CC32F1" w:rsidRDefault="00CA54A5" w:rsidP="00CA54A5">
      <w:pPr>
        <w:pStyle w:val="ATHeading3"/>
      </w:pPr>
      <w:r w:rsidRPr="00CC32F1">
        <w:lastRenderedPageBreak/>
        <w:t xml:space="preserve">2. Europaparlamentets beslut av den 11 april 2024 </w:t>
      </w:r>
      <w:r w:rsidR="00F62D9E" w:rsidRPr="00CC32F1">
        <w:t>om avslutandet av räkenskaperna för Europeiska unionens byrå för den operativa förvaltningen av stora it-system inom området frihet, säkerhet och rättvisa (eu-Lisa) för budgetåret 2022</w:t>
      </w:r>
      <w:r w:rsidRPr="00CC32F1">
        <w:t xml:space="preserve"> </w:t>
      </w:r>
      <w:r w:rsidR="00F62D9E" w:rsidRPr="00CC32F1">
        <w:t>(2023/2165(DEC))</w:t>
      </w:r>
    </w:p>
    <w:p w:rsidR="00F62D9E" w:rsidRPr="00CC32F1" w:rsidRDefault="00F62D9E" w:rsidP="00F62D9E">
      <w:pPr>
        <w:pStyle w:val="EPComma"/>
      </w:pPr>
      <w:r w:rsidRPr="00CC32F1">
        <w:rPr>
          <w:i/>
          <w:iCs/>
        </w:rPr>
        <w:t>Europaparlamentet fattar detta beslut</w:t>
      </w:r>
    </w:p>
    <w:p w:rsidR="00F62D9E" w:rsidRPr="00CC32F1" w:rsidRDefault="00F62D9E" w:rsidP="00F62D9E">
      <w:pPr>
        <w:pStyle w:val="NormalHanging12a"/>
      </w:pPr>
      <w:r w:rsidRPr="00CC32F1">
        <w:t>–</w:t>
      </w:r>
      <w:r w:rsidRPr="00CC32F1">
        <w:tab/>
        <w:t>med beaktande av den slutliga årsredovisningen för Europeiska unionens byrå för den operativa förvaltningen av stora it-system inom området frihet, säkerhet och rättvisa (eu-Lisa) för budgetåret 2022,</w:t>
      </w:r>
    </w:p>
    <w:p w:rsidR="00F62D9E" w:rsidRPr="00CC32F1" w:rsidRDefault="00F62D9E" w:rsidP="00F62D9E">
      <w:pPr>
        <w:pStyle w:val="NormalHanging12a"/>
      </w:pPr>
      <w:r w:rsidRPr="00CC32F1">
        <w:t>–</w:t>
      </w:r>
      <w:r w:rsidRPr="00CC32F1">
        <w:tab/>
        <w:t>med beaktande av revisionsrättens årsrapport om EU:s byråer för budgetåret 2022, med byråernas svar</w:t>
      </w:r>
      <w:r w:rsidRPr="00CC32F1">
        <w:rPr>
          <w:rStyle w:val="FootnoteReference"/>
        </w:rPr>
        <w:footnoteReference w:id="6"/>
      </w:r>
      <w:r w:rsidRPr="00CC32F1">
        <w:t>,</w:t>
      </w:r>
    </w:p>
    <w:p w:rsidR="00F62D9E" w:rsidRPr="00CC32F1" w:rsidRDefault="00F62D9E" w:rsidP="00F62D9E">
      <w:pPr>
        <w:pStyle w:val="NormalHanging12a"/>
      </w:pPr>
      <w:r w:rsidRPr="00CC32F1">
        <w:t>–</w:t>
      </w:r>
      <w:r w:rsidRPr="00CC32F1">
        <w:tab/>
        <w:t>med beaktande av förklaringen om räkenskapernas tillförlitlighet och de underliggande transaktionernas laglighet och korrekthet</w:t>
      </w:r>
      <w:r w:rsidRPr="00CC32F1">
        <w:rPr>
          <w:rStyle w:val="FootnoteReference"/>
        </w:rPr>
        <w:footnoteReference w:id="7"/>
      </w:r>
      <w:r w:rsidRPr="00CC32F1">
        <w:t>, som avgetts av revisionsrätten för budgetåret 2022 i enlighet med artikel 287 i fördraget om Europeiska unionens funktionssätt,</w:t>
      </w:r>
    </w:p>
    <w:p w:rsidR="00F62D9E" w:rsidRPr="00CC32F1" w:rsidRDefault="00F62D9E" w:rsidP="00F62D9E">
      <w:pPr>
        <w:pStyle w:val="NormalHanging12a"/>
      </w:pPr>
      <w:r w:rsidRPr="00CC32F1">
        <w:t>–</w:t>
      </w:r>
      <w:r w:rsidRPr="00CC32F1">
        <w:tab/>
        <w:t>med beaktande av rådets rekommendation av den 22 februari 2024 om att bevilja byrån ansvarsfrihet för genomförandet av budgeten för budgetåret 2022 (</w:t>
      </w:r>
      <w:r w:rsidR="005A2E10" w:rsidRPr="00CC32F1">
        <w:t>06180</w:t>
      </w:r>
      <w:r w:rsidRPr="00CC32F1">
        <w:t>/2024 – C9</w:t>
      </w:r>
      <w:r w:rsidRPr="00CC32F1">
        <w:noBreakHyphen/>
      </w:r>
      <w:r w:rsidR="005A2E10" w:rsidRPr="00CC32F1">
        <w:t>0103</w:t>
      </w:r>
      <w:r w:rsidRPr="00CC32F1">
        <w:t>/2024),</w:t>
      </w:r>
    </w:p>
    <w:p w:rsidR="00F62D9E" w:rsidRPr="00CC32F1" w:rsidRDefault="00F62D9E" w:rsidP="00F62D9E">
      <w:pPr>
        <w:pStyle w:val="NormalHanging12a"/>
      </w:pPr>
      <w:r w:rsidRPr="00CC32F1">
        <w:t>–</w:t>
      </w:r>
      <w:r w:rsidRPr="00CC32F1">
        <w:tab/>
        <w:t>med beaktande av artikel 319 i fördraget om Europeiska unionens funktionssätt,</w:t>
      </w:r>
    </w:p>
    <w:p w:rsidR="00F62D9E" w:rsidRPr="00CC32F1" w:rsidRDefault="00F62D9E" w:rsidP="00F62D9E">
      <w:pPr>
        <w:pStyle w:val="NormalHanging12a"/>
      </w:pPr>
      <w:r w:rsidRPr="00CC32F1">
        <w:t>–</w:t>
      </w:r>
      <w:r w:rsidRPr="00CC32F1">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CC32F1">
        <w:rPr>
          <w:rStyle w:val="FootnoteReference"/>
        </w:rPr>
        <w:footnoteReference w:id="8"/>
      </w:r>
      <w:r w:rsidRPr="00CC32F1">
        <w:t>, särskilt artikel 70,</w:t>
      </w:r>
    </w:p>
    <w:p w:rsidR="00F62D9E" w:rsidRPr="00CC32F1" w:rsidRDefault="00F62D9E" w:rsidP="00F62D9E">
      <w:pPr>
        <w:pStyle w:val="NormalHanging12a"/>
      </w:pPr>
      <w:r w:rsidRPr="00CC32F1">
        <w:t>–</w:t>
      </w:r>
      <w:r w:rsidRPr="00CC32F1">
        <w:tab/>
        <w:t>med beaktande av Europaparlamentets och råd</w:t>
      </w:r>
      <w:r w:rsidR="00C1318D">
        <w:t xml:space="preserve">ets förordning (EU) </w:t>
      </w:r>
      <w:bookmarkStart w:id="8" w:name="_GoBack"/>
      <w:bookmarkEnd w:id="8"/>
      <w:r w:rsidRPr="00CC32F1">
        <w:t>2018/1726 av den 14 november 2018 om Europeiska unionens byrå för den operativa förvaltningen av stora it-system inom området frihet, säkerhet och rättvisa (eu-Lisa), om ändring av förordning (EG) nr 1987/2006 och rådets beslut 2007/533/RIF och om upphävande av förordning (EU) nr 1077/2011</w:t>
      </w:r>
      <w:r w:rsidRPr="00CC32F1">
        <w:rPr>
          <w:rStyle w:val="FootnoteReference"/>
        </w:rPr>
        <w:footnoteReference w:id="9"/>
      </w:r>
      <w:r w:rsidRPr="00CC32F1">
        <w:t>, särskilt artikel 47,</w:t>
      </w:r>
    </w:p>
    <w:p w:rsidR="00F62D9E" w:rsidRPr="00CC32F1" w:rsidRDefault="00F62D9E" w:rsidP="00F62D9E">
      <w:pPr>
        <w:pStyle w:val="NormalHanging12a"/>
      </w:pPr>
      <w:r w:rsidRPr="00CC32F1">
        <w:t>–</w:t>
      </w:r>
      <w:r w:rsidRPr="00CC32F1">
        <w:tab/>
        <w:t>med beaktande av kommissionens delegerade förordning (EU) 2019/715 av den 18 december 2018 med rambudgetförordning för de organ som inrättats enligt EUF</w:t>
      </w:r>
      <w:r w:rsidRPr="00CC32F1">
        <w:noBreakHyphen/>
        <w:t>fördraget och Euratomfördraget och som avses i artikel 70 i Europaparlamentets och rådets förordning (EU, Euratom) 2018/1046</w:t>
      </w:r>
      <w:r w:rsidRPr="00CC32F1">
        <w:rPr>
          <w:rStyle w:val="FootnoteReference"/>
        </w:rPr>
        <w:footnoteReference w:id="10"/>
      </w:r>
      <w:r w:rsidRPr="00CC32F1">
        <w:t>, särskilt artikel 105,</w:t>
      </w:r>
    </w:p>
    <w:p w:rsidR="00F62D9E" w:rsidRPr="00CC32F1" w:rsidRDefault="00F62D9E" w:rsidP="00F62D9E">
      <w:pPr>
        <w:pStyle w:val="NormalHanging12a"/>
      </w:pPr>
      <w:r w:rsidRPr="00CC32F1">
        <w:t>–</w:t>
      </w:r>
      <w:r w:rsidRPr="00CC32F1">
        <w:tab/>
        <w:t>med beaktande av artikel 100 och bilaga V i arbetsordningen,</w:t>
      </w:r>
    </w:p>
    <w:p w:rsidR="00F62D9E" w:rsidRPr="00CC32F1" w:rsidRDefault="00F62D9E" w:rsidP="00F62D9E">
      <w:pPr>
        <w:pStyle w:val="NormalHanging12a"/>
      </w:pPr>
      <w:r w:rsidRPr="00CC32F1">
        <w:t>–</w:t>
      </w:r>
      <w:r w:rsidRPr="00CC32F1">
        <w:tab/>
        <w:t>med beaktande av yttrandet från utskottet för medborgerliga fri- och rättigheter samt rättsliga och inrikes frågor,</w:t>
      </w:r>
    </w:p>
    <w:p w:rsidR="00F62D9E" w:rsidRPr="00CC32F1" w:rsidRDefault="00F62D9E" w:rsidP="00F62D9E">
      <w:pPr>
        <w:pStyle w:val="NormalHanging12a"/>
      </w:pPr>
      <w:r w:rsidRPr="00CC32F1">
        <w:lastRenderedPageBreak/>
        <w:t>–</w:t>
      </w:r>
      <w:r w:rsidRPr="00CC32F1">
        <w:tab/>
        <w:t>med beaktande av betänkandet från budgetkontrollutskottet (A9-0105/2024).</w:t>
      </w:r>
    </w:p>
    <w:p w:rsidR="00F62D9E" w:rsidRPr="00CC32F1" w:rsidRDefault="00F62D9E" w:rsidP="00F62D9E">
      <w:pPr>
        <w:pStyle w:val="NormalHanging12a"/>
      </w:pPr>
      <w:r w:rsidRPr="00CC32F1">
        <w:t>1.</w:t>
      </w:r>
      <w:r w:rsidRPr="00CC32F1">
        <w:tab/>
        <w:t>Europaparlamentet godkänner avslutandet av räkenskaperna för Europeiska unionens byrå för den operativa förvaltningen av stora it-system inom området frihet, säkerhet och rättvisa (eu-Lisa) för budgetåret 2022.</w:t>
      </w:r>
    </w:p>
    <w:p w:rsidR="00F62D9E" w:rsidRPr="00CC32F1" w:rsidRDefault="00F62D9E" w:rsidP="00F62D9E">
      <w:pPr>
        <w:pStyle w:val="NormalHanging12a"/>
      </w:pPr>
      <w:r w:rsidRPr="00CC32F1">
        <w:t>2.</w:t>
      </w:r>
      <w:r w:rsidRPr="00CC32F1">
        <w:tab/>
        <w:t>Europaparlamentet uppdrar åt talmannen att översända detta beslut till verkställande direktören för Europeiska unionens byrå för den operativa förvaltningen av stora it</w:t>
      </w:r>
      <w:r w:rsidRPr="00CC32F1">
        <w:noBreakHyphen/>
        <w:t xml:space="preserve">system inom området frihet, säkerhet och rättvisa (eu-Lisa), rådet, kommissionen och revisionsrätten samt att se till att det offentliggörs i </w:t>
      </w:r>
      <w:r w:rsidRPr="00CC32F1">
        <w:rPr>
          <w:i/>
          <w:iCs/>
        </w:rPr>
        <w:t>Europeiska unionens officiella tidning</w:t>
      </w:r>
      <w:r w:rsidRPr="00CC32F1">
        <w:t xml:space="preserve"> (L-serien).</w:t>
      </w:r>
    </w:p>
    <w:p w:rsidR="00F62D9E" w:rsidRPr="00CC32F1" w:rsidRDefault="00F62D9E" w:rsidP="00F62D9E"/>
    <w:p w:rsidR="00F62D9E" w:rsidRPr="00CC32F1" w:rsidRDefault="00F62D9E" w:rsidP="00F62D9E">
      <w:pPr>
        <w:widowControl/>
        <w:rPr>
          <w:rFonts w:ascii="Arial" w:hAnsi="Arial" w:cs="Arial"/>
          <w:b/>
        </w:rPr>
        <w:sectPr w:rsidR="00F62D9E" w:rsidRPr="00CC32F1" w:rsidSect="00D936E7">
          <w:footnotePr>
            <w:numRestart w:val="eachPage"/>
          </w:footnotePr>
          <w:endnotePr>
            <w:numFmt w:val="decimal"/>
          </w:endnotePr>
          <w:pgSz w:w="11906" w:h="16838"/>
          <w:pgMar w:top="1134" w:right="1418" w:bottom="1418" w:left="1418" w:header="567" w:footer="567" w:gutter="0"/>
          <w:cols w:space="720"/>
          <w:docGrid w:linePitch="326"/>
        </w:sectPr>
      </w:pPr>
    </w:p>
    <w:p w:rsidR="00F62D9E" w:rsidRPr="00CC32F1" w:rsidRDefault="00CA54A5" w:rsidP="00CA54A5">
      <w:pPr>
        <w:pStyle w:val="ATHeading3"/>
      </w:pPr>
      <w:r w:rsidRPr="00CC32F1">
        <w:lastRenderedPageBreak/>
        <w:t xml:space="preserve">3. Europaparlamentets resolution av den </w:t>
      </w:r>
      <w:r w:rsidR="001F6B20" w:rsidRPr="00CC32F1">
        <w:t xml:space="preserve">11 april </w:t>
      </w:r>
      <w:r w:rsidRPr="00CC32F1">
        <w:t xml:space="preserve">2024 </w:t>
      </w:r>
      <w:r w:rsidR="00F62D9E" w:rsidRPr="00CC32F1">
        <w:t>med de iakttagelser som utgör en del av beslutet om ansvarsfrihet för genomförandet av budgeten för Europeiska unionens byrå för den operativa förvaltningen av stora it</w:t>
      </w:r>
      <w:r w:rsidR="00F62D9E" w:rsidRPr="00CC32F1">
        <w:noBreakHyphen/>
        <w:t>system inom området frihet, säkerhet och rättvisa (eu-Lisa) för budgetåret 2022</w:t>
      </w:r>
      <w:r w:rsidRPr="00CC32F1">
        <w:t xml:space="preserve"> </w:t>
      </w:r>
      <w:r w:rsidR="00F62D9E" w:rsidRPr="00CC32F1">
        <w:t>(2023/2165(DEC))</w:t>
      </w:r>
    </w:p>
    <w:p w:rsidR="00F62D9E" w:rsidRPr="00CC32F1" w:rsidRDefault="00F62D9E" w:rsidP="00F62D9E">
      <w:pPr>
        <w:pStyle w:val="EPComma"/>
      </w:pPr>
      <w:r w:rsidRPr="00CC32F1">
        <w:rPr>
          <w:i/>
          <w:iCs/>
        </w:rPr>
        <w:t>Europaparlamentet utfärdar denna resolution</w:t>
      </w:r>
    </w:p>
    <w:p w:rsidR="00F62D9E" w:rsidRPr="00CC32F1" w:rsidRDefault="00F62D9E" w:rsidP="00F62D9E">
      <w:pPr>
        <w:pStyle w:val="NormalHanging12a"/>
      </w:pPr>
      <w:r w:rsidRPr="00CC32F1">
        <w:t>–</w:t>
      </w:r>
      <w:r w:rsidRPr="00CC32F1">
        <w:tab/>
        <w:t>med beaktande av sitt beslut om ansvarsfrihet för genomförandet av budgeten för Europeiska unionens byrå för den operativa förvaltningen av stora it-system inom området frihet, säkerhet och rättvisa (eu-Lisa) för budgetåret 2022,</w:t>
      </w:r>
    </w:p>
    <w:p w:rsidR="00F62D9E" w:rsidRPr="00CC32F1" w:rsidRDefault="00F62D9E" w:rsidP="00F62D9E">
      <w:pPr>
        <w:pStyle w:val="NormalHanging12a"/>
      </w:pPr>
      <w:r w:rsidRPr="00CC32F1">
        <w:t>–</w:t>
      </w:r>
      <w:r w:rsidRPr="00CC32F1">
        <w:tab/>
        <w:t>med beaktande av artikel 100 och bilaga V i arbetsordningen,</w:t>
      </w:r>
    </w:p>
    <w:p w:rsidR="00F62D9E" w:rsidRPr="00CC32F1" w:rsidRDefault="00F62D9E" w:rsidP="00F62D9E">
      <w:pPr>
        <w:pStyle w:val="NormalHanging12a"/>
      </w:pPr>
      <w:r w:rsidRPr="00CC32F1">
        <w:t>–</w:t>
      </w:r>
      <w:r w:rsidRPr="00CC32F1">
        <w:tab/>
        <w:t>med beaktande av yttrandet från utskottet för medborgerliga fri- och rättigheter samt rättsliga och inrikes frågor,</w:t>
      </w:r>
    </w:p>
    <w:p w:rsidR="00F62D9E" w:rsidRPr="00CC32F1" w:rsidRDefault="00F62D9E" w:rsidP="00F62D9E">
      <w:pPr>
        <w:pStyle w:val="NormalHanging12a"/>
      </w:pPr>
      <w:r w:rsidRPr="00CC32F1">
        <w:t>–</w:t>
      </w:r>
      <w:r w:rsidRPr="00CC32F1">
        <w:tab/>
        <w:t>med beaktande av betänkandet från budgetkontrollutskottet (A9-0105/2024), och av följande skäl:</w:t>
      </w:r>
    </w:p>
    <w:p w:rsidR="00F62D9E" w:rsidRPr="00CC32F1" w:rsidRDefault="00F62D9E" w:rsidP="00F62D9E">
      <w:pPr>
        <w:pStyle w:val="Normal12Hanging"/>
        <w:shd w:val="clear" w:color="auto" w:fill="FFFFFF" w:themeFill="background1"/>
        <w:rPr>
          <w:szCs w:val="24"/>
          <w:lang w:val="sv-SE"/>
        </w:rPr>
      </w:pPr>
      <w:r w:rsidRPr="00CC32F1">
        <w:rPr>
          <w:lang w:val="sv-SE"/>
        </w:rPr>
        <w:t>A.</w:t>
      </w:r>
      <w:r w:rsidRPr="00CC32F1">
        <w:rPr>
          <w:lang w:val="sv-SE"/>
        </w:rPr>
        <w:tab/>
        <w:t>Enligt sammanställningen över inkomster och utgifter för Europeiska unionens byrå för den operativa förvaltningen av stora it‑system inom området frihet, säkerhet och rättvisa (eu-LISA)</w:t>
      </w:r>
      <w:r w:rsidRPr="00CC32F1">
        <w:rPr>
          <w:szCs w:val="24"/>
          <w:vertAlign w:val="superscript"/>
          <w:lang w:val="sv-SE"/>
        </w:rPr>
        <w:footnoteReference w:id="11"/>
      </w:r>
      <w:r w:rsidRPr="00CC32F1">
        <w:rPr>
          <w:lang w:val="sv-SE"/>
        </w:rPr>
        <w:t xml:space="preserve"> (</w:t>
      </w:r>
      <w:r w:rsidRPr="00CC32F1">
        <w:rPr>
          <w:i/>
          <w:iCs/>
          <w:lang w:val="sv-SE"/>
        </w:rPr>
        <w:t>byrån</w:t>
      </w:r>
      <w:r w:rsidRPr="00CC32F1">
        <w:rPr>
          <w:lang w:val="sv-SE"/>
        </w:rPr>
        <w:t>) uppgick byråns slutliga budget för budgetåret 2022 till 351 630 151 EUR, vilket är en ökning med 62,41 % jämfört med 2021. Byråns budget kommer nästan uteslutande från unionsbudgeten.</w:t>
      </w:r>
    </w:p>
    <w:p w:rsidR="00F62D9E" w:rsidRPr="00CC32F1" w:rsidRDefault="00F62D9E" w:rsidP="00F62D9E">
      <w:pPr>
        <w:pStyle w:val="Normal12Hanging"/>
        <w:shd w:val="clear" w:color="auto" w:fill="FFFFFF" w:themeFill="background1"/>
        <w:rPr>
          <w:szCs w:val="24"/>
          <w:lang w:val="sv-SE"/>
        </w:rPr>
      </w:pPr>
      <w:r w:rsidRPr="00CC32F1">
        <w:rPr>
          <w:lang w:val="sv-SE"/>
        </w:rPr>
        <w:t>B.</w:t>
      </w:r>
      <w:r w:rsidRPr="00CC32F1">
        <w:rPr>
          <w:lang w:val="sv-SE"/>
        </w:rPr>
        <w:tab/>
        <w:t>Ökningen av byråns budget för 2022 motiveras främst av byråns ytterligare uppgifter som har att göra med förvaltningen av nya storskaliga it-system och interoperabiliteten mellan it-system.</w:t>
      </w:r>
    </w:p>
    <w:p w:rsidR="00F62D9E" w:rsidRPr="00CC32F1" w:rsidRDefault="00F62D9E" w:rsidP="00F62D9E">
      <w:pPr>
        <w:pStyle w:val="Normal12Hanging"/>
        <w:shd w:val="clear" w:color="auto" w:fill="FFFFFF" w:themeFill="background1"/>
        <w:rPr>
          <w:szCs w:val="24"/>
          <w:lang w:val="sv-SE"/>
        </w:rPr>
      </w:pPr>
      <w:r w:rsidRPr="00CC32F1">
        <w:rPr>
          <w:lang w:val="sv-SE"/>
        </w:rPr>
        <w:t>C.</w:t>
      </w:r>
      <w:r w:rsidRPr="00CC32F1">
        <w:rPr>
          <w:lang w:val="sv-SE"/>
        </w:rPr>
        <w:tab/>
        <w:t>Revisionsrätten fastställer i sin rapport om årsredovisningen för byrån för budgetåret 2022 att man har uppnått en rimlig säkerhet om att byråns räkenskaper är tillförlitliga och att de underliggande transaktionerna vad gäller inkomster i alla väsentliga avseenden är lagliga och korrekta. Revisionsrätten identifierade ett totalt belopp på 17,8 miljoner EUR i betalningar som gjordes 2022, varav 10,9 miljoner EUR för betalningar kopplade till tre särskilda kontrakt konstaterades vara oriktiga och 6,8 miljoner EUR inte ansågs vara förenliga med bestämmelserna i de tillhörande ramavtalen, vilket motsvarade totalt 4,80 % av de betalningsbemyndiganden som var tillgängliga 2022, och vilket därmed överskred den väsentlighetströskel som fastställdes för granskningen och ledde till ett uttalande med reservation om lagligheten och korrektheten i de betalningar som ligger till grund för räkenskaperna Med undantag för de betalningar som inte uppfyller kraven drar revisionsrätten slutsatsen att de underliggande transaktionerna när det gäller betalningar för det budgetår som slutade den 31 december 2022 i alla väsentliga avseenden är lagliga och korrekta.</w:t>
      </w:r>
    </w:p>
    <w:p w:rsidR="00F62D9E" w:rsidRPr="00CC32F1" w:rsidRDefault="00F62D9E" w:rsidP="00F62D9E">
      <w:pPr>
        <w:pStyle w:val="Normal12Hanging"/>
        <w:shd w:val="clear" w:color="auto" w:fill="FFFFFF" w:themeFill="background1"/>
        <w:rPr>
          <w:b/>
          <w:i/>
          <w:szCs w:val="24"/>
          <w:lang w:val="sv-SE"/>
        </w:rPr>
      </w:pPr>
      <w:r w:rsidRPr="00CC32F1">
        <w:rPr>
          <w:b/>
          <w:i/>
          <w:lang w:val="sv-SE"/>
        </w:rPr>
        <w:t>Budgetförvaltning och ekonomisk förvaltning</w:t>
      </w:r>
    </w:p>
    <w:p w:rsidR="00F62D9E" w:rsidRPr="00CC32F1" w:rsidRDefault="00F62D9E" w:rsidP="00F62D9E">
      <w:pPr>
        <w:shd w:val="clear" w:color="auto" w:fill="FFFFFF" w:themeFill="background1"/>
        <w:spacing w:after="240"/>
        <w:ind w:left="567" w:hanging="567"/>
        <w:rPr>
          <w:szCs w:val="24"/>
        </w:rPr>
      </w:pPr>
      <w:r w:rsidRPr="00CC32F1">
        <w:t>1.</w:t>
      </w:r>
      <w:r w:rsidRPr="00CC32F1">
        <w:tab/>
        <w:t xml:space="preserve">Europaparlamentet noterar att insatserna för uppföljning av budgeten under budgetåret 2022 resulterade i ett budgetgenomförande på 91,13 % av åtagandebemyndigandena, </w:t>
      </w:r>
      <w:r w:rsidRPr="00CC32F1">
        <w:lastRenderedPageBreak/>
        <w:t>vilket utgör en minskning med 8,87 % jämfört med 2021. Parlamentet noterar vidare med oro att genomförandegraden för betalningsbemyndiganden var 86,71 %, vilket är en minskning med 7,94 % jämfört med 2021.</w:t>
      </w:r>
    </w:p>
    <w:p w:rsidR="00F62D9E" w:rsidRPr="00CC32F1" w:rsidRDefault="00F62D9E" w:rsidP="00F62D9E">
      <w:pPr>
        <w:pStyle w:val="NormalHanging12a"/>
        <w:shd w:val="clear" w:color="auto" w:fill="FFFFFF" w:themeFill="background1"/>
        <w:rPr>
          <w:szCs w:val="24"/>
        </w:rPr>
      </w:pPr>
      <w:r w:rsidRPr="00CC32F1">
        <w:t>2.</w:t>
      </w:r>
      <w:r w:rsidRPr="00CC32F1">
        <w:tab/>
        <w:t>Europaparlamentet noterar med oro att byrån enligt revisionsrättens rapport hade fört över 14,4 miljoner EUR (23 %) av de tillgängliga åtagandebemyndigandena för 2022 till 2023, och att detta belopp omfattade 13,7 miljoner EUR (eller 95 %) i anslag enligt avdelning II, relaterat till administrativa utgifter (97 % under 2021). Parlamentet noterar den upprepade förekomsten av överföringar av anslag, vilket fick revisionsrätten att påminna om att en upprepat hög andel av överföringarna strider mot budgetprincipen om ettårighet och tyder på strukturella problem i budgetgenomförandet eller svag budgetplanering. Parlamentet noterar byråns svar att överföringar under 2022 genomfördes för administrativ verksamhet som var nödvändig eller återkommande, vilket gav garantier med avseende på sund ekonomisk förvaltning för de underliggande transaktionerna. Parlamentet noterar att byrån, enligt sin rapport om de uppföljningsåtgärder som vidtagits mot bakgrund av ansvarsfriheten för genomförandet av byråns budget för budgetåret 2021 (</w:t>
      </w:r>
      <w:r w:rsidRPr="00CC32F1">
        <w:rPr>
          <w:i/>
          <w:iCs/>
        </w:rPr>
        <w:t>byråns uppföljningsrapport</w:t>
      </w:r>
      <w:r w:rsidRPr="00CC32F1">
        <w:t>), har utarbetat en handlingsplan som omfattar flera åtgärder som genomförts sedan 2023 i syfte att respektera principen om ettårighet och minska andelen överföringar. Parlamentet noterar i detta sammanhang att undertecknandet under fjärde kvartalet 2023 av det nya ramavtalet för tillhandahållande av externa stödtjänster är avgörande för att uppnå dessa mål. Parlamentet förväntar sig att genomförandet av handlingsplanen leder till en betydande förbättring och uppmanar byrån att rapportera till den ansvarsfrihetsbeviljande myndigheten om de framsteg som gjorts i detta avseende.</w:t>
      </w:r>
    </w:p>
    <w:p w:rsidR="00F62D9E" w:rsidRPr="00CC32F1" w:rsidRDefault="00F62D9E" w:rsidP="00F62D9E">
      <w:pPr>
        <w:pStyle w:val="Normal12Hanging"/>
        <w:shd w:val="clear" w:color="auto" w:fill="FFFFFF" w:themeFill="background1"/>
        <w:rPr>
          <w:szCs w:val="24"/>
          <w:lang w:val="sv-SE"/>
        </w:rPr>
      </w:pPr>
      <w:r w:rsidRPr="00CC32F1">
        <w:rPr>
          <w:b/>
          <w:i/>
          <w:lang w:val="sv-SE"/>
        </w:rPr>
        <w:t>Prestation</w:t>
      </w:r>
    </w:p>
    <w:p w:rsidR="00F62D9E" w:rsidRPr="00CC32F1" w:rsidRDefault="00F62D9E" w:rsidP="00F62D9E">
      <w:pPr>
        <w:pStyle w:val="NormalHanging12a"/>
        <w:shd w:val="clear" w:color="auto" w:fill="FFFFFF" w:themeFill="background1"/>
        <w:rPr>
          <w:szCs w:val="24"/>
        </w:rPr>
      </w:pPr>
      <w:r w:rsidRPr="00CC32F1">
        <w:t>3.</w:t>
      </w:r>
      <w:r w:rsidRPr="00CC32F1">
        <w:tab/>
        <w:t>Europaparlamentet välkomnar att byrån använder vissa verktyg, såsom nyckelprestationsindikatorer, för att bedöma det mervärde som dess verksamhet ger och för att förbättra sin budgetförvaltning. Parlamentet noterar att det årliga arbetsprogrammet för 2022 omfattade 135 aktiviteter, varav 90 genomförda (67 %), 16 pågående (12 %), 20 pågående och försenade (15 %) och 9 uppskjutna (7 %). Parlamentet noterar byråns nya strategi genom vilken dess aktiviteter sorteras in i portföljer och program för att återspegla byråns operativa modell och ömsesidiga beroende mellan projekt och aktiviteter. Parlamentet uppmanar byrån att identifiera och rapportera om de förbättringar som uppnåtts till följd av denna nya strategi.</w:t>
      </w:r>
    </w:p>
    <w:p w:rsidR="00F62D9E" w:rsidRPr="00CC32F1" w:rsidRDefault="00F62D9E" w:rsidP="00F62D9E">
      <w:pPr>
        <w:pStyle w:val="NormalHanging12a"/>
        <w:shd w:val="clear" w:color="auto" w:fill="FFFFFF" w:themeFill="background1"/>
        <w:rPr>
          <w:szCs w:val="24"/>
        </w:rPr>
      </w:pPr>
      <w:r w:rsidRPr="00CC32F1">
        <w:t>4.</w:t>
      </w:r>
      <w:r w:rsidRPr="00CC32F1">
        <w:tab/>
        <w:t xml:space="preserve">Europaparlamentet lovordar byrån för att den antog alla lagstadgade programdokument för företag och obligatoriska företagsrapporter, i linje med lagstadgade krav och inom rättsliga tidsfrister, såsom det samlade programdokumentet 2023–2025. Parlamentet noterar att byrån också antog en färdplan för genomförandet av strategin för att anpassa sina strategiska operativa mål och övervaka genomförandet av byråns långsiktiga strategi för 2021–2027. Parlamentet noterar vidare byråns insatser för att förbättra sina fleråriga och årliga planeringsprocesser genom ett nytt verktyg (Anaplan). Parlamentet noterar att byrån använde den gemensamma utvärderingsramen för att analysera sina styrkor och svagheter, vilket i april 2022 resulterade i en självbedömningsrapport med en handlingsplan för färdplanen där byråns prioriteringar för operativ utveckling angavs. Parlamentet noterar att byrån ansökte om klassificeringen </w:t>
      </w:r>
      <w:r w:rsidRPr="00CC32F1">
        <w:rPr>
          <w:i/>
          <w:iCs/>
        </w:rPr>
        <w:t>Effective CAF user</w:t>
      </w:r>
      <w:r w:rsidRPr="00CC32F1">
        <w:t>.</w:t>
      </w:r>
    </w:p>
    <w:p w:rsidR="00F62D9E" w:rsidRPr="00CC32F1" w:rsidRDefault="00F62D9E" w:rsidP="00F62D9E">
      <w:pPr>
        <w:pStyle w:val="NormalHanging12a"/>
        <w:shd w:val="clear" w:color="auto" w:fill="FFFFFF" w:themeFill="background1"/>
        <w:rPr>
          <w:szCs w:val="24"/>
        </w:rPr>
      </w:pPr>
      <w:r w:rsidRPr="00CC32F1">
        <w:rPr>
          <w:shd w:val="clear" w:color="auto" w:fill="FFFFFF"/>
        </w:rPr>
        <w:t>5.</w:t>
      </w:r>
      <w:r w:rsidRPr="00CC32F1">
        <w:rPr>
          <w:shd w:val="clear" w:color="auto" w:fill="FFFFFF"/>
        </w:rPr>
        <w:tab/>
        <w:t xml:space="preserve">Europaparlamentet välkomnar byråns fortsatta stöd till genomförandet av unionspolitiken på områdena fri rörlighet för personer och varor, gemensam </w:t>
      </w:r>
      <w:r w:rsidRPr="00CC32F1">
        <w:rPr>
          <w:shd w:val="clear" w:color="auto" w:fill="FFFFFF"/>
        </w:rPr>
        <w:lastRenderedPageBreak/>
        <w:t>resevisering, gränskontroll, invandring och asyl samt till samarbetet mellan nationella brottsbekämpande och rättsliga myndigheter, inbegripet när det gäller bekämpning av organiserad brottslighet, människosmuggling, människohandel och terrorism. Parlamentet förväntar sig ett betydande bidrag från byrån till digitaliseringen av rättsväsendet för att förbättra samarbetet mellan unionens rättsliga myndigheter och förbättra tillgången till rättslig prövning för unionens medborgare och företag.</w:t>
      </w:r>
    </w:p>
    <w:p w:rsidR="00F62D9E" w:rsidRPr="00CC32F1" w:rsidRDefault="00F62D9E" w:rsidP="00F62D9E">
      <w:pPr>
        <w:pStyle w:val="NormalHanging12a"/>
        <w:shd w:val="clear" w:color="auto" w:fill="FFFFFF" w:themeFill="background1"/>
        <w:rPr>
          <w:szCs w:val="24"/>
        </w:rPr>
      </w:pPr>
      <w:r w:rsidRPr="00CC32F1">
        <w:t>6.</w:t>
      </w:r>
      <w:r w:rsidRPr="00CC32F1">
        <w:tab/>
        <w:t>Europaparlamentet påminner om byråns centrala roll när det gäller att säkerställa en stabil drift och oavbruten tillgång till samt utveckling och underhåll av unionens informationssystem för rättsliga och inrikes frågor (RIF), såsom Schengens informationssystem (SIS), informationssystemet för viseringar (VIS) och Europeiska databasen över asylsökandes fingeravtryck (Eurodac). Parlamentet påminner om att dessa system är avgörande på områdena gränskontroll och samarbete inom brottsbekämpning, försäkring och kontroller av viseringar samt utredning av asylansökningar. Parlamentet noterar att alla centrala affärssystem under 2022, med undantag för vissa incidenter som ledde till bristande tillgång och förseningar på kort sikt, uppfyllde sina respektive servicenivåavtal, med en SIS-tillgång på 99,94 %, VIS-tillgång på 99,69 % och Eurodac-tillgång på 99,88 %.</w:t>
      </w:r>
    </w:p>
    <w:p w:rsidR="00F62D9E" w:rsidRPr="00CC32F1" w:rsidRDefault="00F62D9E" w:rsidP="00F62D9E">
      <w:pPr>
        <w:pStyle w:val="NormalHanging12a"/>
        <w:shd w:val="clear" w:color="auto" w:fill="FFFFFF" w:themeFill="background1"/>
        <w:rPr>
          <w:szCs w:val="24"/>
        </w:rPr>
      </w:pPr>
      <w:r w:rsidRPr="00CC32F1">
        <w:t>7.</w:t>
      </w:r>
      <w:r w:rsidRPr="00CC32F1">
        <w:tab/>
        <w:t>Europaparlamentet lovordar idrifttagandet av det förnyade SIS i mars 2023 (uppskjutet från november 2022). Parlamentet noterar de framsteg som gjorts, dock med förseningar på olika nivåer när det gäller analys, utformning, utveckling och testning av de nya RIF</w:t>
      </w:r>
      <w:r w:rsidRPr="00CC32F1">
        <w:noBreakHyphen/>
        <w:t xml:space="preserve">systemen, nämligen in- och utresesystemet, EU-systemet för reseuppgifter och resetillstånd (Etias) och det europeiska informationssystemet för utbyte av uppgifter ur kriminalregister avseende tredjelandsmedborgare (Ecris-TCN), samt när det gäller integreringen av dessa system, inbegripet den gemensamma biometriska matchningstjänsten. Parlamentet noterar vidare att 947 transportörer (både inom och utanför unionen) och 54 programvaruleverantörer för transportörer registrerade sig hos byrån, eller ansökte om registrering för att upprätta system-till-system-anslutningar för in- och utresesystemet och Etias. Parlamentet lovordar i detta sammanhang anordnandet av ett rundabordsevenemang för branschen med titeln </w:t>
      </w:r>
      <w:r w:rsidRPr="00CC32F1">
        <w:rPr>
          <w:i/>
          <w:iCs/>
        </w:rPr>
        <w:t>EES, ETIAS and Carriers Getting Ready for the Entry into Operation</w:t>
      </w:r>
      <w:r w:rsidRPr="00CC32F1">
        <w:t xml:space="preserve"> och transportörernas kampanj för att öka medvetenheten och öka registreringarna. Parlamentet är medvetet om att VIS genomgår större förändringar i linje med den reviderade VIS-förordningen. Parlamentet noterar i detta sammanhang att byrån 2022 inledde två projekt: ett avseende det reviderade VIS och ett avseende VIS-interoperabilitet, i syfte att strukturera utvecklingen av VIS.</w:t>
      </w:r>
    </w:p>
    <w:p w:rsidR="00F62D9E" w:rsidRPr="00CC32F1" w:rsidRDefault="00F62D9E" w:rsidP="00F62D9E">
      <w:pPr>
        <w:pStyle w:val="NormalHanging12a"/>
        <w:shd w:val="clear" w:color="auto" w:fill="FFFFFF" w:themeFill="background1"/>
        <w:rPr>
          <w:szCs w:val="24"/>
        </w:rPr>
      </w:pPr>
      <w:r w:rsidRPr="00CC32F1">
        <w:t>8.</w:t>
      </w:r>
      <w:r w:rsidRPr="00CC32F1">
        <w:tab/>
        <w:t xml:space="preserve">Europaparlamentet noterar vidare de framsteg som gjorts när det gäller den nya interoperabilitetsstruktur som kommer att integrera alla informationssystem som förvaltas av byrån i syfte att förbättra informationsutbytet och samarbetet mellan brottsbekämpande och rättsliga myndigheter i hela unionen. Parlamentet noterar i detta sammanhang att även om byrån, enligt sin konsoliderade årliga verksamhetsrapport 2022 (CAAR), förblev fast besluten att leverera dessa nya system, ledde hindren som störningarna i leveranskedjan medförde i kombination med svårigheterna för vissa av byråns entreprenörer att följa genomförandeplanerna, till förseningar som krävde översyn och förnyelse av den ursprungliga planen. Parlamentet noterar att sådana förseningar, särskilt när det gäller idrifttagandet av in- och utresesystemets centrala system – som är en hörnsten i interoperabilitetsstrukturen – har haft en dominoeffekt på tidsplanen för och genomförandet av alla sammanlänkade projekt. Parlamentet noterar de åtgärder som byrån vidtagit för att ta itu med denna fråga genom att godkänna en ny strategi för genomförandet av in- och utresesystemet, strategin för minsta gångbara </w:t>
      </w:r>
      <w:r w:rsidRPr="00CC32F1">
        <w:lastRenderedPageBreak/>
        <w:t>produkt och en ny färdplan för interoperabilitet, med en fullständig översyn av interoperabilitetstidsramen bestående av ett antal faser som syftar till att leverera interoperabilitetsstrukturens komponenter periodiskt var sjätte till nionde månad fram till 2026, i enlighet med byråns uppföljningsrapport. Parlamentet noterar att de förlängda tidsfristerna för idrifttagandet av in- och utresesystemets program enligt den verkställande direktörens revisionsförklaring sannolikt kommer att påverka de resurser som krävs för att slutföra utvecklingen.</w:t>
      </w:r>
    </w:p>
    <w:p w:rsidR="00F62D9E" w:rsidRPr="00CC32F1" w:rsidRDefault="00F62D9E" w:rsidP="00F62D9E">
      <w:pPr>
        <w:pStyle w:val="NormalHanging12a"/>
      </w:pPr>
      <w:r w:rsidRPr="00CC32F1">
        <w:t>9.</w:t>
      </w:r>
      <w:r w:rsidRPr="00CC32F1">
        <w:tab/>
        <w:t>Europaparlamentet noterar med tillfredsställelse att byrån fortsatte att uppnå flera andra nära relaterade lagstadgade mål, såsom utbildning för medlemsstaterna om användningen av RIF-informationssystem och utarbetande av lagstadgade rapporter om deras tekniska prestanda, årliga statistik och förteckningar över utsedda myndigheter. Parlamentet lovordar i detta sammanhang att byrån under 2022 genomförde 48 utbildningsaktiviteter som nådde över 3 000 deltagare, uppgraderade sin plattform för e</w:t>
      </w:r>
      <w:r w:rsidRPr="00CC32F1">
        <w:noBreakHyphen/>
        <w:t>lärande och slutförde färdplanen för utbildning för medlemsstaterna och den tillhörande handlingsplanen. Parlamentet noterar vidare att byrån fortsatte att utöka sin roll på unionens rättsliga område genom att inleda förberedelserna för övertagandet av e-Codex-systemet (en plattform som underlättar gränsöverskridande rättsliga förfaranden genom säker överföring av information), offentliggjorde en rapport om hur digitaliseringen av internationella resor kommer att påverka resenärer som är på väg till unionen och utarbetade tillsammans med Eurojust en rapport om användningen av artificiell intelligens för att stödja gränsöverskridande samarbete inom straffrätten.</w:t>
      </w:r>
    </w:p>
    <w:p w:rsidR="00F62D9E" w:rsidRPr="00CC32F1" w:rsidRDefault="00F62D9E" w:rsidP="00F62D9E">
      <w:pPr>
        <w:pStyle w:val="NormalHanging12a"/>
        <w:rPr>
          <w:szCs w:val="24"/>
        </w:rPr>
      </w:pPr>
      <w:r w:rsidRPr="00CC32F1">
        <w:t>10.</w:t>
      </w:r>
      <w:r w:rsidRPr="00CC32F1">
        <w:tab/>
        <w:t>Europaparlamentet noterar byråns samarbete med andra EU-byråer, särskilt med Europeiska gräns- och kustbevakningsbyrån (Frontex) om utvecklingen av Etias, med Europeiska unionens byrå för samarbete inom brottsbekämpning (Europol) om genomförandet av omarbetningen av SIS, in- och utresesystemet, Etias och interoperabilitetsförordningar, med Eurojust om genomförandet av Ecris-TCN och e-Codex, interoperabilitetsförordningarna och samordningen av verksamhet i samband med digitaliseringen av det rättsliga samarbetet, med Europeiska unionens asylbyrå (EUAA) om genomförandet av kommissionens förordning om det elektroniska kommunikationsnätet DubliNet, med Europeiska unionens byrå för utbildning av tjänstemän inom brottsbekämpning (Cepol) om anordnande av gemensamma utbildningskurser om användningen av RIF-system och med Europeiska unionens byrå för grundläggande rättigheter om anordnande av gemensamma utbildningskurser som belyser aspekten av grundläggande rättigheter i förvaltningen av RIF-informationssystem. Parlamentet uppmuntrar byrån att fortsätta sitt samarbete med andra EU-byråer.</w:t>
      </w:r>
    </w:p>
    <w:p w:rsidR="00F62D9E" w:rsidRPr="00CC32F1" w:rsidRDefault="00F62D9E" w:rsidP="00F62D9E">
      <w:pPr>
        <w:pStyle w:val="Normal12Hanging"/>
        <w:keepNext/>
        <w:widowControl/>
        <w:shd w:val="clear" w:color="auto" w:fill="FFFFFF" w:themeFill="background1"/>
        <w:rPr>
          <w:b/>
          <w:i/>
          <w:szCs w:val="24"/>
          <w:lang w:val="sv-SE"/>
        </w:rPr>
      </w:pPr>
      <w:r w:rsidRPr="00CC32F1">
        <w:rPr>
          <w:b/>
          <w:i/>
          <w:lang w:val="sv-SE"/>
        </w:rPr>
        <w:t>Effektivitet och vinster</w:t>
      </w:r>
    </w:p>
    <w:p w:rsidR="00F62D9E" w:rsidRPr="00CC32F1" w:rsidRDefault="00F62D9E" w:rsidP="00F62D9E">
      <w:pPr>
        <w:pStyle w:val="Normal12Hanging"/>
        <w:shd w:val="clear" w:color="auto" w:fill="FFFFFF" w:themeFill="background1"/>
        <w:rPr>
          <w:szCs w:val="24"/>
          <w:lang w:val="sv-SE"/>
        </w:rPr>
      </w:pPr>
      <w:r w:rsidRPr="00CC32F1">
        <w:rPr>
          <w:lang w:val="sv-SE"/>
        </w:rPr>
        <w:t>11.</w:t>
      </w:r>
      <w:r w:rsidRPr="00CC32F1">
        <w:rPr>
          <w:lang w:val="sv-SE"/>
        </w:rPr>
        <w:tab/>
        <w:t xml:space="preserve">Europaparlamentet noterar de åtgärder som byrån vidtagit för att förbättra sin energieffektivitet och miljöprestanda, bland annat när det gäller klimatneutralitetsmålen, i enlighet med byråns uppföljningsrapport, konsoliderade årliga verksamhetsrapport, svar på parlamentets skriftliga frågor och revisionsrättens rapport. Parlamentet noterar i detta sammanhang att byrån under 2022 började genomföra sitt eget miljöledningssystem gradvis, baserat på principerna i Emas och kommissionens handlingsplan för den europeiska gröna given, och att den antog sin miljöpolicy. Parlamentet noterar att ett fullständigt genomförande av miljöledningssystemet och följaktligen Emas-registreringen förväntas uppnås senast 2024. Parlamentet välkomnar byråns deltagande i EU-byråernas nätverk för miljöanpassning, som ger möjlighet att </w:t>
      </w:r>
      <w:r w:rsidRPr="00CC32F1">
        <w:rPr>
          <w:lang w:val="sv-SE"/>
        </w:rPr>
        <w:lastRenderedPageBreak/>
        <w:t>dra nytta av material från andra byråer med större erfarenhet av genomförandet av Emas. Parlamentet noterar vidare att byrån använder kriterier för miljöanpassad offentlig upphandling inom affärsområden såsom fastighetsförvaltning, maskinvaruprojekt, it-infrastruktur och it-projekt. Parlamentet lovordar byrån för att den rapporterar om sin miljöprestanda genom en nyckelprestationsindikator som anger byråns koldioxidavtryck. Parlamentet noterar att referensvärdet för volymmässiga indikatorer för vatten, energi, pappersförbrukning och avfallsproduktion kommer att fastställas 2023 och användas för beräkning och utvärdering av sådana indikatorer från och med då.</w:t>
      </w:r>
    </w:p>
    <w:p w:rsidR="00F62D9E" w:rsidRPr="00CC32F1" w:rsidRDefault="00F62D9E" w:rsidP="00F62D9E">
      <w:pPr>
        <w:pStyle w:val="Normal12Hanging"/>
        <w:shd w:val="clear" w:color="auto" w:fill="FFFFFF" w:themeFill="background1"/>
        <w:rPr>
          <w:szCs w:val="24"/>
          <w:lang w:val="sv-SE"/>
        </w:rPr>
      </w:pPr>
      <w:r w:rsidRPr="00CC32F1">
        <w:rPr>
          <w:lang w:val="sv-SE"/>
        </w:rPr>
        <w:t>12.</w:t>
      </w:r>
      <w:r w:rsidRPr="00CC32F1">
        <w:rPr>
          <w:lang w:val="sv-SE"/>
        </w:rPr>
        <w:tab/>
        <w:t>Europaparlamentet noterar att byrån enligt sitt skriftliga svar på parlamentets övergripande frågor har ingått servicenivåavtal med flera andra EU-byråer för att tillhandahålla stöd i frågor som rör driftskontinuitet samt för att öka effektiviteten inom andra samarbetsområden. Parlamentet noterar i detta sammanhang att byrån har servicenivåavtal med Frontex och EUAA för att stå värd för deras driftplatser för katastrofhantering och ett årligt servicenivåavtal med Europol för att organisera gemensamma sammanträden med Europol och eu-Lisas säkerhetskommitté. Parlamentet uppmanar byrån att fortsätta sitt samarbete med andra byråer så att alla tillgängliga resurser kan användas. Parlamentet lovordar byrån för dess samarbete med Europeiska unionens cybersäkerhetsbyrå (Enisa) genom ett servicenivåavtal som omfattar stödtjänster som erbjuds av Enisa för planering, genomförande och utvärdering av årliga cybersäkerhetsövningar.</w:t>
      </w:r>
    </w:p>
    <w:p w:rsidR="00F62D9E" w:rsidRPr="00CC32F1" w:rsidRDefault="00F62D9E" w:rsidP="00F62D9E">
      <w:pPr>
        <w:pStyle w:val="Normal12Hanging"/>
        <w:shd w:val="clear" w:color="auto" w:fill="FFFFFF" w:themeFill="background1"/>
        <w:rPr>
          <w:szCs w:val="24"/>
          <w:lang w:val="sv-SE"/>
        </w:rPr>
      </w:pPr>
      <w:r w:rsidRPr="00CC32F1">
        <w:rPr>
          <w:lang w:val="sv-SE"/>
        </w:rPr>
        <w:t>13.</w:t>
      </w:r>
      <w:r w:rsidRPr="00CC32F1">
        <w:rPr>
          <w:lang w:val="sv-SE"/>
        </w:rPr>
        <w:tab/>
        <w:t>Europaparlamentet noterar att byrån i februari 2022 antog en anskaffningsstrategi för att klargöra och harmonisera sin planering av personalresurser i syfte att optimera resursanvändningen, särskilt för att balansera den övergripande sammansättningen av byråns personalresurser (dvs. andelen intern personal i förhållande till externa tjänsteleverantörer). Parlamentet noterar vidare att byrån uppnådde effektivitetsvinster med hjälp av befintliga reservlistor som upprättats under tidigare urvalsförfaranden samt grupperade profiler och längre reservlistor för att täcka flera tjänster inom ett rekryteringsförfarande.</w:t>
      </w:r>
    </w:p>
    <w:p w:rsidR="00F62D9E" w:rsidRPr="00CC32F1" w:rsidRDefault="00F62D9E" w:rsidP="00F62D9E">
      <w:pPr>
        <w:pStyle w:val="Normal12Hanging"/>
        <w:shd w:val="clear" w:color="auto" w:fill="FFFFFF" w:themeFill="background1"/>
        <w:rPr>
          <w:szCs w:val="24"/>
          <w:lang w:val="sv-SE"/>
        </w:rPr>
      </w:pPr>
      <w:r w:rsidRPr="00CC32F1">
        <w:rPr>
          <w:lang w:val="sv-SE"/>
        </w:rPr>
        <w:t>14.</w:t>
      </w:r>
      <w:r w:rsidRPr="00CC32F1">
        <w:rPr>
          <w:lang w:val="sv-SE"/>
        </w:rPr>
        <w:tab/>
        <w:t>Europaparlamentet lovordar byrån för de framsteg den gjort under 2022 med digitaliseringen av sina processer. Europaparlamentet noterar på personalområdet att byrån införde nya moduler i Sysper-systemet (</w:t>
      </w:r>
      <w:r w:rsidRPr="00CC32F1">
        <w:rPr>
          <w:color w:val="4D5156"/>
          <w:shd w:val="clear" w:color="auto" w:fill="FFFFFF"/>
          <w:lang w:val="sv-SE"/>
        </w:rPr>
        <w:t>kommissionens</w:t>
      </w:r>
      <w:r w:rsidRPr="00CC32F1">
        <w:rPr>
          <w:lang w:val="sv-SE"/>
        </w:rPr>
        <w:t xml:space="preserve"> integrerade informationssystem för personalförvaltning), nämligen personalrapporteringsmodulen (</w:t>
      </w:r>
      <w:r w:rsidRPr="00CC32F1">
        <w:rPr>
          <w:i/>
          <w:iCs/>
          <w:lang w:val="sv-SE"/>
        </w:rPr>
        <w:t>HR reporting module</w:t>
      </w:r>
      <w:r w:rsidRPr="00CC32F1">
        <w:rPr>
          <w:lang w:val="sv-SE"/>
        </w:rPr>
        <w:t>) och ATS-modulen. Parlamentet noterar på upphandlingsområdet att byrån under 2022 blev bekant med kommissionens verktyg för hantering av offentlig upphandling (PPMT) och dess krav med avseende på att uppfylla kraven på onboarding, som genomfördes framgångsrikt 2023. Parlamentet noterar att byrån tillämpar e-anbudsmodulen för anbudsinfordringar över 15 000 EUR. Parlamentet noterar vidare att den fysiska underskriften från anbudsgivarna har upphört sedan modulen infördes. Parlamentet uppmanar byrån att öka sina insatser för ett fullständigt genomförande av PPMT. Parlamentet noterar slutligen att när det gäller förebyggande och hantering av intressekonflikter digitaliserade byrån inlämningen av obligatoriska förklaringar eller begäranden om att genomföra de relevanta bestämmelserna.</w:t>
      </w:r>
    </w:p>
    <w:p w:rsidR="00F62D9E" w:rsidRPr="00CC32F1" w:rsidRDefault="00F62D9E" w:rsidP="00F62D9E">
      <w:pPr>
        <w:pStyle w:val="Normal12Hanging"/>
        <w:shd w:val="clear" w:color="auto" w:fill="FFFFFF" w:themeFill="background1"/>
        <w:rPr>
          <w:szCs w:val="24"/>
          <w:lang w:val="sv-SE"/>
        </w:rPr>
      </w:pPr>
      <w:r w:rsidRPr="00CC32F1">
        <w:rPr>
          <w:b/>
          <w:i/>
          <w:lang w:val="sv-SE"/>
        </w:rPr>
        <w:t>Personalpolitik</w:t>
      </w:r>
    </w:p>
    <w:p w:rsidR="00F62D9E" w:rsidRPr="00CC32F1" w:rsidRDefault="00F62D9E" w:rsidP="00F62D9E">
      <w:pPr>
        <w:pStyle w:val="Normal12Hanging"/>
        <w:shd w:val="clear" w:color="auto" w:fill="FFFFFF" w:themeFill="background1"/>
        <w:rPr>
          <w:szCs w:val="24"/>
          <w:lang w:val="sv-SE"/>
        </w:rPr>
      </w:pPr>
      <w:r w:rsidRPr="00CC32F1">
        <w:rPr>
          <w:lang w:val="sv-SE"/>
        </w:rPr>
        <w:t>15.</w:t>
      </w:r>
      <w:r w:rsidRPr="00CC32F1">
        <w:rPr>
          <w:lang w:val="sv-SE"/>
        </w:rPr>
        <w:tab/>
        <w:t xml:space="preserve">Europaparlamentet noterar att 89,3 % av tjänsterna i tjänsteförteckningen var tillsatta den 31 december 2022, och att 192 (193 år 2021) av de 215 tjänster för tillfälligt </w:t>
      </w:r>
      <w:r w:rsidRPr="00CC32F1">
        <w:rPr>
          <w:lang w:val="sv-SE"/>
        </w:rPr>
        <w:lastRenderedPageBreak/>
        <w:t>anställda som får tillsättas enligt unionsbudgeten hade tillsatts (antalet tillåtna tjänster 2021 var 213). Parlamentet konstaterar dessutom att 121 kontraktsanställda och 11 utstationerade nationella experter arbetade för myndigheten 2022 av de 167 kontraktsanställda och 11 utstationerade nationella experter som var det tillåtna antalet. Parlamentet noterar att antalet budgeterade kontraktsanställda ökade med 35, från 132 till 167, på grund av beviljade anslag för de nya uppgifter som byrån fått (det reviderade VIS, Etias och interoperabilitet). Parlamentet noterar att trots byråns ansträngningar ökade personalomsättningen från 5,5 % 2021 till 7,1 % 2022 och tillsättningsgraden sjönk till 82 %, vilket är lägre än byråns mål på 94 %, särskilt på grund av det antal korta tjänster och tjänster med lägre lönegrad som byrån erbjuder.</w:t>
      </w:r>
    </w:p>
    <w:p w:rsidR="00F62D9E" w:rsidRPr="00CC32F1" w:rsidRDefault="00F62D9E" w:rsidP="00F62D9E">
      <w:pPr>
        <w:pStyle w:val="NormalHanging12a"/>
      </w:pPr>
      <w:r w:rsidRPr="00CC32F1">
        <w:t>16.</w:t>
      </w:r>
      <w:r w:rsidRPr="00CC32F1">
        <w:tab/>
        <w:t xml:space="preserve">Europaparlamentet noterar med oro könsfördelningen bland byråns högre chefer och mellanchefer med 12 män (86 %) och 2 kvinnor (14 %), i styrelsen med 50 män (82 %) och 11 kvinnor (18 %), och inom personalen överlag med totalt 209 män (67 %) och 101 kvinnor (33 %). Parlamentet noterar att byrån enligt sin uppföljningsrapport fortsätter sina insatser för att uppnå övergripande könsbalans med fokus på kommunikation och rekryteringsförfaranden för att locka fler kvinnliga sökande. Parlamentet välkomnar byråns deltagande 2022 på den internetbaserade globala karriärmässan </w:t>
      </w:r>
      <w:r w:rsidRPr="00CC32F1">
        <w:rPr>
          <w:i/>
          <w:iCs/>
        </w:rPr>
        <w:t>Women in Tech</w:t>
      </w:r>
      <w:r w:rsidRPr="00CC32F1">
        <w:t>. Parlamentet välkomnar vidare utnämningen av den nya verkställande direktören, som innebär att könsbalans nu uppnåtts bland högre chefer. Parlamentet påminner om vikten av att säkerställa könsbalans och uppmanar byrån att fortsätta sina ansträngningar för att uppnå könsbalans på alla nivåer genom konkreta åtgärder för att locka till sig kvinnliga sökande till de tjänster som byrån erbjuder. Parlamentet uppmanar kommissionen och medlemsstaterna att beakta vikten av att säkerställa könsbalans när de nominerar sina ledamöter till byråns styrelse.</w:t>
      </w:r>
    </w:p>
    <w:p w:rsidR="00F62D9E" w:rsidRPr="00CC32F1" w:rsidRDefault="00F62D9E" w:rsidP="00F62D9E">
      <w:pPr>
        <w:pStyle w:val="Normal12Hanging"/>
        <w:shd w:val="clear" w:color="auto" w:fill="FFFFFF" w:themeFill="background1"/>
        <w:rPr>
          <w:szCs w:val="24"/>
          <w:lang w:val="sv-SE"/>
        </w:rPr>
      </w:pPr>
      <w:r w:rsidRPr="00CC32F1">
        <w:rPr>
          <w:lang w:val="sv-SE"/>
        </w:rPr>
        <w:t>17.</w:t>
      </w:r>
      <w:r w:rsidRPr="00CC32F1">
        <w:rPr>
          <w:lang w:val="sv-SE"/>
        </w:rPr>
        <w:tab/>
        <w:t>Europaparlamentet lovordar byrån för dess insatser på personalområdet som syftar till att locka en diversifierad kandidatpool, att positionera byrån som en attraktiv arbetsgivare och att hålla kvar kompetent personal. Parlamentet noterar i detta sammanhang att byrån under 2022 representerade EU-byråernas nätverk på den virtuella karriärmässan för internationella organisationer och intensifierade sin varumärkesprofilering genom särskilda kampanjer såsom vittnesmål från anställda på sociala medier. Parlamentet lovordar byrån för lanseringen av ett pilotprogram för internt rörlighet som syftar till att dra nytta av den befintliga personalens kompetenser och främja en kontinuerlig yrkesmässig utveckling inom byrån för dess personal. Parlamentet noterar i detta sammanhang att byrån har börjat utveckla sin kompetensbaserade strategi för personaladministration och se över sin kompetensram, vilket kommer att påverka meddelanden om lediga tjänster och bedömningar av sökande.</w:t>
      </w:r>
    </w:p>
    <w:p w:rsidR="00F62D9E" w:rsidRPr="00CC32F1" w:rsidRDefault="00F62D9E" w:rsidP="00F62D9E">
      <w:pPr>
        <w:pStyle w:val="NormalHanging12a"/>
        <w:shd w:val="clear" w:color="auto" w:fill="FFFFFF" w:themeFill="background1"/>
      </w:pPr>
      <w:r w:rsidRPr="00CC32F1">
        <w:t>18.</w:t>
      </w:r>
      <w:r w:rsidRPr="00CC32F1">
        <w:tab/>
        <w:t>Europaparlamentet lovordar byråns policy för nolltolerans mot trakasserier. Parlamentet noterar att tre administrativa utredningar om trakasserier genomfördes internt under 2022, med ytterligare ett fall som togs till domstol. Parlamentet uppmanar byrån att skyndsamt ställa de som missköter sig till svars. Parlamentet noterar att byrån 2022 undertecknade ett avtal med en extern advokatbyrå för att snabbt kunna hantera den ökande efterfrågan på administrativa utredningar, inbegripet sådana som har samband med sexuella trakasserier, mobbning eller andra disciplinära frågor. Parlamentet noterar att byrån slutförde urvalet av nya konfidentiella rådgivare, med fem nya rådgivare som valts ut och utbildats för att stödja organisationen i främjandet av ytterligare respekt och värdighet på arbetsplatsen, och för att stödja personal som söker hjälp i situationer som uppfattas som mobbning eller sexuella trakasserier.</w:t>
      </w:r>
    </w:p>
    <w:p w:rsidR="00F62D9E" w:rsidRPr="00CC32F1" w:rsidRDefault="00F62D9E" w:rsidP="00F62D9E">
      <w:pPr>
        <w:pStyle w:val="NormalHanging12a"/>
        <w:shd w:val="clear" w:color="auto" w:fill="FFFFFF" w:themeFill="background1"/>
      </w:pPr>
      <w:r w:rsidRPr="00CC32F1">
        <w:lastRenderedPageBreak/>
        <w:t>19.</w:t>
      </w:r>
      <w:r w:rsidRPr="00CC32F1">
        <w:tab/>
        <w:t>Europaparlamentet noterar byråns åtgärder för att förbättra sina anställdas upplevelse och välbefinnande. Parlamentet noterar att ett program för psykisk hälsa för personal och deras familjer inleddes, vilket inbegriper en prenumerationstjänst för friskvård, webbseminarier och individuella rådgivningssessioner. Parlamentet noterar att byrån, efter det undantag som beviljats i väntan på modellbeslutet, inte tillämpade kommissionens beslut av den 24 mars 2022 om arbetstid och hybridarbete på motsvarande sätt. Parlamentet noterar att byrån i september 2022 tillämpade ett beslut av den verkställande direktören om tillfälliga hybridavtal. Parlamentet noterar vidare att byrån den 16 november 2023 antog modellbeslutet med verkan den 1 januari 2024. Parlamentet noterar slutligen med uppskattning att byrån har antagit stadgan om mångfald och inkludering.</w:t>
      </w:r>
    </w:p>
    <w:p w:rsidR="00F62D9E" w:rsidRPr="00CC32F1" w:rsidRDefault="00F62D9E" w:rsidP="00F62D9E">
      <w:pPr>
        <w:pStyle w:val="Normal12Hanging"/>
        <w:shd w:val="clear" w:color="auto" w:fill="FFFFFF" w:themeFill="background1"/>
        <w:rPr>
          <w:b/>
          <w:i/>
          <w:szCs w:val="24"/>
          <w:lang w:val="sv-SE"/>
        </w:rPr>
      </w:pPr>
      <w:r w:rsidRPr="00CC32F1">
        <w:rPr>
          <w:b/>
          <w:i/>
          <w:lang w:val="sv-SE"/>
        </w:rPr>
        <w:t>Upphandling</w:t>
      </w:r>
    </w:p>
    <w:p w:rsidR="00F62D9E" w:rsidRPr="00CC32F1" w:rsidRDefault="00F62D9E" w:rsidP="00F62D9E">
      <w:pPr>
        <w:pStyle w:val="NormalHanging12a"/>
      </w:pPr>
      <w:r w:rsidRPr="00CC32F1">
        <w:t>20.</w:t>
      </w:r>
      <w:r w:rsidRPr="00CC32F1">
        <w:tab/>
        <w:t>Europaparlamentet framhåller de iakttagelser i revisionsrättens rapport som ledde till ett uttalande med reservation till följd av flera oriktiga betalningar under 2022 på totalt 17,8 miljoner EUR med anknytning till sju särskilda avtal, motsvarande 4,8 % av de tillgängliga totala betalningsbemyndigandena under 2022. Parlamentet noterar att oriktigheterna i dessa betalningar främst beror på avvikelser från motsvarande ramavtal. Parlamentet noterar att oriktigheterna när det gäller betalningarna som gjordes 2022 enligt byråns svar på parlamentets skriftliga frågor kan delas in i tre kategorier, nämligen ändringar av visstidsanställningar (6,5 miljoner EUR), förlängning av särskilda avtal utöver den längsta tillåtna tidsperioden (3,7 miljoner EUR), och brist på uppgifter om krav i särskilda avtal (7,5 miljoner EUR). Parlamentet noterar att en del av dessa oriktiga betalningar, som uppgår till totalt 10,5 miljoner EUR, avser tre särskilda avtal på grundval av vilka betalningar också gjordes 2021 och som konstaterades vara oriktiga av revisionsrätten i dess årsrapport om unionens byråer för det året. Parlamentet noterar att sex av de sju särskilda avtal som anges i revisionsrättens rapport, enligt de uttalanden som gjordes av byråns verkställande direktör under budgetkontrollutskottets sammanträde den 29 november 2023 (</w:t>
      </w:r>
      <w:r w:rsidRPr="00CC32F1">
        <w:rPr>
          <w:i/>
          <w:iCs/>
        </w:rPr>
        <w:t>verkställande direktörens uttalanden</w:t>
      </w:r>
      <w:r w:rsidRPr="00CC32F1">
        <w:t>), har löpt ut utan utestående betalningar. Parlamentet betonar att detta har varit ett återkommande problem för byrån. Parlamentet noterar de åtgärder som byrån har vidtagit för att åtgärda detta i enlighet med byråns svar på revisionsrättens iakttagelser. Parlamentet uppmanar byrån att fortsätta att fullt ut behandla denna fråga och att återrapportera till den ansvarsfrihetsbeviljande myndigheten om de framsteg som gjorts.</w:t>
      </w:r>
    </w:p>
    <w:p w:rsidR="00F62D9E" w:rsidRPr="00CC32F1" w:rsidRDefault="00F62D9E" w:rsidP="00F62D9E">
      <w:pPr>
        <w:pStyle w:val="Normal12Hanging"/>
        <w:shd w:val="clear" w:color="auto" w:fill="FFFFFF" w:themeFill="background1"/>
        <w:rPr>
          <w:szCs w:val="24"/>
          <w:lang w:val="sv-SE"/>
        </w:rPr>
      </w:pPr>
      <w:r w:rsidRPr="00CC32F1">
        <w:rPr>
          <w:lang w:val="sv-SE"/>
        </w:rPr>
        <w:t>21.</w:t>
      </w:r>
      <w:r w:rsidRPr="00CC32F1">
        <w:rPr>
          <w:lang w:val="sv-SE"/>
        </w:rPr>
        <w:tab/>
        <w:t>Europaparlamentet noterar med stor oro att 2022 var det tredje året i rad för vilket revisionsrätten avgav ett uttalande med reservation om byråns upphandlings- och kontraktsförvaltning, med höga kostnader för byrån på grund av oriktigheter, försenade och otillräckliga upphandlingsförfaranden och bristande omsorg från byråns sida när det gäller upphandlingsregler. Europaparlamentet noterar byråns handlingsplan för en fördjupad översyn av sina processer för att identifiera och avlägsna de bakomliggande orsakerna till revisionsrättens återkommande iakttagelser på detta område i enlighet med byråns svar på parlamentets skriftliga frågor, byråns uppföljningsrapport och den verkställande direktörens uttalanden. Parlamentet förväntar sig därför en varaktig förbättring till följd av genomförandet av handlingsplanen, särskilt med tanke på att sex av de sju särskilda avtal som domstolen anser vara oriktiga har löpt ut utan utestående betalningar. Parlamentet uppmanar byrån att regelbundet rapportera till den ansvarsbeviljande myndigheten om hur genomförandet av denna handlingsplan fortskrider och eventuella korrigerande åtgärder som vidtagits.</w:t>
      </w:r>
    </w:p>
    <w:p w:rsidR="00F62D9E" w:rsidRPr="00CC32F1" w:rsidRDefault="00F62D9E" w:rsidP="00F62D9E">
      <w:pPr>
        <w:pStyle w:val="Normal12Hanging"/>
        <w:shd w:val="clear" w:color="auto" w:fill="FFFFFF" w:themeFill="background1"/>
        <w:rPr>
          <w:szCs w:val="24"/>
          <w:lang w:val="sv-SE"/>
        </w:rPr>
      </w:pPr>
      <w:r w:rsidRPr="00CC32F1">
        <w:rPr>
          <w:lang w:val="sv-SE"/>
        </w:rPr>
        <w:lastRenderedPageBreak/>
        <w:t>22.</w:t>
      </w:r>
      <w:r w:rsidRPr="00CC32F1">
        <w:rPr>
          <w:lang w:val="sv-SE"/>
        </w:rPr>
        <w:tab/>
        <w:t xml:space="preserve">Europaparlamentet betonar att byrån enligt revisionsrättens rapport under 2022, precis som under 2021, gjorde utbetalningar på grundval av ett särskilt avtal (på 40 miljoner EUR) som inte genomförde det tillhörande ramavtalet korrekt eftersom det inte specificerade detaljerna för de tjänster som förvärvats (mängder, leveransdatum). Parlamentet noterar att byrån enligt detta avtal betalade 7,5 miljoner EUR under 2022. Parlamentet är medvetet om att grundorsaken till avtalets – som undertecknades i slutet av maj 2018 – obestämda karaktär, enligt byråns synpunkter i meddelandet av den 13 november 2023 med titeln </w:t>
      </w:r>
      <w:r w:rsidRPr="00CC32F1">
        <w:rPr>
          <w:i/>
          <w:iCs/>
          <w:lang w:val="sv-SE"/>
        </w:rPr>
        <w:t>2022 Discharge - ECA findings on eu-LISA.</w:t>
      </w:r>
      <w:r w:rsidRPr="00CC32F1">
        <w:rPr>
          <w:lang w:val="sv-SE"/>
        </w:rPr>
        <w:t xml:space="preserve"> </w:t>
      </w:r>
      <w:r w:rsidRPr="00CC32F1">
        <w:rPr>
          <w:i/>
          <w:iCs/>
          <w:lang w:val="sv-SE"/>
        </w:rPr>
        <w:t>Brief note for MEPs</w:t>
      </w:r>
      <w:r w:rsidRPr="00CC32F1">
        <w:rPr>
          <w:lang w:val="sv-SE"/>
        </w:rPr>
        <w:t>, var behovet av att upprätthålla finansieringen för interoperabilitet mellan in- och utresesystemet och VIS, för vilket budgetplaneringen, utanför byråns kontroll, ändrades avsevärt från det faktiska antagandet av den relevanta lagstiftningen. Parlamentet noterar att utan detta avtal skulle det tillhörande beloppet, som är nödvändigt för interoperabiliteten, ha förlorats. Parlamentet noterar utifrån byråns svar på revisionsrättens iakttagelse de korrigerande åtgärder som byrån har vidtagit genom en ändring av det avtalet, varigenom en mer detaljerad beskrivning av de tjänster som tillhandahållits lades till. Parlamentet noterar att byrån inte förlängde det avtalet, som löpte ut 2022. Parlamentet påminner i detta sammanhang om att förseningar i antagandet och genomförandet av relevanta rättsakter är centrala faktorer som avgör den detaljnivå och precision som byrån kan erbjuda när ramavtal etableras från början. Parlamentet noterar synpunkten i byråns uppföljningsrapport att en kortare period för utarbetandet av genomförandeakterna skulle ha en direkt inverkan på byråns kapacitet att bättre planera sin upphandling och begränsa avtalsändringar.</w:t>
      </w:r>
    </w:p>
    <w:p w:rsidR="00F62D9E" w:rsidRPr="00CC32F1" w:rsidRDefault="00F62D9E" w:rsidP="00F62D9E">
      <w:pPr>
        <w:pStyle w:val="NormalHanging12a"/>
      </w:pPr>
      <w:r w:rsidRPr="00CC32F1">
        <w:t>23.</w:t>
      </w:r>
      <w:r w:rsidRPr="00CC32F1">
        <w:tab/>
        <w:t>Europaparlamentet noterar med oro att byrån enligt revisionsrättens rapport använde ett förhandlat förfarande för att tilldela ett avtal, utan föregående offentliggörande av ett meddelande om upphandling. Parlamentet noterar att byrån motiverade detta beslut med synnerlig brådska, mot inrådan från byråns upphandlings- och rättstjänster. Parlamentet noterar domstolens skäl till varför det inte var motiverat att använda detta förfarande. Parlamentet noterar dock byråns svar att en risk för underhållsbrist på flera månader skulle ha uppstått eftersom tidsfristerna för genomförandet av in- och utresesystemets program formellt ändrades i ett senare skede och den totala tid som krävdes för tilldelningen av avtalet och för övergången till en ny entreprenör uppskattades till minst åtta månader. Parlamentet anser i detta sammanhang att byråns strategi var förnuftig. Parlamentet noterar att det tilldelade kontraktet enligt byråns svar har löpt ut under tiden.</w:t>
      </w:r>
    </w:p>
    <w:p w:rsidR="00F62D9E" w:rsidRPr="00CC32F1" w:rsidRDefault="00F62D9E" w:rsidP="00F62D9E">
      <w:pPr>
        <w:pStyle w:val="Normal12Hanging"/>
        <w:rPr>
          <w:szCs w:val="24"/>
          <w:lang w:val="sv-SE"/>
        </w:rPr>
      </w:pPr>
      <w:r w:rsidRPr="00CC32F1">
        <w:rPr>
          <w:lang w:val="sv-SE"/>
        </w:rPr>
        <w:t>24.</w:t>
      </w:r>
      <w:r w:rsidRPr="00CC32F1">
        <w:rPr>
          <w:lang w:val="sv-SE"/>
        </w:rPr>
        <w:tab/>
        <w:t>Europaparlamentet noterar ytterligare två iakttagelser om byråns förvaltnings- och kontrollsystem i revisionsrättens rapport. Parlamentet noterar den första iakttagelsen när det gäller förvärv av maskinvara (27,7 miljoner EUR) för vilken prislistorna för maskinvaruförsäljarna inte erhölls och förhandskontroller inte utfördes. Parlamentet noterar den andra iakttagelsen när det gäller upphandlingen av ett övergripande ramavtal för transaktioner till ett uppskattat värde på 490 miljoner EUR) att det för sex möten i utvärderingskommittén inte hade förts några mötesprotokoll och att endast slutrapporten hade undertecknats. Parlamentet uppmanar byrån att förbättra sina internkontrollsystem för att undvika sådana brister i framtiden.</w:t>
      </w:r>
    </w:p>
    <w:p w:rsidR="00F62D9E" w:rsidRPr="00CC32F1" w:rsidRDefault="00F62D9E" w:rsidP="00F62D9E">
      <w:pPr>
        <w:pStyle w:val="Normal12Hanging"/>
        <w:rPr>
          <w:szCs w:val="24"/>
          <w:lang w:val="sv-SE"/>
        </w:rPr>
      </w:pPr>
      <w:r w:rsidRPr="00CC32F1">
        <w:rPr>
          <w:lang w:val="sv-SE"/>
        </w:rPr>
        <w:t>25.</w:t>
      </w:r>
      <w:r w:rsidRPr="00CC32F1">
        <w:rPr>
          <w:lang w:val="sv-SE"/>
        </w:rPr>
        <w:tab/>
        <w:t>Europaparlamentet noterar att byrån har åtta iakttagelser i revisionsrättens rapporter från tidigare år (2017, 2018 och 2021) med statusen ”pågår”. Parlamentet uppmanar byrån att utan dröjsmål genomföra korrigerande åtgärder för dessa iakttagelser och informera den myndighet som beviljar ansvarsfrihet om de framsteg som gjorts i detta avseende.</w:t>
      </w:r>
    </w:p>
    <w:p w:rsidR="00F62D9E" w:rsidRPr="00CC32F1" w:rsidRDefault="00F62D9E" w:rsidP="00F62D9E">
      <w:pPr>
        <w:pStyle w:val="Normal12Hanging"/>
        <w:rPr>
          <w:b/>
          <w:i/>
          <w:szCs w:val="24"/>
          <w:lang w:val="sv-SE"/>
        </w:rPr>
      </w:pPr>
      <w:r w:rsidRPr="00CC32F1">
        <w:rPr>
          <w:b/>
          <w:i/>
          <w:lang w:val="sv-SE"/>
        </w:rPr>
        <w:lastRenderedPageBreak/>
        <w:t>Förebyggande och hantering av intressekonflikter samt transparens</w:t>
      </w:r>
    </w:p>
    <w:p w:rsidR="00F62D9E" w:rsidRPr="00CC32F1" w:rsidRDefault="00F62D9E" w:rsidP="00F62D9E">
      <w:pPr>
        <w:pStyle w:val="NormalHanging12a"/>
        <w:shd w:val="clear" w:color="auto" w:fill="FFFFFF" w:themeFill="background1"/>
        <w:rPr>
          <w:rFonts w:cstheme="minorHAnsi"/>
        </w:rPr>
      </w:pPr>
      <w:r w:rsidRPr="00CC32F1">
        <w:t>26.</w:t>
      </w:r>
      <w:r w:rsidRPr="00CC32F1">
        <w:tab/>
        <w:t>Europaparlamentet noterar att byrån har genomfört beslut om förebyggande och hantering av intressekonflikter för sin personal och om extern verksamhet under och efter byråns funktion. Parlamentet välkomnar att all personal måste lämna in intresseförklaringar en gång vartannat år, med undantag för personal involverad i ekonomihanteringsprocesser och högre chefer som måste lämna in sådana förklaringar årligen. Parlamentet noterar vidare att all byråns personal är skyldig att även lämna in sådana förklaringar när som helst när situationen förändras. Parlamentet noterar att byrån på sin webbplats offentliggör högre chefers intresseförklaringar och meritförteckningar. Parlamentet välkomnar att både styrelseledamöternas och deras suppleanters intresseförklaringar och meritförteckningar offentliggörs från och med 2022.</w:t>
      </w:r>
    </w:p>
    <w:p w:rsidR="00F62D9E" w:rsidRPr="00CC32F1" w:rsidRDefault="00F62D9E" w:rsidP="00F62D9E">
      <w:pPr>
        <w:pStyle w:val="NormalHanging12a"/>
      </w:pPr>
      <w:r w:rsidRPr="00CC32F1">
        <w:t>27.</w:t>
      </w:r>
      <w:r w:rsidRPr="00CC32F1">
        <w:tab/>
        <w:t>Europaparlamentet välkomnar att byrån i mars 2022 antog de reviderade riktlinjerna för visselblåsning. Parlamentet noterar byråns uttalande om att den under 2022 har förbättrat tydligheten och synligheten i de separata kommunikationskanaler som personalen har tillgång till, såsom konfidentiella rådgivare eller för visselblåsning. Parlamentet välkomnar vidare antagandet av riktlinjerna om allmänhetens tillgång till handlingar. Parlamentet välkomnar ikraftträdandet från och med september 2022 av byråns beslut av den 9 augusti 2022 om inrättande av ett öppenhetsregister som gör att möten mellan byråns högsta ledning och ekonomiska aktörer offentliggörs på byråns webbplats.</w:t>
      </w:r>
    </w:p>
    <w:p w:rsidR="00F62D9E" w:rsidRPr="00CC32F1" w:rsidRDefault="00F62D9E" w:rsidP="00F62D9E">
      <w:pPr>
        <w:pStyle w:val="Normal12Hanging"/>
        <w:shd w:val="clear" w:color="auto" w:fill="FFFFFF" w:themeFill="background1"/>
        <w:rPr>
          <w:b/>
          <w:i/>
          <w:szCs w:val="24"/>
          <w:lang w:val="sv-SE"/>
        </w:rPr>
      </w:pPr>
      <w:r w:rsidRPr="00CC32F1">
        <w:rPr>
          <w:b/>
          <w:i/>
          <w:lang w:val="sv-SE"/>
        </w:rPr>
        <w:t>Internkontroll</w:t>
      </w:r>
    </w:p>
    <w:p w:rsidR="00F62D9E" w:rsidRPr="00CC32F1" w:rsidRDefault="00F62D9E" w:rsidP="00F62D9E">
      <w:pPr>
        <w:pStyle w:val="Normal12Hanging"/>
        <w:shd w:val="clear" w:color="auto" w:fill="FFFFFF" w:themeFill="background1"/>
        <w:rPr>
          <w:szCs w:val="24"/>
          <w:lang w:val="sv-SE"/>
        </w:rPr>
      </w:pPr>
      <w:r w:rsidRPr="00CC32F1">
        <w:rPr>
          <w:lang w:val="sv-SE"/>
        </w:rPr>
        <w:t>28.</w:t>
      </w:r>
      <w:r w:rsidRPr="00CC32F1">
        <w:rPr>
          <w:lang w:val="sv-SE"/>
        </w:rPr>
        <w:tab/>
        <w:t>Europaparlamentet är medvetet om vikten av externa revisioner av efterlevnaden av bestämmelserna om uppgiftsskydd för att säkerställa en hög skyddsnivå i samband med byråns behandling av personuppgifter. Parlamentet noterar att byrån under 2022 kontinuerligt följde upp genomföranden av rekommendationer som identifierats i de revisioner som utförts av Europeiska datatillsynsmannen (EDPS) om SIS, VIS och Eurodac. Parlamentet noterar att en ny EDPS-inspektion av Eurodac, VIS och SIS II genomfördes 2022, som inriktades på den övergripande styrningen av it-säkerhet, säkerhetsincidenter och dataintrång samt metoder och praxis för säker utveckling och testning av systemen, med fokus på hanteringen av åtkomstkontroll i de olika miljöerna. Parlamentet noterar att statusen för EDPS-revisionen 2018 av VIS och SIS enligt byråns uppföljningsrapport är ”genomförd” eftersom alla 43 rekommendationer har genomförts, medan statusen för EDPS-revisionen 2019 av Eurodac är ”delvis genomförd” med 23 av 29 rekommendationer slutförda.</w:t>
      </w:r>
    </w:p>
    <w:p w:rsidR="00F62D9E" w:rsidRPr="00CC32F1" w:rsidRDefault="00F62D9E" w:rsidP="00F62D9E">
      <w:pPr>
        <w:pStyle w:val="Normal12Hanging"/>
        <w:shd w:val="clear" w:color="auto" w:fill="FFFFFF" w:themeFill="background1"/>
        <w:rPr>
          <w:szCs w:val="24"/>
          <w:lang w:val="sv-SE"/>
        </w:rPr>
      </w:pPr>
      <w:r w:rsidRPr="00CC32F1">
        <w:rPr>
          <w:lang w:val="sv-SE"/>
        </w:rPr>
        <w:t>29.</w:t>
      </w:r>
      <w:r w:rsidRPr="00CC32F1">
        <w:rPr>
          <w:lang w:val="sv-SE"/>
        </w:rPr>
        <w:tab/>
        <w:t xml:space="preserve">Europaparlamentet välkomnar byråns årliga självbedömning av internkontrollsystemet 2022, enligt vilken 81 % av byråns övervakningskriterier för intern kontroll uppnåddes eller delvis uppnåddes. Parlamentet noterar att slutsatsen av denna bedömning är att det interna kontrollsystemet är befintligt, funktionellt och effektivt, även om det behövs vissa förbättringar när det gäller verkställande av ansvarsskyldighet, förhandskontroller och kontraktsförvaltning. Parlamentet noterar att en stor brist i princip 10 ”Väljer och utvecklar kontrollverksamhet” under komponenten ”Kontrollverksamhet” kvarstår för tredje året i rad. Parlamentet noterar att byrån under 2022 fortsatte att stärka sina kontroller av informationshantering med översynen av byråns långsiktiga bevarande av handlingar och förfaranden för bevarande av handlingar, och med antagandet av riktlinjer för allmänhetens tillgång till handlingar. Parlamentet uppmanar byrån att </w:t>
      </w:r>
      <w:r w:rsidRPr="00CC32F1">
        <w:rPr>
          <w:lang w:val="sv-SE"/>
        </w:rPr>
        <w:lastRenderedPageBreak/>
        <w:t>fortsätta sina ansträngningar med att minska svagheterna i kontrollverksamheten för att minska riskerna i samband med uppnåendet av politiska strategier samt operativa och interna kontrollmål.</w:t>
      </w:r>
    </w:p>
    <w:p w:rsidR="00F62D9E" w:rsidRPr="00CC32F1" w:rsidRDefault="00F62D9E" w:rsidP="00F62D9E">
      <w:pPr>
        <w:pStyle w:val="Normal12Hanging"/>
        <w:shd w:val="clear" w:color="auto" w:fill="FFFFFF" w:themeFill="background1"/>
        <w:rPr>
          <w:szCs w:val="24"/>
          <w:lang w:val="sv-SE"/>
        </w:rPr>
      </w:pPr>
      <w:r w:rsidRPr="00CC32F1">
        <w:rPr>
          <w:lang w:val="sv-SE"/>
        </w:rPr>
        <w:t>30.</w:t>
      </w:r>
      <w:r w:rsidRPr="00CC32F1">
        <w:rPr>
          <w:lang w:val="sv-SE"/>
        </w:rPr>
        <w:tab/>
        <w:t>Europaparlamentet noterar att genomförandegraden för revisionsrekommendationer från olika revisions- och utredningsorgan i slutet av 2022 uppgick till 63 % med 20 av 32 rekommendationer genomförda (12 rekommendationer var förfallna). Parlamentet noterar att det totalt fanns 33 återstående rekommendationer i slutet av 2022, varav tre betecknades som kritiska. Parlamentet uppmanar byrån att genomföra de utestående rekommendationerna och att rapportera till den ansvarsfrihetsbeviljande myndigheten om de framsteg som har gjorts.</w:t>
      </w:r>
    </w:p>
    <w:p w:rsidR="00F62D9E" w:rsidRPr="00CC32F1" w:rsidRDefault="00F62D9E" w:rsidP="00F62D9E">
      <w:pPr>
        <w:pStyle w:val="NormalHanging12a"/>
        <w:shd w:val="clear" w:color="auto" w:fill="FFFFFF" w:themeFill="background1"/>
        <w:rPr>
          <w:szCs w:val="24"/>
        </w:rPr>
      </w:pPr>
      <w:r w:rsidRPr="00CC32F1">
        <w:t>31.</w:t>
      </w:r>
      <w:r w:rsidRPr="00CC32F1">
        <w:tab/>
        <w:t>Europaparlamentet noterar att byrån under 2022 begärde att Europeiska byrån för bedrägeribekämpning (Olaf) skulle bedöma två fall av påstådda bedrägerier vid rekryteringsförfaranden och ett fall av eventuellt bedrägeri från en anställd. Parlamentet noterar att Olaf, som svar på alla tre förfrågningar, beslutade att inte inleda ett utredningsärende. Parlamentet noterar att byrån under 2022 utfärdade rekommendationer från Olafs utredningar i samband med ärendena OC/2020/0441/A2 och OC/2017/1121/A2. Parlamentet välkomnar antagandet av byråns strategi för bedrägeribekämpning 2022–2024 tillsammans med en handlingsplan som omfattar tolv åtgärder.</w:t>
      </w:r>
    </w:p>
    <w:p w:rsidR="00F62D9E" w:rsidRPr="00CC32F1" w:rsidRDefault="00F62D9E" w:rsidP="00F62D9E">
      <w:pPr>
        <w:pStyle w:val="Normal12Hanging"/>
        <w:shd w:val="clear" w:color="auto" w:fill="FFFFFF" w:themeFill="background1"/>
        <w:rPr>
          <w:b/>
          <w:i/>
          <w:szCs w:val="24"/>
          <w:lang w:val="sv-SE"/>
        </w:rPr>
      </w:pPr>
      <w:r w:rsidRPr="00CC32F1">
        <w:rPr>
          <w:b/>
          <w:i/>
          <w:lang w:val="sv-SE"/>
        </w:rPr>
        <w:t>Övrigt</w:t>
      </w:r>
    </w:p>
    <w:p w:rsidR="00F62D9E" w:rsidRPr="00CC32F1" w:rsidRDefault="00F62D9E" w:rsidP="00F62D9E">
      <w:pPr>
        <w:pStyle w:val="NormalHanging12a"/>
        <w:shd w:val="clear" w:color="auto" w:fill="FFFFFF" w:themeFill="background1"/>
        <w:rPr>
          <w:szCs w:val="24"/>
        </w:rPr>
      </w:pPr>
      <w:r w:rsidRPr="00CC32F1">
        <w:t>32.</w:t>
      </w:r>
      <w:r w:rsidRPr="00CC32F1">
        <w:tab/>
        <w:t xml:space="preserve">Europaparlamentet noterar att byrån under 2022 fokuserade på att se till att byråns resultat synliggjordes och öka allmänhetens medvetenhet om dess roll när det gäller att tjäna unionsmedborgarnas intressen och tillhandahålla it-tjänster till sina intressenter. Parlamentet lovordar i detta sammanhang byrån för färdigställandet av dess nya online-portal </w:t>
      </w:r>
      <w:r w:rsidRPr="00CC32F1">
        <w:rPr>
          <w:i/>
          <w:iCs/>
        </w:rPr>
        <w:t>Discover eu-LISA 2.0</w:t>
      </w:r>
      <w:r w:rsidRPr="00CC32F1">
        <w:t xml:space="preserve"> som ger intressenterna en uppdaterad översikt över byråns centrala uppgifter och verksamhetsområden och för offentliggörandet av en särskild broschyr till minne av dess tioårsjubileum, där det sistnämnda uppmärksammades av organisationen, i samarbete med det tjeckiska ordförandeskapet, vid byråns konferens </w:t>
      </w:r>
      <w:r w:rsidRPr="00CC32F1">
        <w:rPr>
          <w:i/>
          <w:iCs/>
        </w:rPr>
        <w:t>10 Years as The Digital Heart of Schengen</w:t>
      </w:r>
      <w:r w:rsidRPr="00CC32F1">
        <w:t xml:space="preserve"> (10 år som Schengens digitala hjärta) med 20 talare och 388 deltagare. Parlamentet lovordar byrån för att den mottog priset </w:t>
      </w:r>
      <w:r w:rsidRPr="00CC32F1">
        <w:rPr>
          <w:i/>
          <w:iCs/>
        </w:rPr>
        <w:t>Forbes Social Award 2022</w:t>
      </w:r>
      <w:r w:rsidRPr="00CC32F1">
        <w:t xml:space="preserve"> för sina innovativa och inspirerande initiativ inom offentlig kommunikation, där byrån sticker ut för sitt starka etiska engagemang och sin användning av innovativa kommunikationsstrategier, tekniker och verktyg. Parlamentet noterar att byråns mätvärden för sociala medier förbättrades under 2022.</w:t>
      </w:r>
    </w:p>
    <w:p w:rsidR="00F62D9E" w:rsidRPr="00CC32F1" w:rsidRDefault="00F62D9E" w:rsidP="00F62D9E">
      <w:pPr>
        <w:pStyle w:val="NormalHanging12a"/>
        <w:shd w:val="clear" w:color="auto" w:fill="FFFFFF" w:themeFill="background1"/>
        <w:rPr>
          <w:szCs w:val="24"/>
        </w:rPr>
      </w:pPr>
      <w:r w:rsidRPr="00CC32F1">
        <w:t>33.</w:t>
      </w:r>
      <w:r w:rsidRPr="00CC32F1">
        <w:tab/>
        <w:t>Europaparlamentet noterar att byrån under 2022 antog ett stort antal planer för säkerhet och driftskontinuitet för sina centrala affärssystem för att garantera den högre nivå i fråga om cybersäkerhet och resiliens som krävs enligt de rättsliga instrumenten och organiserade en cybersäkerhetsövning för att kontrollera effektiviteten hos de säkerhetsåtgärder som genomförts för skyddet av det centrala SIS. Parlamentet noterar att byrån avsevärt ökade övervakningen av de gemensamma it-system som är anslutna till internet på grund av den ökade cyberhotnivån till följd av Rysslands olagliga anfallskrig mot Ukraina.</w:t>
      </w:r>
    </w:p>
    <w:p w:rsidR="00F62D9E" w:rsidRPr="00CC32F1" w:rsidRDefault="00F62D9E" w:rsidP="00F62D9E">
      <w:pPr>
        <w:pStyle w:val="NormalHanging12a"/>
        <w:ind w:left="560" w:hanging="560"/>
      </w:pPr>
      <w:r w:rsidRPr="00CC32F1">
        <w:t>34.</w:t>
      </w:r>
      <w:r w:rsidRPr="00CC32F1">
        <w:tab/>
        <w:t>Europaparlamentet noterar det fortsatta tillhandahållandet av värdtjänster för backupsystemen för Frontex och EUAA. Parlamentet noterar utvecklingen och genomförandet av datacentralen som en tjänst (</w:t>
      </w:r>
      <w:r w:rsidRPr="00CC32F1">
        <w:rPr>
          <w:i/>
          <w:iCs/>
        </w:rPr>
        <w:t>data-centre-as-a-service</w:t>
      </w:r>
      <w:r w:rsidRPr="00CC32F1">
        <w:t xml:space="preserve">) för </w:t>
      </w:r>
      <w:r w:rsidRPr="00CC32F1">
        <w:lastRenderedPageBreak/>
        <w:t>centralisering av den operativa förvaltningen, övervakningen och kapacitetsplaneringen av den it-infrastruktur som används av RIF-systemen. Parlamentet välkomnar de framsteg som gjorts med förberedelserna för den framtida modulära datacentralen, som kommer att tillhandahålla ytterligare buffertkapacitet och en kapacitetsökning på 50 % för att stå värd för nya RIF-system. Parlamentet påminner om vikten av efterlevnad av unionsrätten, särskilt när det gäller dataskydd.</w:t>
      </w:r>
    </w:p>
    <w:p w:rsidR="00F62D9E" w:rsidRPr="00CC32F1" w:rsidRDefault="00F62D9E" w:rsidP="00F62D9E">
      <w:pPr>
        <w:pStyle w:val="NormalCenter12a"/>
        <w:shd w:val="clear" w:color="auto" w:fill="FFFFFF" w:themeFill="background1"/>
      </w:pPr>
      <w:r w:rsidRPr="00CC32F1">
        <w:t>°</w:t>
      </w:r>
    </w:p>
    <w:p w:rsidR="00F62D9E" w:rsidRPr="00CC32F1" w:rsidRDefault="00F62D9E" w:rsidP="00F62D9E">
      <w:pPr>
        <w:pStyle w:val="NormalCenter12a"/>
        <w:shd w:val="clear" w:color="auto" w:fill="FFFFFF" w:themeFill="background1"/>
      </w:pPr>
      <w:r w:rsidRPr="00CC32F1">
        <w:t>°</w:t>
      </w:r>
      <w:r w:rsidRPr="00CC32F1">
        <w:tab/>
        <w:t>°</w:t>
      </w:r>
    </w:p>
    <w:p w:rsidR="00F62D9E" w:rsidRPr="00D936E7" w:rsidRDefault="00F62D9E" w:rsidP="00F62D9E">
      <w:pPr>
        <w:pStyle w:val="NormalHanging12a"/>
        <w:shd w:val="clear" w:color="auto" w:fill="FFFFFF" w:themeFill="background1"/>
      </w:pPr>
      <w:r w:rsidRPr="00CC32F1">
        <w:t>35.</w:t>
      </w:r>
      <w:r w:rsidRPr="00CC32F1">
        <w:tab/>
        <w:t xml:space="preserve">När det gäller andra övergripande iakttagelser som utgör en del av beslutet om ansvarsfrihet hänvisar Europaparlamentet till sin resolution av den </w:t>
      </w:r>
      <w:r w:rsidR="001F6B20" w:rsidRPr="00CC32F1">
        <w:t>11 april</w:t>
      </w:r>
      <w:r w:rsidRPr="00CC32F1">
        <w:t xml:space="preserve"> 2024</w:t>
      </w:r>
      <w:r w:rsidRPr="00CC32F1">
        <w:rPr>
          <w:rStyle w:val="FootnoteReference"/>
        </w:rPr>
        <w:footnoteReference w:id="12"/>
      </w:r>
      <w:r w:rsidRPr="00CC32F1">
        <w:t xml:space="preserve"> om byråernas verksamhetsresultat, ekonomiska förvaltning och kontroll.</w:t>
      </w:r>
    </w:p>
    <w:p w:rsidR="00E365E1" w:rsidRPr="00D936E7" w:rsidRDefault="00E365E1">
      <w:bookmarkStart w:id="9" w:name="TextBodyEnd"/>
      <w:bookmarkEnd w:id="9"/>
    </w:p>
    <w:sectPr w:rsidR="00E365E1" w:rsidRPr="00D936E7" w:rsidSect="00D936E7">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1A86" w:rsidRPr="00D936E7" w:rsidRDefault="00291A86">
      <w:r w:rsidRPr="00D936E7">
        <w:separator/>
      </w:r>
    </w:p>
  </w:endnote>
  <w:endnote w:type="continuationSeparator" w:id="0">
    <w:p w:rsidR="00291A86" w:rsidRPr="00D936E7" w:rsidRDefault="00291A86">
      <w:r w:rsidRPr="00D936E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2D9E" w:rsidRPr="00D936E7" w:rsidRDefault="00F62D9E" w:rsidP="00D02101">
    <w:pPr>
      <w:pStyle w:val="EPFooter"/>
    </w:pPr>
    <w:r w:rsidRPr="00D936E7">
      <w:t>PE</w:t>
    </w:r>
    <w:r w:rsidRPr="00D936E7">
      <w:rPr>
        <w:rStyle w:val="HideTWBExt"/>
      </w:rPr>
      <w:t>&lt;NoPE&gt;</w:t>
    </w:r>
    <w:r w:rsidRPr="00D936E7">
      <w:t>753.534</w:t>
    </w:r>
    <w:r w:rsidRPr="00D936E7">
      <w:rPr>
        <w:rStyle w:val="HideTWBExt"/>
      </w:rPr>
      <w:t>&lt;/NoPE&gt;&lt;Version&gt;</w:t>
    </w:r>
    <w:r w:rsidRPr="00D936E7">
      <w:t>v02-00</w:t>
    </w:r>
    <w:r w:rsidRPr="00D936E7">
      <w:rPr>
        <w:rStyle w:val="HideTWBExt"/>
      </w:rPr>
      <w:t>&lt;/Version&gt;</w:t>
    </w:r>
    <w:r w:rsidRPr="00D936E7">
      <w:tab/>
    </w:r>
    <w:r w:rsidRPr="00D936E7">
      <w:fldChar w:fldCharType="begin"/>
    </w:r>
    <w:r w:rsidRPr="00D936E7">
      <w:instrText xml:space="preserve"> PAGE  \* MERGEFORMAT </w:instrText>
    </w:r>
    <w:r w:rsidRPr="00D936E7">
      <w:fldChar w:fldCharType="separate"/>
    </w:r>
    <w:r w:rsidRPr="00D936E7">
      <w:rPr>
        <w:noProof/>
      </w:rPr>
      <w:t>16</w:t>
    </w:r>
    <w:r w:rsidRPr="00D936E7">
      <w:fldChar w:fldCharType="end"/>
    </w:r>
    <w:r w:rsidRPr="00D936E7">
      <w:t>/</w:t>
    </w:r>
    <w:r w:rsidR="00C1318D">
      <w:fldChar w:fldCharType="begin"/>
    </w:r>
    <w:r w:rsidR="00C1318D">
      <w:instrText xml:space="preserve"> NUMPAGES  \* MERGEFORMAT </w:instrText>
    </w:r>
    <w:r w:rsidR="00C1318D">
      <w:fldChar w:fldCharType="separate"/>
    </w:r>
    <w:r w:rsidRPr="00D936E7">
      <w:rPr>
        <w:noProof/>
      </w:rPr>
      <w:t>16</w:t>
    </w:r>
    <w:r w:rsidR="00C1318D">
      <w:rPr>
        <w:noProof/>
      </w:rPr>
      <w:fldChar w:fldCharType="end"/>
    </w:r>
    <w:r w:rsidRPr="00D936E7">
      <w:tab/>
    </w:r>
    <w:r w:rsidRPr="00D936E7">
      <w:rPr>
        <w:rStyle w:val="HideTWBExt"/>
      </w:rPr>
      <w:t>&lt;PathFdR&gt;</w:t>
    </w:r>
    <w:r w:rsidRPr="00D936E7">
      <w:t>RR\1298800SV.docx</w:t>
    </w:r>
    <w:r w:rsidRPr="00D936E7">
      <w:rPr>
        <w:rStyle w:val="HideTWBExt"/>
      </w:rPr>
      <w:t>&lt;/PathFdR&gt;</w:t>
    </w:r>
  </w:p>
  <w:p w:rsidR="00F62D9E" w:rsidRPr="00D936E7" w:rsidRDefault="00F62D9E" w:rsidP="00D02101">
    <w:pPr>
      <w:pStyle w:val="EPFooter2"/>
    </w:pPr>
    <w:r w:rsidRPr="00D936E7">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2D9E" w:rsidRPr="00D936E7" w:rsidRDefault="00F62D9E" w:rsidP="00D02101">
    <w:pPr>
      <w:pStyle w:val="EPFooter"/>
    </w:pPr>
    <w:r w:rsidRPr="00D936E7">
      <w:rPr>
        <w:rStyle w:val="HideTWBExt"/>
      </w:rPr>
      <w:t>&lt;PathFdR&gt;</w:t>
    </w:r>
    <w:r w:rsidRPr="00D936E7">
      <w:t>RR\1298800SV.docx</w:t>
    </w:r>
    <w:r w:rsidRPr="00D936E7">
      <w:rPr>
        <w:rStyle w:val="HideTWBExt"/>
      </w:rPr>
      <w:t>&lt;/PathFdR&gt;</w:t>
    </w:r>
    <w:r w:rsidRPr="00D936E7">
      <w:tab/>
    </w:r>
    <w:r w:rsidRPr="00D936E7">
      <w:tab/>
      <w:t>PE</w:t>
    </w:r>
    <w:r w:rsidRPr="00D936E7">
      <w:rPr>
        <w:rStyle w:val="HideTWBExt"/>
      </w:rPr>
      <w:t>&lt;NoPE&gt;</w:t>
    </w:r>
    <w:r w:rsidRPr="00D936E7">
      <w:t>753.534</w:t>
    </w:r>
    <w:r w:rsidRPr="00D936E7">
      <w:rPr>
        <w:rStyle w:val="HideTWBExt"/>
      </w:rPr>
      <w:t>&lt;/NoPE&gt;&lt;Version&gt;</w:t>
    </w:r>
    <w:r w:rsidRPr="00D936E7">
      <w:t>v02-00</w:t>
    </w:r>
    <w:r w:rsidRPr="00D936E7">
      <w:rPr>
        <w:rStyle w:val="HideTWBExt"/>
      </w:rPr>
      <w:t>&lt;/Version&gt;</w:t>
    </w:r>
  </w:p>
  <w:p w:rsidR="00F62D9E" w:rsidRPr="00D936E7" w:rsidRDefault="00F62D9E" w:rsidP="00D02101">
    <w:pPr>
      <w:pStyle w:val="EPFooter2"/>
    </w:pPr>
    <w:r w:rsidRPr="00D936E7">
      <w:t>SV</w:t>
    </w:r>
    <w:r w:rsidRPr="00D936E7">
      <w:tab/>
    </w:r>
    <w:r w:rsidRPr="00D936E7">
      <w:rPr>
        <w:b w:val="0"/>
        <w:i/>
        <w:color w:val="C0C0C0"/>
        <w:sz w:val="22"/>
      </w:rPr>
      <w:t>Förenade i mångfalden</w:t>
    </w:r>
    <w:r w:rsidRPr="00D936E7">
      <w:tab/>
      <w:t>SV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936E7"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936E7"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936E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1A86" w:rsidRPr="00D936E7" w:rsidRDefault="00291A86">
      <w:r w:rsidRPr="00D936E7">
        <w:separator/>
      </w:r>
    </w:p>
  </w:footnote>
  <w:footnote w:type="continuationSeparator" w:id="0">
    <w:p w:rsidR="00291A86" w:rsidRPr="00D936E7" w:rsidRDefault="00291A86">
      <w:r w:rsidRPr="00D936E7">
        <w:continuationSeparator/>
      </w:r>
    </w:p>
  </w:footnote>
  <w:footnote w:id="1">
    <w:p w:rsidR="00F62D9E" w:rsidRPr="00CC32F1" w:rsidRDefault="00F62D9E" w:rsidP="00D936E7">
      <w:pPr>
        <w:pStyle w:val="FootnoteText"/>
        <w:ind w:left="567" w:hanging="567"/>
        <w:rPr>
          <w:sz w:val="24"/>
        </w:rPr>
      </w:pPr>
      <w:r w:rsidRPr="00CC32F1">
        <w:rPr>
          <w:rStyle w:val="FootnoteReference"/>
          <w:sz w:val="24"/>
          <w:lang w:val="sv-SE"/>
        </w:rPr>
        <w:footnoteRef/>
      </w:r>
      <w:r w:rsidR="00D936E7" w:rsidRPr="00CC32F1">
        <w:rPr>
          <w:sz w:val="24"/>
        </w:rPr>
        <w:t xml:space="preserve"> </w:t>
      </w:r>
      <w:r w:rsidR="00D936E7" w:rsidRPr="00CC32F1">
        <w:rPr>
          <w:sz w:val="24"/>
        </w:rPr>
        <w:tab/>
      </w:r>
      <w:r w:rsidRPr="00CC32F1">
        <w:rPr>
          <w:sz w:val="24"/>
        </w:rPr>
        <w:t>EUT C, C/2023/594, 27.10.2023.</w:t>
      </w:r>
    </w:p>
  </w:footnote>
  <w:footnote w:id="2">
    <w:p w:rsidR="00F62D9E" w:rsidRPr="00CC32F1" w:rsidRDefault="00F62D9E" w:rsidP="00D936E7">
      <w:pPr>
        <w:pStyle w:val="FootnoteText"/>
        <w:ind w:left="567" w:hanging="567"/>
        <w:rPr>
          <w:sz w:val="24"/>
        </w:rPr>
      </w:pPr>
      <w:r w:rsidRPr="00CC32F1">
        <w:rPr>
          <w:rStyle w:val="FootnoteReference"/>
          <w:sz w:val="24"/>
          <w:lang w:val="sv-SE"/>
        </w:rPr>
        <w:footnoteRef/>
      </w:r>
      <w:r w:rsidR="00D936E7" w:rsidRPr="00CC32F1">
        <w:rPr>
          <w:sz w:val="24"/>
        </w:rPr>
        <w:t xml:space="preserve"> </w:t>
      </w:r>
      <w:r w:rsidR="00D936E7" w:rsidRPr="00CC32F1">
        <w:rPr>
          <w:sz w:val="24"/>
        </w:rPr>
        <w:tab/>
      </w:r>
      <w:r w:rsidRPr="00CC32F1">
        <w:rPr>
          <w:sz w:val="24"/>
        </w:rPr>
        <w:t>EUT C, C/2023/112, 12.10.2023.</w:t>
      </w:r>
    </w:p>
  </w:footnote>
  <w:footnote w:id="3">
    <w:p w:rsidR="00F62D9E" w:rsidRPr="00CC32F1" w:rsidRDefault="00F62D9E" w:rsidP="00D936E7">
      <w:pPr>
        <w:pStyle w:val="FootnoteText"/>
        <w:ind w:left="567" w:hanging="567"/>
        <w:rPr>
          <w:sz w:val="24"/>
        </w:rPr>
      </w:pPr>
      <w:r w:rsidRPr="00CC32F1">
        <w:rPr>
          <w:rStyle w:val="FootnoteReference"/>
          <w:sz w:val="24"/>
          <w:lang w:val="sv-SE"/>
        </w:rPr>
        <w:footnoteRef/>
      </w:r>
      <w:r w:rsidR="00D936E7" w:rsidRPr="00CC32F1">
        <w:rPr>
          <w:sz w:val="24"/>
        </w:rPr>
        <w:t xml:space="preserve"> </w:t>
      </w:r>
      <w:r w:rsidR="00D936E7" w:rsidRPr="00CC32F1">
        <w:rPr>
          <w:sz w:val="24"/>
        </w:rPr>
        <w:tab/>
      </w:r>
      <w:r w:rsidRPr="00CC32F1">
        <w:rPr>
          <w:sz w:val="24"/>
        </w:rPr>
        <w:t>EUT L 193, 30.7.2018, s. 1.</w:t>
      </w:r>
    </w:p>
  </w:footnote>
  <w:footnote w:id="4">
    <w:p w:rsidR="00F62D9E" w:rsidRPr="00CC32F1" w:rsidRDefault="00F62D9E" w:rsidP="00D936E7">
      <w:pPr>
        <w:pStyle w:val="FootnoteText"/>
        <w:ind w:left="567" w:hanging="567"/>
        <w:rPr>
          <w:sz w:val="24"/>
          <w:szCs w:val="24"/>
        </w:rPr>
      </w:pPr>
      <w:r w:rsidRPr="00CC32F1">
        <w:rPr>
          <w:rStyle w:val="FootnoteReference"/>
          <w:sz w:val="24"/>
          <w:lang w:val="sv-SE"/>
        </w:rPr>
        <w:footnoteRef/>
      </w:r>
      <w:r w:rsidR="00D936E7" w:rsidRPr="00CC32F1">
        <w:rPr>
          <w:sz w:val="24"/>
        </w:rPr>
        <w:t xml:space="preserve"> </w:t>
      </w:r>
      <w:r w:rsidR="00D936E7" w:rsidRPr="00CC32F1">
        <w:rPr>
          <w:sz w:val="24"/>
        </w:rPr>
        <w:tab/>
      </w:r>
      <w:r w:rsidRPr="00CC32F1">
        <w:rPr>
          <w:sz w:val="24"/>
        </w:rPr>
        <w:t>EUT L 295, 21.11.2018, s. 99.</w:t>
      </w:r>
    </w:p>
  </w:footnote>
  <w:footnote w:id="5">
    <w:p w:rsidR="00F62D9E" w:rsidRPr="00CC32F1" w:rsidRDefault="00F62D9E" w:rsidP="00D936E7">
      <w:pPr>
        <w:pStyle w:val="FootnoteText"/>
        <w:ind w:left="567" w:hanging="567"/>
        <w:rPr>
          <w:sz w:val="24"/>
        </w:rPr>
      </w:pPr>
      <w:r w:rsidRPr="00CC32F1">
        <w:rPr>
          <w:rStyle w:val="FootnoteReference"/>
          <w:sz w:val="24"/>
          <w:lang w:val="sv-SE"/>
        </w:rPr>
        <w:footnoteRef/>
      </w:r>
      <w:r w:rsidR="00D936E7" w:rsidRPr="00CC32F1">
        <w:rPr>
          <w:sz w:val="24"/>
        </w:rPr>
        <w:t xml:space="preserve"> </w:t>
      </w:r>
      <w:r w:rsidR="00D936E7" w:rsidRPr="00CC32F1">
        <w:rPr>
          <w:sz w:val="24"/>
        </w:rPr>
        <w:tab/>
      </w:r>
      <w:r w:rsidRPr="00CC32F1">
        <w:rPr>
          <w:sz w:val="24"/>
        </w:rPr>
        <w:t>EUT L 122, 10.5.2019, s. 1.</w:t>
      </w:r>
    </w:p>
  </w:footnote>
  <w:footnote w:id="6">
    <w:p w:rsidR="00F62D9E" w:rsidRPr="00CC32F1" w:rsidRDefault="00F62D9E" w:rsidP="00D936E7">
      <w:pPr>
        <w:pStyle w:val="FootnoteText"/>
        <w:ind w:left="567" w:hanging="567"/>
        <w:rPr>
          <w:sz w:val="24"/>
        </w:rPr>
      </w:pPr>
      <w:r w:rsidRPr="00CC32F1">
        <w:rPr>
          <w:rStyle w:val="FootnoteReference"/>
          <w:sz w:val="24"/>
          <w:lang w:val="sv-SE"/>
        </w:rPr>
        <w:footnoteRef/>
      </w:r>
      <w:r w:rsidR="00D936E7" w:rsidRPr="00CC32F1">
        <w:rPr>
          <w:sz w:val="24"/>
        </w:rPr>
        <w:t xml:space="preserve"> </w:t>
      </w:r>
      <w:r w:rsidR="00D936E7" w:rsidRPr="00CC32F1">
        <w:rPr>
          <w:sz w:val="24"/>
        </w:rPr>
        <w:tab/>
      </w:r>
      <w:r w:rsidRPr="00CC32F1">
        <w:rPr>
          <w:sz w:val="24"/>
        </w:rPr>
        <w:t>EUT C, C/2023/594, 27.10.2023.</w:t>
      </w:r>
    </w:p>
  </w:footnote>
  <w:footnote w:id="7">
    <w:p w:rsidR="00F62D9E" w:rsidRPr="00CC32F1" w:rsidRDefault="00F62D9E" w:rsidP="00D936E7">
      <w:pPr>
        <w:pStyle w:val="FootnoteText"/>
        <w:ind w:left="567" w:hanging="567"/>
        <w:rPr>
          <w:sz w:val="24"/>
        </w:rPr>
      </w:pPr>
      <w:r w:rsidRPr="00CC32F1">
        <w:rPr>
          <w:rStyle w:val="FootnoteReference"/>
          <w:sz w:val="24"/>
          <w:lang w:val="sv-SE"/>
        </w:rPr>
        <w:footnoteRef/>
      </w:r>
      <w:r w:rsidR="00D936E7" w:rsidRPr="00CC32F1">
        <w:rPr>
          <w:sz w:val="24"/>
        </w:rPr>
        <w:t xml:space="preserve"> </w:t>
      </w:r>
      <w:r w:rsidR="00D936E7" w:rsidRPr="00CC32F1">
        <w:rPr>
          <w:sz w:val="24"/>
        </w:rPr>
        <w:tab/>
      </w:r>
      <w:r w:rsidRPr="00CC32F1">
        <w:rPr>
          <w:sz w:val="24"/>
        </w:rPr>
        <w:t>EUT C, C/2023/112, 12.10.2023.</w:t>
      </w:r>
    </w:p>
  </w:footnote>
  <w:footnote w:id="8">
    <w:p w:rsidR="00F62D9E" w:rsidRPr="00CC32F1" w:rsidRDefault="00F62D9E" w:rsidP="00D936E7">
      <w:pPr>
        <w:pStyle w:val="FootnoteText"/>
        <w:ind w:left="567" w:hanging="567"/>
        <w:rPr>
          <w:sz w:val="24"/>
        </w:rPr>
      </w:pPr>
      <w:r w:rsidRPr="00CC32F1">
        <w:rPr>
          <w:rStyle w:val="FootnoteReference"/>
          <w:sz w:val="24"/>
          <w:lang w:val="sv-SE"/>
        </w:rPr>
        <w:footnoteRef/>
      </w:r>
      <w:r w:rsidR="00D936E7" w:rsidRPr="00CC32F1">
        <w:rPr>
          <w:sz w:val="24"/>
        </w:rPr>
        <w:t xml:space="preserve"> </w:t>
      </w:r>
      <w:r w:rsidR="00D936E7" w:rsidRPr="00CC32F1">
        <w:rPr>
          <w:sz w:val="24"/>
        </w:rPr>
        <w:tab/>
      </w:r>
      <w:r w:rsidRPr="00CC32F1">
        <w:rPr>
          <w:sz w:val="24"/>
        </w:rPr>
        <w:t>EUT L 193, 30.7.2018, s. 1.</w:t>
      </w:r>
    </w:p>
  </w:footnote>
  <w:footnote w:id="9">
    <w:p w:rsidR="00F62D9E" w:rsidRPr="00CC32F1" w:rsidRDefault="00F62D9E" w:rsidP="00D936E7">
      <w:pPr>
        <w:pStyle w:val="FootnoteText"/>
        <w:ind w:left="567" w:hanging="567"/>
        <w:rPr>
          <w:sz w:val="24"/>
        </w:rPr>
      </w:pPr>
      <w:r w:rsidRPr="00CC32F1">
        <w:rPr>
          <w:rStyle w:val="FootnoteReference"/>
          <w:sz w:val="24"/>
          <w:lang w:val="sv-SE"/>
        </w:rPr>
        <w:footnoteRef/>
      </w:r>
      <w:r w:rsidR="00D936E7" w:rsidRPr="00CC32F1">
        <w:rPr>
          <w:sz w:val="24"/>
        </w:rPr>
        <w:t xml:space="preserve"> </w:t>
      </w:r>
      <w:r w:rsidR="00D936E7" w:rsidRPr="00CC32F1">
        <w:rPr>
          <w:sz w:val="24"/>
        </w:rPr>
        <w:tab/>
      </w:r>
      <w:r w:rsidRPr="00CC32F1">
        <w:rPr>
          <w:sz w:val="24"/>
        </w:rPr>
        <w:t>EUT L 295, 21.11.2018, s. 99.</w:t>
      </w:r>
    </w:p>
  </w:footnote>
  <w:footnote w:id="10">
    <w:p w:rsidR="00F62D9E" w:rsidRPr="00CC32F1" w:rsidRDefault="00F62D9E" w:rsidP="00D936E7">
      <w:pPr>
        <w:pStyle w:val="FootnoteText"/>
        <w:ind w:left="567" w:hanging="567"/>
        <w:rPr>
          <w:sz w:val="24"/>
          <w:szCs w:val="24"/>
        </w:rPr>
      </w:pPr>
      <w:r w:rsidRPr="00CC32F1">
        <w:rPr>
          <w:rStyle w:val="FootnoteReference"/>
          <w:sz w:val="24"/>
          <w:lang w:val="sv-SE"/>
        </w:rPr>
        <w:footnoteRef/>
      </w:r>
      <w:r w:rsidR="00D936E7" w:rsidRPr="00CC32F1">
        <w:rPr>
          <w:sz w:val="24"/>
        </w:rPr>
        <w:t xml:space="preserve"> </w:t>
      </w:r>
      <w:r w:rsidR="00D936E7" w:rsidRPr="00CC32F1">
        <w:rPr>
          <w:sz w:val="24"/>
        </w:rPr>
        <w:tab/>
      </w:r>
      <w:r w:rsidRPr="00CC32F1">
        <w:rPr>
          <w:sz w:val="24"/>
        </w:rPr>
        <w:t>EUT L 122, 10.5.2019, s. 1.</w:t>
      </w:r>
    </w:p>
  </w:footnote>
  <w:footnote w:id="11">
    <w:p w:rsidR="00F62D9E" w:rsidRPr="00CC32F1" w:rsidRDefault="00F62D9E" w:rsidP="00D936E7">
      <w:pPr>
        <w:pStyle w:val="FootnoteText"/>
        <w:ind w:left="567" w:hanging="567"/>
        <w:rPr>
          <w:sz w:val="24"/>
          <w:lang w:val="sv-SE"/>
        </w:rPr>
      </w:pPr>
      <w:r w:rsidRPr="00CC32F1">
        <w:rPr>
          <w:sz w:val="24"/>
          <w:vertAlign w:val="superscript"/>
          <w:lang w:val="sv-SE"/>
        </w:rPr>
        <w:footnoteRef/>
      </w:r>
      <w:r w:rsidR="00D936E7" w:rsidRPr="00CC32F1">
        <w:rPr>
          <w:sz w:val="24"/>
          <w:lang w:val="sv-SE"/>
        </w:rPr>
        <w:t xml:space="preserve"> </w:t>
      </w:r>
      <w:r w:rsidR="00D936E7" w:rsidRPr="00CC32F1">
        <w:rPr>
          <w:sz w:val="24"/>
          <w:lang w:val="sv-SE"/>
        </w:rPr>
        <w:tab/>
      </w:r>
      <w:r w:rsidRPr="00CC32F1">
        <w:rPr>
          <w:sz w:val="24"/>
          <w:lang w:val="sv-SE"/>
        </w:rPr>
        <w:t>EUT C 38, 31.1.2023, s. 103.</w:t>
      </w:r>
    </w:p>
  </w:footnote>
  <w:footnote w:id="12">
    <w:p w:rsidR="00F62D9E" w:rsidRPr="00D936E7" w:rsidRDefault="00F62D9E" w:rsidP="00D936E7">
      <w:pPr>
        <w:pStyle w:val="FootnoteText"/>
        <w:ind w:left="567" w:hanging="567"/>
        <w:rPr>
          <w:sz w:val="24"/>
          <w:lang w:val="sv-SE"/>
        </w:rPr>
      </w:pPr>
      <w:r w:rsidRPr="00CC32F1">
        <w:rPr>
          <w:rStyle w:val="FootnoteReference"/>
          <w:sz w:val="24"/>
          <w:lang w:val="sv-SE"/>
        </w:rPr>
        <w:footnoteRef/>
      </w:r>
      <w:r w:rsidR="00D936E7" w:rsidRPr="00CC32F1">
        <w:rPr>
          <w:sz w:val="24"/>
          <w:lang w:val="sv-SE"/>
        </w:rPr>
        <w:t xml:space="preserve"> </w:t>
      </w:r>
      <w:r w:rsidR="00D936E7" w:rsidRPr="00CC32F1">
        <w:rPr>
          <w:sz w:val="24"/>
          <w:lang w:val="sv-SE"/>
        </w:rPr>
        <w:tab/>
      </w:r>
      <w:r w:rsidRPr="00CC32F1">
        <w:rPr>
          <w:sz w:val="24"/>
          <w:lang w:val="sv-SE"/>
        </w:rPr>
        <w:t>Antagna texter, P9_TA(2024)0</w:t>
      </w:r>
      <w:r w:rsidR="00CC32F1" w:rsidRPr="00CC32F1">
        <w:rPr>
          <w:sz w:val="24"/>
          <w:lang w:val="sv-SE"/>
        </w:rPr>
        <w:t>280</w:t>
      </w:r>
      <w:r w:rsidRPr="00CC32F1">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936E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936E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936E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5/2024"/>
    <w:docVar w:name="dvlangue" w:val="SV"/>
    <w:docVar w:name="dvnumam" w:val="0"/>
    <w:docVar w:name="dvpe" w:val="753.534"/>
    <w:docVar w:name="dvrapporteur" w:val="Föredragande: "/>
    <w:docVar w:name="dvtitre" w:val="Europaparlamentets beslut av den xx xx 2024 om ansvarsfrihet för genomförandet av budgeten för Europeiska unionens byrå för den operativa förvaltningen av stora it-system inom området frihet, säkerhet och rättvisa (eu-Lisa) för budgetåret 2022(2023/2165(DEC))"/>
  </w:docVars>
  <w:rsids>
    <w:rsidRoot w:val="00291A86"/>
    <w:rsid w:val="00002272"/>
    <w:rsid w:val="00064002"/>
    <w:rsid w:val="000677B9"/>
    <w:rsid w:val="000831BA"/>
    <w:rsid w:val="000A42CC"/>
    <w:rsid w:val="000E7DD9"/>
    <w:rsid w:val="0010095E"/>
    <w:rsid w:val="00125B37"/>
    <w:rsid w:val="00187494"/>
    <w:rsid w:val="001B1924"/>
    <w:rsid w:val="001D1B2B"/>
    <w:rsid w:val="001F32AE"/>
    <w:rsid w:val="001F6B20"/>
    <w:rsid w:val="00250DEB"/>
    <w:rsid w:val="002767FF"/>
    <w:rsid w:val="00291A86"/>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01D7"/>
    <w:rsid w:val="005A2E1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31B0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318D"/>
    <w:rsid w:val="00C23CD4"/>
    <w:rsid w:val="00C61C0C"/>
    <w:rsid w:val="00C941CB"/>
    <w:rsid w:val="00CA54A5"/>
    <w:rsid w:val="00CC2357"/>
    <w:rsid w:val="00CC32F1"/>
    <w:rsid w:val="00CF071A"/>
    <w:rsid w:val="00D058B8"/>
    <w:rsid w:val="00D56C11"/>
    <w:rsid w:val="00D834A0"/>
    <w:rsid w:val="00D872DF"/>
    <w:rsid w:val="00D91E21"/>
    <w:rsid w:val="00D936E7"/>
    <w:rsid w:val="00DA7FCD"/>
    <w:rsid w:val="00E365E1"/>
    <w:rsid w:val="00E820A4"/>
    <w:rsid w:val="00EB006A"/>
    <w:rsid w:val="00EB4772"/>
    <w:rsid w:val="00ED169E"/>
    <w:rsid w:val="00ED4235"/>
    <w:rsid w:val="00F04346"/>
    <w:rsid w:val="00F075DC"/>
    <w:rsid w:val="00F149E9"/>
    <w:rsid w:val="00F5134D"/>
    <w:rsid w:val="00F62D9E"/>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57B219"/>
  <w15:chartTrackingRefBased/>
  <w15:docId w15:val="{CA723409-1FDB-469D-AA01-7A84605E5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62D9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F62D9E"/>
    <w:pPr>
      <w:spacing w:before="480" w:after="240"/>
    </w:pPr>
  </w:style>
  <w:style w:type="paragraph" w:customStyle="1" w:styleId="PageHeading">
    <w:name w:val="PageHeading"/>
    <w:basedOn w:val="Normal"/>
    <w:rsid w:val="00F62D9E"/>
    <w:pPr>
      <w:keepNext/>
      <w:spacing w:after="480"/>
      <w:jc w:val="center"/>
    </w:pPr>
    <w:rPr>
      <w:rFonts w:ascii="Arial" w:hAnsi="Arial" w:cs="Arial"/>
      <w:b/>
    </w:rPr>
  </w:style>
  <w:style w:type="paragraph" w:customStyle="1" w:styleId="NormalBold">
    <w:name w:val="NormalBold"/>
    <w:basedOn w:val="Normal"/>
    <w:rsid w:val="00F62D9E"/>
    <w:rPr>
      <w:b/>
    </w:rPr>
  </w:style>
  <w:style w:type="paragraph" w:customStyle="1" w:styleId="NormalHanging12a">
    <w:name w:val="NormalHanging12a"/>
    <w:basedOn w:val="Normal"/>
    <w:link w:val="NormalHanging12aChar"/>
    <w:rsid w:val="00F62D9E"/>
    <w:pPr>
      <w:spacing w:after="240"/>
      <w:ind w:left="567" w:hanging="567"/>
    </w:pPr>
  </w:style>
  <w:style w:type="paragraph" w:customStyle="1" w:styleId="NormalCenter12a">
    <w:name w:val="NormalCenter12a"/>
    <w:basedOn w:val="Normal"/>
    <w:rsid w:val="00F62D9E"/>
    <w:pPr>
      <w:spacing w:after="240"/>
      <w:jc w:val="center"/>
    </w:pPr>
  </w:style>
  <w:style w:type="paragraph" w:styleId="Header">
    <w:name w:val="header"/>
    <w:basedOn w:val="Normal"/>
    <w:link w:val="HeaderChar"/>
    <w:rsid w:val="00F62D9E"/>
    <w:pPr>
      <w:tabs>
        <w:tab w:val="center" w:pos="4513"/>
        <w:tab w:val="right" w:pos="9026"/>
      </w:tabs>
    </w:pPr>
  </w:style>
  <w:style w:type="character" w:customStyle="1" w:styleId="HeaderChar">
    <w:name w:val="Header Char"/>
    <w:basedOn w:val="DefaultParagraphFont"/>
    <w:link w:val="Header"/>
    <w:rsid w:val="00F62D9E"/>
    <w:rPr>
      <w:sz w:val="24"/>
      <w:lang w:val="sv-SE"/>
    </w:rPr>
  </w:style>
  <w:style w:type="paragraph" w:customStyle="1" w:styleId="EPFooter">
    <w:name w:val="EPFooter"/>
    <w:basedOn w:val="Normal"/>
    <w:rsid w:val="00F62D9E"/>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F62D9E"/>
    <w:rPr>
      <w:sz w:val="24"/>
      <w:lang w:val="sv-SE"/>
    </w:rPr>
  </w:style>
  <w:style w:type="character" w:customStyle="1" w:styleId="Normal12HangingChar">
    <w:name w:val="Normal12Hanging Char"/>
    <w:link w:val="Normal12Hanging"/>
    <w:locked/>
    <w:rsid w:val="00F62D9E"/>
    <w:rPr>
      <w:sz w:val="24"/>
    </w:rPr>
  </w:style>
  <w:style w:type="paragraph" w:customStyle="1" w:styleId="Normal12Hanging">
    <w:name w:val="Normal12Hanging"/>
    <w:basedOn w:val="Normal"/>
    <w:link w:val="Normal12HangingChar"/>
    <w:rsid w:val="00F62D9E"/>
    <w:pPr>
      <w:spacing w:after="240"/>
      <w:ind w:left="567" w:hanging="567"/>
    </w:pPr>
    <w:rPr>
      <w:lang w:val="en-GB"/>
    </w:rPr>
  </w:style>
  <w:style w:type="paragraph" w:styleId="BalloonText">
    <w:name w:val="Balloon Text"/>
    <w:basedOn w:val="Normal"/>
    <w:link w:val="BalloonTextChar"/>
    <w:rsid w:val="00CA54A5"/>
    <w:rPr>
      <w:rFonts w:ascii="Segoe UI" w:hAnsi="Segoe UI" w:cs="Segoe UI"/>
      <w:sz w:val="18"/>
      <w:szCs w:val="18"/>
    </w:rPr>
  </w:style>
  <w:style w:type="character" w:customStyle="1" w:styleId="BalloonTextChar">
    <w:name w:val="Balloon Text Char"/>
    <w:basedOn w:val="DefaultParagraphFont"/>
    <w:link w:val="BalloonText"/>
    <w:rsid w:val="00CA54A5"/>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FBDF48-EEEE-4C0E-9300-473C803CCE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5769</Words>
  <Characters>37915</Characters>
  <Application>Microsoft Office Word</Application>
  <DocSecurity>0</DocSecurity>
  <Lines>315</Lines>
  <Paragraphs>87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ANDERSSON Terese</cp:lastModifiedBy>
  <cp:revision>2</cp:revision>
  <cp:lastPrinted>2004-11-19T15:42:00Z</cp:lastPrinted>
  <dcterms:created xsi:type="dcterms:W3CDTF">2024-05-17T09:26:00Z</dcterms:created>
  <dcterms:modified xsi:type="dcterms:W3CDTF">2024-05-17T09:26:00Z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P9_TA(2024)0269_</vt:lpwstr>
  </property>
  <property fmtid="{D5CDD505-2E9C-101B-9397-08002B2CF9AE}" pid="4" name="&lt;Type&gt;">
    <vt:lpwstr>RR</vt:lpwstr>
  </property>
</Properties>
</file>