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11E5" w:rsidTr="0010095E">
        <w:trPr>
          <w:trHeight w:hRule="exact" w:val="1418"/>
        </w:trPr>
        <w:tc>
          <w:tcPr>
            <w:tcW w:w="6804" w:type="dxa"/>
            <w:shd w:val="clear" w:color="auto" w:fill="auto"/>
            <w:vAlign w:val="center"/>
          </w:tcPr>
          <w:p w:rsidR="00751A4A" w:rsidRPr="004511E5" w:rsidRDefault="00A60FD8" w:rsidP="0010095E">
            <w:pPr>
              <w:pStyle w:val="EPName"/>
            </w:pPr>
            <w:r w:rsidRPr="004511E5">
              <w:t>Europski parlament</w:t>
            </w:r>
          </w:p>
          <w:p w:rsidR="00751A4A" w:rsidRPr="004511E5" w:rsidRDefault="00817416" w:rsidP="00756632">
            <w:pPr>
              <w:pStyle w:val="EPTerm"/>
              <w:rPr>
                <w:rStyle w:val="HideTWBExt"/>
                <w:noProof w:val="0"/>
                <w:vanish w:val="0"/>
                <w:color w:val="auto"/>
              </w:rPr>
            </w:pPr>
            <w:r w:rsidRPr="004511E5">
              <w:t>2019-2024</w:t>
            </w:r>
          </w:p>
        </w:tc>
        <w:tc>
          <w:tcPr>
            <w:tcW w:w="2268" w:type="dxa"/>
            <w:shd w:val="clear" w:color="auto" w:fill="auto"/>
          </w:tcPr>
          <w:p w:rsidR="00751A4A" w:rsidRPr="004511E5" w:rsidRDefault="00187494" w:rsidP="0010095E">
            <w:pPr>
              <w:pStyle w:val="EPLogo"/>
            </w:pPr>
            <w:r w:rsidRPr="004511E5">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511E5" w:rsidRDefault="00D058B8" w:rsidP="004C5D52">
      <w:pPr>
        <w:pStyle w:val="LineTop"/>
      </w:pPr>
    </w:p>
    <w:p w:rsidR="00680577" w:rsidRPr="004511E5" w:rsidRDefault="00A60FD8" w:rsidP="00680577">
      <w:pPr>
        <w:pStyle w:val="EPBodyTA1"/>
      </w:pPr>
      <w:r w:rsidRPr="004511E5">
        <w:t>USVOJENI TEKSTOVI</w:t>
      </w:r>
    </w:p>
    <w:p w:rsidR="00D058B8" w:rsidRPr="004511E5" w:rsidRDefault="00D058B8" w:rsidP="00D058B8">
      <w:pPr>
        <w:pStyle w:val="LineBottom"/>
      </w:pPr>
    </w:p>
    <w:p w:rsidR="00A60FD8" w:rsidRPr="004511E5" w:rsidRDefault="00A60FD8" w:rsidP="00A60FD8">
      <w:pPr>
        <w:pStyle w:val="ATHeading1"/>
      </w:pPr>
      <w:bookmarkStart w:id="0" w:name="TANumber"/>
      <w:r w:rsidRPr="004511E5">
        <w:t>P9_TA(2024)0</w:t>
      </w:r>
      <w:r w:rsidR="00FA1F08">
        <w:t>270</w:t>
      </w:r>
      <w:bookmarkEnd w:id="0"/>
    </w:p>
    <w:p w:rsidR="00A60FD8" w:rsidRPr="004511E5" w:rsidRDefault="00A60FD8" w:rsidP="00A60FD8">
      <w:pPr>
        <w:pStyle w:val="ATHeading2"/>
      </w:pPr>
      <w:bookmarkStart w:id="1" w:name="title"/>
      <w:r w:rsidRPr="004511E5">
        <w:t>Razrješnica za 2022.: Europsko zajedničko poduzeće za ITER i razvoj energije fuzije (Fuzija za energiju)</w:t>
      </w:r>
      <w:bookmarkEnd w:id="1"/>
    </w:p>
    <w:p w:rsidR="00A60FD8" w:rsidRPr="004511E5" w:rsidRDefault="00A60FD8" w:rsidP="00A60FD8">
      <w:pPr>
        <w:rPr>
          <w:i/>
          <w:vanish/>
        </w:rPr>
      </w:pPr>
      <w:r w:rsidRPr="004511E5">
        <w:rPr>
          <w:i/>
        </w:rPr>
        <w:fldChar w:fldCharType="begin"/>
      </w:r>
      <w:r w:rsidRPr="004511E5">
        <w:rPr>
          <w:i/>
        </w:rPr>
        <w:instrText xml:space="preserve"> TC"(</w:instrText>
      </w:r>
      <w:bookmarkStart w:id="2" w:name="DocNumber"/>
      <w:r w:rsidRPr="004511E5">
        <w:rPr>
          <w:i/>
        </w:rPr>
        <w:instrText>A9-0090/2024</w:instrText>
      </w:r>
      <w:bookmarkEnd w:id="2"/>
      <w:r w:rsidRPr="004511E5">
        <w:rPr>
          <w:i/>
        </w:rPr>
        <w:instrText xml:space="preserve"> - Izvjestitelj: Michal </w:instrText>
      </w:r>
      <w:proofErr w:type="spellStart"/>
      <w:r w:rsidRPr="004511E5">
        <w:rPr>
          <w:i/>
        </w:rPr>
        <w:instrText>Wiezik</w:instrText>
      </w:r>
      <w:proofErr w:type="spellEnd"/>
      <w:r w:rsidRPr="004511E5">
        <w:rPr>
          <w:i/>
        </w:rPr>
        <w:instrText xml:space="preserve">)"\l3 \n&gt; \* MERGEFORMAT </w:instrText>
      </w:r>
      <w:r w:rsidRPr="004511E5">
        <w:rPr>
          <w:i/>
        </w:rPr>
        <w:fldChar w:fldCharType="end"/>
      </w:r>
    </w:p>
    <w:p w:rsidR="00A60FD8" w:rsidRPr="004511E5" w:rsidRDefault="00A60FD8" w:rsidP="00A60FD8">
      <w:pPr>
        <w:rPr>
          <w:vanish/>
        </w:rPr>
      </w:pPr>
      <w:bookmarkStart w:id="3" w:name="Commission"/>
      <w:r w:rsidRPr="004511E5">
        <w:rPr>
          <w:vanish/>
        </w:rPr>
        <w:t>Odbor za proračunski nadzor</w:t>
      </w:r>
      <w:bookmarkEnd w:id="3"/>
    </w:p>
    <w:p w:rsidR="00A60FD8" w:rsidRPr="004511E5" w:rsidRDefault="00A60FD8" w:rsidP="00A60FD8">
      <w:pPr>
        <w:rPr>
          <w:vanish/>
        </w:rPr>
      </w:pPr>
      <w:bookmarkStart w:id="4" w:name="PE"/>
      <w:r w:rsidRPr="004511E5">
        <w:rPr>
          <w:vanish/>
        </w:rPr>
        <w:t>PE753.493</w:t>
      </w:r>
      <w:bookmarkEnd w:id="4"/>
    </w:p>
    <w:p w:rsidR="00A60FD8" w:rsidRPr="004511E5" w:rsidRDefault="004511E5" w:rsidP="00A60FD8">
      <w:pPr>
        <w:pStyle w:val="ATHeading3"/>
      </w:pPr>
      <w:bookmarkStart w:id="5" w:name="Sujet"/>
      <w:r>
        <w:t xml:space="preserve">1. </w:t>
      </w:r>
      <w:r w:rsidR="00A60FD8" w:rsidRPr="004511E5">
        <w:t>Od</w:t>
      </w:r>
      <w:r>
        <w:t>luka Europskog parlamenta od 11</w:t>
      </w:r>
      <w:r w:rsidR="00A60FD8" w:rsidRPr="004511E5">
        <w:t xml:space="preserve">. </w:t>
      </w:r>
      <w:r>
        <w:t xml:space="preserve">travnja </w:t>
      </w:r>
      <w:r w:rsidR="00A60FD8" w:rsidRPr="004511E5">
        <w:t>2024. o razrješnici za izvršenje proračuna Zajedničkog poduzeća za ITER i razvoj energije fuzije (Fuzija za energiju) za financijsku godinu 2022.</w:t>
      </w:r>
      <w:bookmarkEnd w:id="5"/>
      <w:r w:rsidR="00A60FD8" w:rsidRPr="004511E5">
        <w:t xml:space="preserve"> </w:t>
      </w:r>
      <w:bookmarkStart w:id="6" w:name="References"/>
      <w:r w:rsidR="00A60FD8" w:rsidRPr="004511E5">
        <w:t>(2023/2178(DEC))</w:t>
      </w:r>
      <w:bookmarkEnd w:id="6"/>
    </w:p>
    <w:p w:rsidR="00A91F12" w:rsidRPr="004511E5" w:rsidRDefault="00A91F12" w:rsidP="00A91F12">
      <w:pPr>
        <w:pStyle w:val="EPComma"/>
      </w:pPr>
      <w:bookmarkStart w:id="7" w:name="TextBodyBegin"/>
      <w:bookmarkEnd w:id="7"/>
      <w:r w:rsidRPr="004511E5">
        <w:rPr>
          <w:i/>
        </w:rPr>
        <w:t>Europski parlament</w:t>
      </w:r>
      <w:r w:rsidRPr="004511E5">
        <w:t>,</w:t>
      </w:r>
    </w:p>
    <w:p w:rsidR="00A91F12" w:rsidRPr="004511E5" w:rsidRDefault="00A91F12" w:rsidP="00A91F12">
      <w:pPr>
        <w:pStyle w:val="NormalHanging12a"/>
      </w:pPr>
      <w:r w:rsidRPr="004511E5">
        <w:t>–</w:t>
      </w:r>
      <w:r w:rsidRPr="004511E5">
        <w:tab/>
        <w:t>uzimajući u obzir završnu godišnju računovodstvenu dokumentaciju Zajedničkog poduzeća za ITER i razvoj energije fuzije (Fuzija za energiju) za financijsku godinu 2022.,</w:t>
      </w:r>
    </w:p>
    <w:p w:rsidR="00A91F12" w:rsidRPr="004511E5" w:rsidRDefault="00A91F12" w:rsidP="00A91F12">
      <w:pPr>
        <w:pStyle w:val="NormalHanging12a"/>
      </w:pPr>
      <w:r w:rsidRPr="004511E5">
        <w:t>–</w:t>
      </w:r>
      <w:r w:rsidRPr="004511E5">
        <w:tab/>
        <w:t>uzimajući u obzir godišnje izvješće Revizorskog suda o zajedničkim poduzećima EU-a za financijsku godinu 2022., s odgovorom Zajedničkog poduzeća</w:t>
      </w:r>
      <w:r w:rsidRPr="004511E5">
        <w:rPr>
          <w:rStyle w:val="FootnoteReference"/>
        </w:rPr>
        <w:footnoteReference w:id="1"/>
      </w:r>
      <w:r w:rsidRPr="004511E5">
        <w:t>,</w:t>
      </w:r>
    </w:p>
    <w:p w:rsidR="00A91F12" w:rsidRPr="004511E5" w:rsidRDefault="00A91F12" w:rsidP="00A91F12">
      <w:pPr>
        <w:pStyle w:val="NormalHanging12a"/>
      </w:pPr>
      <w:r w:rsidRPr="004511E5">
        <w:t>–</w:t>
      </w:r>
      <w:r w:rsidRPr="004511E5">
        <w:tab/>
        <w:t>uzimajući u obzir izjavu o jamstvu</w:t>
      </w:r>
      <w:r w:rsidRPr="004511E5">
        <w:rPr>
          <w:rStyle w:val="FootnoteReference"/>
        </w:rPr>
        <w:footnoteReference w:id="2"/>
      </w:r>
      <w:r w:rsidRPr="004511E5">
        <w:t xml:space="preserve"> u pogledu pouzdanosti računovodstvene dokumentacije te zakonitosti i pravilnosti temeljnih transakcija koju je u skladu s člankom 287. Ugovora o funkcioniranju Europske unije Revizorski sud podnio za financijsku godinu 2022.,</w:t>
      </w:r>
    </w:p>
    <w:p w:rsidR="00A91F12" w:rsidRPr="004511E5" w:rsidRDefault="00A91F12" w:rsidP="00A91F12">
      <w:pPr>
        <w:pStyle w:val="NormalHanging12a"/>
      </w:pPr>
      <w:r w:rsidRPr="004511E5">
        <w:t>–</w:t>
      </w:r>
      <w:r w:rsidRPr="004511E5">
        <w:tab/>
        <w:t>uzimajući u obzir preporuku Vijeća od 22. veljače 2024. o razrješnici koju Zajedničko poduzeće treba dobiti za izvršenje proračuna za financijsku godinu 2022. (0</w:t>
      </w:r>
      <w:r w:rsidR="00EB4036">
        <w:t>6182</w:t>
      </w:r>
      <w:r w:rsidRPr="004511E5">
        <w:t>/2024 – C9</w:t>
      </w:r>
      <w:r w:rsidRPr="004511E5">
        <w:noBreakHyphen/>
        <w:t>0</w:t>
      </w:r>
      <w:r w:rsidR="00EB4036">
        <w:t>116</w:t>
      </w:r>
      <w:r w:rsidRPr="004511E5">
        <w:t>/2024),</w:t>
      </w:r>
    </w:p>
    <w:p w:rsidR="00A91F12" w:rsidRPr="004511E5" w:rsidRDefault="00A91F12" w:rsidP="00A91F12">
      <w:pPr>
        <w:pStyle w:val="NormalHanging12a"/>
      </w:pPr>
      <w:r w:rsidRPr="004511E5">
        <w:t>–</w:t>
      </w:r>
      <w:r w:rsidRPr="004511E5">
        <w:tab/>
        <w:t>uzimajući u obzir članak 319. Ugovora o funkcioniranju Europske unije,</w:t>
      </w:r>
    </w:p>
    <w:p w:rsidR="00A91F12" w:rsidRPr="004511E5" w:rsidRDefault="00A91F12" w:rsidP="00A91F12">
      <w:pPr>
        <w:pStyle w:val="NormalHanging12a"/>
      </w:pPr>
      <w:r w:rsidRPr="004511E5">
        <w:t>–</w:t>
      </w:r>
      <w:r w:rsidRPr="004511E5">
        <w:tab/>
        <w:t>uzimajući u obzir članak 106.a Ugovora o osnivanju Europske zajednice za atomsku energiju,</w:t>
      </w:r>
    </w:p>
    <w:p w:rsidR="00A91F12" w:rsidRPr="004511E5" w:rsidRDefault="00A91F12" w:rsidP="00A91F12">
      <w:pPr>
        <w:pStyle w:val="NormalHanging12a"/>
      </w:pPr>
      <w:r w:rsidRPr="004511E5">
        <w:t>–</w:t>
      </w:r>
      <w:r w:rsidRPr="004511E5">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w:t>
      </w:r>
      <w:r w:rsidRPr="004511E5">
        <w:lastRenderedPageBreak/>
        <w:t>br. 283/2014 i Odluke br. 541/2014/EU te o stavljanju izvan snage Uredbe (EU, Euratom) br. 966/2012</w:t>
      </w:r>
      <w:r w:rsidRPr="004511E5">
        <w:rPr>
          <w:rStyle w:val="FootnoteReference"/>
        </w:rPr>
        <w:footnoteReference w:id="3"/>
      </w:r>
      <w:r w:rsidRPr="004511E5">
        <w:t>, a posebno njezin članak 70.,</w:t>
      </w:r>
    </w:p>
    <w:p w:rsidR="00A91F12" w:rsidRPr="004511E5" w:rsidRDefault="00A91F12" w:rsidP="00A91F12">
      <w:pPr>
        <w:pStyle w:val="NormalHanging12a"/>
      </w:pPr>
      <w:r w:rsidRPr="004511E5">
        <w:t>–</w:t>
      </w:r>
      <w:r w:rsidRPr="004511E5">
        <w:tab/>
        <w:t xml:space="preserve">uzimajući u obzir Odluku Vijeća 2007/198/Euratom od 27. ožujka 2007. o osnivanju Europskog zajedničkog poduzeća za ITER i razvoj energije fuzije i davanju povlastica tom poduzeću </w:t>
      </w:r>
      <w:r w:rsidRPr="004511E5">
        <w:rPr>
          <w:rStyle w:val="FootnoteReference"/>
        </w:rPr>
        <w:footnoteReference w:id="4"/>
      </w:r>
      <w:r w:rsidRPr="004511E5">
        <w:t>, a posebno njezin članak 5.,</w:t>
      </w:r>
    </w:p>
    <w:p w:rsidR="00A91F12" w:rsidRPr="004511E5" w:rsidRDefault="00A91F12" w:rsidP="00A91F12">
      <w:pPr>
        <w:pStyle w:val="NormalHanging12a"/>
      </w:pPr>
      <w:r w:rsidRPr="004511E5">
        <w:t>–</w:t>
      </w:r>
      <w:r w:rsidRPr="004511E5">
        <w:tab/>
        <w:t xml:space="preserve">uzimajući u obzir Delegiranu uredbu Komisije (EU) 2019/715 od 18. prosinca 2018. o okvirnoj financijskoj uredbi za tijela osnovana na temelju UFEU-a i Ugovora o </w:t>
      </w:r>
      <w:proofErr w:type="spellStart"/>
      <w:r w:rsidRPr="004511E5">
        <w:t>Euratomu</w:t>
      </w:r>
      <w:proofErr w:type="spellEnd"/>
      <w:r w:rsidRPr="004511E5">
        <w:t xml:space="preserve"> na koja se upućuje u članku 70. Uredbe (EU, Euratom) 2018/1046 Europskog parlamenta i Vijeća</w:t>
      </w:r>
      <w:r w:rsidRPr="004511E5">
        <w:rPr>
          <w:rStyle w:val="FootnoteReference"/>
        </w:rPr>
        <w:footnoteReference w:id="5"/>
      </w:r>
      <w:r w:rsidRPr="004511E5">
        <w:t>,</w:t>
      </w:r>
    </w:p>
    <w:p w:rsidR="00A91F12" w:rsidRPr="004511E5" w:rsidRDefault="00A91F12" w:rsidP="00A91F12">
      <w:pPr>
        <w:pStyle w:val="NormalHanging12a"/>
      </w:pPr>
      <w:r w:rsidRPr="004511E5">
        <w:t>–</w:t>
      </w:r>
      <w:r w:rsidRPr="004511E5">
        <w:tab/>
        <w:t>uzimajući u obzir članak 100. Poslovnika i Prilog V. Poslovniku,</w:t>
      </w:r>
    </w:p>
    <w:p w:rsidR="00A91F12" w:rsidRPr="004511E5" w:rsidRDefault="00A91F12" w:rsidP="00A91F12">
      <w:pPr>
        <w:pStyle w:val="NormalHanging12a"/>
      </w:pPr>
      <w:r w:rsidRPr="004511E5">
        <w:t>–</w:t>
      </w:r>
      <w:r w:rsidRPr="004511E5">
        <w:tab/>
        <w:t>uzimajući u obzir izvješće Odbora za proračunski nadzor (A9</w:t>
      </w:r>
      <w:r w:rsidRPr="004511E5">
        <w:noBreakHyphen/>
        <w:t>0090/2024),</w:t>
      </w:r>
    </w:p>
    <w:p w:rsidR="00A91F12" w:rsidRPr="004511E5" w:rsidRDefault="00A91F12" w:rsidP="00A91F12">
      <w:pPr>
        <w:pStyle w:val="NormalHanging12a"/>
      </w:pPr>
      <w:r w:rsidRPr="004511E5">
        <w:t>1.</w:t>
      </w:r>
      <w:r w:rsidRPr="004511E5">
        <w:tab/>
        <w:t>daje razrješnicu direktoru Zajedničkog poduzeća za ITER i razvoj energije fuzije (Fuzija za energiju) za izvršenje proračuna Zajedničkog poduzeća za financijsku godinu 2022.</w:t>
      </w:r>
    </w:p>
    <w:p w:rsidR="00A91F12" w:rsidRPr="004511E5" w:rsidRDefault="00A91F12" w:rsidP="00A91F12">
      <w:pPr>
        <w:pStyle w:val="NormalHanging12a"/>
      </w:pPr>
      <w:r w:rsidRPr="004511E5">
        <w:t>2.</w:t>
      </w:r>
      <w:r w:rsidRPr="004511E5">
        <w:tab/>
        <w:t>iznosi svoje primjedbe u Rezoluciji u nastavku;</w:t>
      </w:r>
    </w:p>
    <w:p w:rsidR="00A91F12" w:rsidRPr="004511E5" w:rsidRDefault="00A91F12" w:rsidP="00A91F12">
      <w:pPr>
        <w:pStyle w:val="NormalHanging12a"/>
      </w:pPr>
      <w:r w:rsidRPr="004511E5">
        <w:t>3.</w:t>
      </w:r>
      <w:r w:rsidRPr="004511E5">
        <w:tab/>
        <w:t xml:space="preserve">nalaže svojoj predsjednici da ovu Odluku i Rezoluciju, koja je njezin sastavni dio, proslijedi direktoru Zajedničkog poduzeća za ITER i razvoj energije fuzije (Fuzija za energiju), Vijeću, Komisiji i Revizorskom sudu te da ih da na objavu u </w:t>
      </w:r>
      <w:r w:rsidRPr="004511E5">
        <w:rPr>
          <w:i/>
        </w:rPr>
        <w:t>Službenom listu Europske unije</w:t>
      </w:r>
      <w:r w:rsidRPr="004511E5">
        <w:t xml:space="preserve"> (serija L).</w:t>
      </w:r>
    </w:p>
    <w:p w:rsidR="00A91F12" w:rsidRPr="004511E5" w:rsidRDefault="00A91F12" w:rsidP="00A91F12">
      <w:pPr>
        <w:pStyle w:val="PageHeading"/>
        <w:sectPr w:rsidR="00A91F12" w:rsidRPr="004511E5" w:rsidSect="001A58F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91F12" w:rsidRPr="004511E5" w:rsidRDefault="004511E5" w:rsidP="004511E5">
      <w:pPr>
        <w:pStyle w:val="ATHeading3"/>
      </w:pPr>
      <w:bookmarkStart w:id="8" w:name="_Toc161816369"/>
      <w:r w:rsidRPr="004511E5">
        <w:lastRenderedPageBreak/>
        <w:t xml:space="preserve">2. </w:t>
      </w:r>
      <w:r>
        <w:t>Odluka E</w:t>
      </w:r>
      <w:r w:rsidRPr="004511E5">
        <w:t>uropskog parlamenta</w:t>
      </w:r>
      <w:bookmarkEnd w:id="8"/>
      <w:r w:rsidRPr="004511E5">
        <w:t xml:space="preserve"> </w:t>
      </w:r>
      <w:r>
        <w:t xml:space="preserve">od 11. travnja 2024. </w:t>
      </w:r>
      <w:r w:rsidR="00A91F12" w:rsidRPr="004511E5">
        <w:t>o zaključenju poslovnih knjiga Zajedničkog poduzeća za ITER i razvoj energije fuzije (Fuzija za energiju) za financijsku godinu 2022.</w:t>
      </w:r>
      <w:r w:rsidRPr="004511E5">
        <w:t xml:space="preserve"> </w:t>
      </w:r>
      <w:r w:rsidR="00A91F12" w:rsidRPr="004511E5">
        <w:t>(2023/2178(DEC))</w:t>
      </w:r>
    </w:p>
    <w:p w:rsidR="00A91F12" w:rsidRPr="004511E5" w:rsidRDefault="00A91F12" w:rsidP="00A91F12">
      <w:pPr>
        <w:pStyle w:val="EPComma"/>
      </w:pPr>
      <w:r w:rsidRPr="004511E5">
        <w:rPr>
          <w:i/>
        </w:rPr>
        <w:t>Europski parlament</w:t>
      </w:r>
      <w:r w:rsidRPr="004511E5">
        <w:t>,</w:t>
      </w:r>
    </w:p>
    <w:p w:rsidR="00A91F12" w:rsidRPr="004511E5" w:rsidRDefault="00A91F12" w:rsidP="00A91F12">
      <w:pPr>
        <w:pStyle w:val="NormalHanging12a"/>
      </w:pPr>
      <w:r w:rsidRPr="004511E5">
        <w:t>–</w:t>
      </w:r>
      <w:r w:rsidRPr="004511E5">
        <w:tab/>
        <w:t>uzimajući u obzir završnu godišnju računovodstvenu dokumentaciju Zajedničkog poduzeća za ITER i razvoj energije fuzije (Fuzija za energiju) za financijsku godinu 2022.,</w:t>
      </w:r>
    </w:p>
    <w:p w:rsidR="00A91F12" w:rsidRPr="004511E5" w:rsidRDefault="00A91F12" w:rsidP="00A91F12">
      <w:pPr>
        <w:pStyle w:val="NormalHanging12a"/>
      </w:pPr>
      <w:r w:rsidRPr="004511E5">
        <w:t>–</w:t>
      </w:r>
      <w:r w:rsidRPr="004511E5">
        <w:tab/>
        <w:t>uzimajući u obzir godišnje izvješće Revizorskog suda o zajedničkim poduzećima EU-a za financijsku godinu 2022., s odgovorom Zajedničkog poduzeća</w:t>
      </w:r>
      <w:r w:rsidRPr="004511E5">
        <w:rPr>
          <w:rStyle w:val="FootnoteReference"/>
        </w:rPr>
        <w:footnoteReference w:id="6"/>
      </w:r>
      <w:r w:rsidRPr="004511E5">
        <w:t>,</w:t>
      </w:r>
    </w:p>
    <w:p w:rsidR="00A91F12" w:rsidRPr="004511E5" w:rsidRDefault="00A91F12" w:rsidP="00A91F12">
      <w:pPr>
        <w:pStyle w:val="NormalHanging12a"/>
      </w:pPr>
      <w:r w:rsidRPr="004511E5">
        <w:t>–</w:t>
      </w:r>
      <w:r w:rsidRPr="004511E5">
        <w:tab/>
        <w:t>uzimajući u obzir izjavu o jamstvu</w:t>
      </w:r>
      <w:r w:rsidRPr="004511E5">
        <w:rPr>
          <w:rStyle w:val="FootnoteReference"/>
        </w:rPr>
        <w:footnoteReference w:id="7"/>
      </w:r>
      <w:r w:rsidRPr="004511E5">
        <w:t xml:space="preserve"> u pogledu pouzdanosti računovodstvene dokumentacije te zakonitosti i pravilnosti temeljnih transakcija koju je u skladu s člankom 287. Ugovora o funkcioniranju Europske unije Revizorski sud podnio za financijsku godinu 2022.,</w:t>
      </w:r>
    </w:p>
    <w:p w:rsidR="00A91F12" w:rsidRPr="004511E5" w:rsidRDefault="00A91F12" w:rsidP="00A91F12">
      <w:pPr>
        <w:pStyle w:val="NormalHanging12a"/>
      </w:pPr>
      <w:r w:rsidRPr="004511E5">
        <w:t>–</w:t>
      </w:r>
      <w:r w:rsidRPr="004511E5">
        <w:tab/>
        <w:t>uzimajući u obzir preporuku Vijeća od 22. veljače 2024. o razrješnici koju Zajedničko poduzeće treba dobiti za izvršenje proračuna za financijsku godinu 2022. (0</w:t>
      </w:r>
      <w:r w:rsidR="00EB4036">
        <w:t>6182</w:t>
      </w:r>
      <w:r w:rsidRPr="004511E5">
        <w:t>/2024 – C9</w:t>
      </w:r>
      <w:r w:rsidRPr="004511E5">
        <w:noBreakHyphen/>
        <w:t>0</w:t>
      </w:r>
      <w:r w:rsidR="00EB4036">
        <w:t>116</w:t>
      </w:r>
      <w:r w:rsidRPr="004511E5">
        <w:t>/2024),</w:t>
      </w:r>
    </w:p>
    <w:p w:rsidR="00A91F12" w:rsidRPr="004511E5" w:rsidRDefault="00A91F12" w:rsidP="00A91F12">
      <w:pPr>
        <w:pStyle w:val="NormalHanging12a"/>
      </w:pPr>
      <w:r w:rsidRPr="004511E5">
        <w:t>–</w:t>
      </w:r>
      <w:r w:rsidRPr="004511E5">
        <w:tab/>
        <w:t>uzimajući u obzir članak 319. Ugovora o funkcioniranju Europske unije,</w:t>
      </w:r>
    </w:p>
    <w:p w:rsidR="00A91F12" w:rsidRPr="004511E5" w:rsidRDefault="00A91F12" w:rsidP="00A91F12">
      <w:pPr>
        <w:pStyle w:val="NormalHanging12a"/>
      </w:pPr>
      <w:r w:rsidRPr="004511E5">
        <w:t>–</w:t>
      </w:r>
      <w:r w:rsidRPr="004511E5">
        <w:tab/>
        <w:t>uzimajući u obzir članak 106.a Ugovora o osnivanju Europske zajednice za atomsku energiju,</w:t>
      </w:r>
    </w:p>
    <w:p w:rsidR="00A91F12" w:rsidRPr="004511E5" w:rsidRDefault="00A91F12" w:rsidP="00A91F12">
      <w:pPr>
        <w:pStyle w:val="NormalHanging12a"/>
      </w:pPr>
      <w:r w:rsidRPr="004511E5">
        <w:t>–</w:t>
      </w:r>
      <w:r w:rsidRPr="004511E5">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4511E5">
        <w:rPr>
          <w:rStyle w:val="FootnoteReference"/>
        </w:rPr>
        <w:footnoteReference w:id="8"/>
      </w:r>
      <w:r w:rsidRPr="004511E5">
        <w:t>, a posebno njezin članak 70.,</w:t>
      </w:r>
    </w:p>
    <w:p w:rsidR="00A91F12" w:rsidRPr="004511E5" w:rsidRDefault="00A91F12" w:rsidP="00A91F12">
      <w:pPr>
        <w:pStyle w:val="NormalHanging12a"/>
      </w:pPr>
      <w:r w:rsidRPr="004511E5">
        <w:t>–</w:t>
      </w:r>
      <w:r w:rsidRPr="004511E5">
        <w:tab/>
        <w:t xml:space="preserve">uzimajući u obzir Odluku Vijeća 2007/198/Euratom od 27. ožujka 2007. o osnivanju Europskog zajedničkog poduzeća za ITER i razvoj energije fuzije i davanju povlastica tom poduzeću </w:t>
      </w:r>
      <w:r w:rsidRPr="004511E5">
        <w:rPr>
          <w:rStyle w:val="FootnoteReference"/>
        </w:rPr>
        <w:footnoteReference w:id="9"/>
      </w:r>
      <w:r w:rsidRPr="004511E5">
        <w:t>, a posebno njezin članak 5.,</w:t>
      </w:r>
    </w:p>
    <w:p w:rsidR="00A91F12" w:rsidRPr="004511E5" w:rsidRDefault="00A91F12" w:rsidP="00A91F12">
      <w:pPr>
        <w:pStyle w:val="NormalHanging12a"/>
      </w:pPr>
      <w:r w:rsidRPr="004511E5">
        <w:t>–</w:t>
      </w:r>
      <w:r w:rsidRPr="004511E5">
        <w:tab/>
        <w:t xml:space="preserve">uzimajući u obzir Delegiranu uredbu Komisije (EU) 2019/715 </w:t>
      </w:r>
      <w:proofErr w:type="spellStart"/>
      <w:r w:rsidRPr="004511E5">
        <w:t>оd</w:t>
      </w:r>
      <w:proofErr w:type="spellEnd"/>
      <w:r w:rsidRPr="004511E5">
        <w:t xml:space="preserve"> 18. prosinca 2018. o okvirnoj financijskoj uredbi za tijela osnovana na temelju UFEU-a i Ugovora o </w:t>
      </w:r>
      <w:proofErr w:type="spellStart"/>
      <w:r w:rsidRPr="004511E5">
        <w:t>Euratomu</w:t>
      </w:r>
      <w:proofErr w:type="spellEnd"/>
      <w:r w:rsidRPr="004511E5">
        <w:t xml:space="preserve"> na koja se upućuje u članku 70. Uredbe (EU, Euratom) 2018/1046 Europskog parlamenta i Vijeća</w:t>
      </w:r>
      <w:r w:rsidRPr="004511E5">
        <w:rPr>
          <w:rStyle w:val="FootnoteReference"/>
        </w:rPr>
        <w:footnoteReference w:id="10"/>
      </w:r>
      <w:r w:rsidRPr="004511E5">
        <w:t>,</w:t>
      </w:r>
    </w:p>
    <w:p w:rsidR="00A91F12" w:rsidRPr="004511E5" w:rsidRDefault="00A91F12" w:rsidP="00A91F12">
      <w:pPr>
        <w:pStyle w:val="NormalHanging12a"/>
      </w:pPr>
      <w:r w:rsidRPr="004511E5">
        <w:t>–</w:t>
      </w:r>
      <w:r w:rsidRPr="004511E5">
        <w:tab/>
        <w:t>uzimajući u obzir članak 100. Poslovnika i Prilog V. Poslovniku,</w:t>
      </w:r>
    </w:p>
    <w:p w:rsidR="00A91F12" w:rsidRPr="004511E5" w:rsidRDefault="00A91F12" w:rsidP="00A91F12">
      <w:pPr>
        <w:pStyle w:val="NormalHanging12a"/>
      </w:pPr>
      <w:r w:rsidRPr="004511E5">
        <w:lastRenderedPageBreak/>
        <w:t>–</w:t>
      </w:r>
      <w:r w:rsidRPr="004511E5">
        <w:tab/>
        <w:t>uzimajući u obzir izvješće Odbora za proračunski nadzor (A9</w:t>
      </w:r>
      <w:r w:rsidRPr="004511E5">
        <w:noBreakHyphen/>
        <w:t>0090/2024),</w:t>
      </w:r>
    </w:p>
    <w:p w:rsidR="00A91F12" w:rsidRPr="004511E5" w:rsidRDefault="00A91F12" w:rsidP="00A91F12">
      <w:pPr>
        <w:pStyle w:val="NormalHanging12a"/>
      </w:pPr>
      <w:r w:rsidRPr="004511E5">
        <w:t>1.</w:t>
      </w:r>
      <w:r w:rsidRPr="004511E5">
        <w:tab/>
        <w:t>odobrava zaključenje poslovnih knjiga Zajedničkog poduzeća za ITER i razvoj energije fuzije (Fuzija za energiju) za financijsku godinu 2022.</w:t>
      </w:r>
      <w:r w:rsidR="004511E5">
        <w:t>;</w:t>
      </w:r>
    </w:p>
    <w:p w:rsidR="00A91F12" w:rsidRPr="004511E5" w:rsidRDefault="00A91F12" w:rsidP="00A91F12">
      <w:pPr>
        <w:pStyle w:val="NormalHanging12a"/>
      </w:pPr>
      <w:r w:rsidRPr="004511E5">
        <w:t>2.</w:t>
      </w:r>
      <w:r w:rsidRPr="004511E5">
        <w:tab/>
        <w:t xml:space="preserve">nalaže svojoj predsjednici da ovu Odluku proslijedi direktoru Zajedničkog poduzeća za ITER i razvoj energije fuzije (Fuzija za energiju), Vijeću, Komisiji i Revizorskom sudu te da je da na objavu u </w:t>
      </w:r>
      <w:r w:rsidRPr="004511E5">
        <w:rPr>
          <w:i/>
        </w:rPr>
        <w:t>Službenom listu Europske unije</w:t>
      </w:r>
      <w:r w:rsidRPr="004511E5">
        <w:t xml:space="preserve"> (serija L).</w:t>
      </w:r>
    </w:p>
    <w:p w:rsidR="00A91F12" w:rsidRPr="004511E5" w:rsidRDefault="00A91F12" w:rsidP="00A91F12"/>
    <w:p w:rsidR="00A91F12" w:rsidRPr="004511E5" w:rsidRDefault="00A91F12" w:rsidP="00A91F12">
      <w:pPr>
        <w:pStyle w:val="PageHeading"/>
        <w:sectPr w:rsidR="00A91F12" w:rsidRPr="004511E5" w:rsidSect="001A58FF">
          <w:footnotePr>
            <w:numRestart w:val="eachPage"/>
          </w:footnotePr>
          <w:endnotePr>
            <w:numFmt w:val="decimal"/>
          </w:endnotePr>
          <w:pgSz w:w="11906" w:h="16838" w:code="9"/>
          <w:pgMar w:top="1134" w:right="1418" w:bottom="1418" w:left="1418" w:header="567" w:footer="567" w:gutter="0"/>
          <w:cols w:space="720"/>
          <w:noEndnote/>
          <w:docGrid w:linePitch="326"/>
        </w:sectPr>
      </w:pPr>
    </w:p>
    <w:p w:rsidR="00A91F12" w:rsidRPr="004511E5" w:rsidRDefault="004511E5" w:rsidP="004511E5">
      <w:pPr>
        <w:pStyle w:val="ATHeading3"/>
      </w:pPr>
      <w:bookmarkStart w:id="9" w:name="_Toc161816370"/>
      <w:r w:rsidRPr="004511E5">
        <w:lastRenderedPageBreak/>
        <w:t xml:space="preserve">3. </w:t>
      </w:r>
      <w:r>
        <w:t>Rezolucija E</w:t>
      </w:r>
      <w:r w:rsidRPr="004511E5">
        <w:t>uropskog parlamenta</w:t>
      </w:r>
      <w:bookmarkEnd w:id="9"/>
      <w:r w:rsidRPr="004511E5">
        <w:t xml:space="preserve"> </w:t>
      </w:r>
      <w:r>
        <w:t xml:space="preserve">od 11. travnja 2024. </w:t>
      </w:r>
      <w:r w:rsidR="00A91F12" w:rsidRPr="004511E5">
        <w:t>s primjedbama koje su sastavni dio Odluke o razrješnici za izvršenje proračuna Zajedničkog poduzeća za ITER i razvoj energije fuzije (Fuzija za energiju) za financijsku godinu 2022.</w:t>
      </w:r>
      <w:r w:rsidRPr="004511E5">
        <w:t xml:space="preserve"> </w:t>
      </w:r>
      <w:r w:rsidR="00A91F12" w:rsidRPr="004511E5">
        <w:t>(2023/2178(DEC))</w:t>
      </w:r>
    </w:p>
    <w:p w:rsidR="00A91F12" w:rsidRPr="004511E5" w:rsidRDefault="00A91F12" w:rsidP="00A91F12">
      <w:pPr>
        <w:pStyle w:val="EPComma"/>
      </w:pPr>
      <w:r w:rsidRPr="004511E5">
        <w:rPr>
          <w:i/>
        </w:rPr>
        <w:t>Europski parlament</w:t>
      </w:r>
      <w:r w:rsidRPr="004511E5">
        <w:t>,</w:t>
      </w:r>
    </w:p>
    <w:p w:rsidR="00A91F12" w:rsidRPr="004511E5" w:rsidRDefault="00A91F12" w:rsidP="00A91F12">
      <w:pPr>
        <w:pStyle w:val="NormalHanging12a"/>
      </w:pPr>
      <w:r w:rsidRPr="004511E5">
        <w:t>–</w:t>
      </w:r>
      <w:r w:rsidRPr="004511E5">
        <w:tab/>
        <w:t>uzimajući u obzir svoju Odluku o razrješnici za izvršenje proračuna Zajedničkog poduzeća za ITER i razvoj energije fuzije za financijsku godinu 2022.,</w:t>
      </w:r>
    </w:p>
    <w:p w:rsidR="00A91F12" w:rsidRPr="004511E5" w:rsidRDefault="00A91F12" w:rsidP="00A91F12">
      <w:pPr>
        <w:pStyle w:val="NormalHanging12a"/>
      </w:pPr>
      <w:r w:rsidRPr="004511E5">
        <w:t>–</w:t>
      </w:r>
      <w:r w:rsidRPr="004511E5">
        <w:tab/>
        <w:t>uzimajući u obzir članak 100. Poslovnika i Prilog V. Poslovniku,</w:t>
      </w:r>
    </w:p>
    <w:p w:rsidR="00A91F12" w:rsidRPr="004511E5" w:rsidRDefault="00A91F12" w:rsidP="00A91F12">
      <w:pPr>
        <w:pStyle w:val="NormalHanging12a"/>
      </w:pPr>
      <w:r w:rsidRPr="004511E5">
        <w:t>–</w:t>
      </w:r>
      <w:r w:rsidRPr="004511E5">
        <w:tab/>
        <w:t>uzimajući u obzir mišljenje Odbora za industriju, istraživanje i energetiku,</w:t>
      </w:r>
    </w:p>
    <w:p w:rsidR="00A91F12" w:rsidRPr="004511E5" w:rsidRDefault="00A91F12" w:rsidP="00A91F12">
      <w:pPr>
        <w:pStyle w:val="NormalHanging12a"/>
      </w:pPr>
      <w:r w:rsidRPr="004511E5">
        <w:t>–</w:t>
      </w:r>
      <w:r w:rsidRPr="004511E5">
        <w:tab/>
        <w:t>uzimajući u obzir izvješće Odbora za proračunski nadzor (A9</w:t>
      </w:r>
      <w:r w:rsidRPr="004511E5">
        <w:noBreakHyphen/>
        <w:t>0090/2024),</w:t>
      </w:r>
    </w:p>
    <w:p w:rsidR="00A91F12" w:rsidRPr="004511E5" w:rsidRDefault="00A91F12" w:rsidP="00A91F12">
      <w:pPr>
        <w:spacing w:after="240"/>
        <w:ind w:left="567" w:hanging="567"/>
      </w:pPr>
      <w:r w:rsidRPr="004511E5">
        <w:t>A.</w:t>
      </w:r>
      <w:r w:rsidRPr="004511E5">
        <w:tab/>
        <w:t>budući da je Europsko zajedničko poduzeće za međunarodni termonuklearni eksperimentalni reaktor (ITER) i razvoj energije fuzije („Zajedničko poduzeće”) osnovano u travnju 2007. na razdoblje od 35 godina Odlukom 2007/198/Euratom</w:t>
      </w:r>
      <w:r w:rsidRPr="004511E5">
        <w:rPr>
          <w:rStyle w:val="FootnoteReference"/>
        </w:rPr>
        <w:footnoteReference w:id="11"/>
      </w:r>
      <w:r w:rsidRPr="004511E5">
        <w:t xml:space="preserve"> od 27. ožujka 2007.;</w:t>
      </w:r>
    </w:p>
    <w:p w:rsidR="00A91F12" w:rsidRPr="004511E5" w:rsidRDefault="00A91F12" w:rsidP="00A91F12">
      <w:pPr>
        <w:spacing w:after="240"/>
        <w:ind w:left="567" w:hanging="567"/>
      </w:pPr>
      <w:r w:rsidRPr="004511E5">
        <w:t>B.</w:t>
      </w:r>
      <w:r w:rsidRPr="004511E5">
        <w:tab/>
        <w:t xml:space="preserve">budući da su članovi Zajedničkog poduzeća Europska zajednica za atomsku energiju (Euratom), koju predstavlja Komisija, države članice </w:t>
      </w:r>
      <w:proofErr w:type="spellStart"/>
      <w:r w:rsidRPr="004511E5">
        <w:t>Euratoma</w:t>
      </w:r>
      <w:proofErr w:type="spellEnd"/>
      <w:r w:rsidRPr="004511E5">
        <w:rPr>
          <w:rStyle w:val="FootnoteReference"/>
        </w:rPr>
        <w:footnoteReference w:id="12"/>
      </w:r>
      <w:r w:rsidRPr="004511E5">
        <w:t xml:space="preserve"> i treće zemlje koje su sklopile sporazum o suradnji s </w:t>
      </w:r>
      <w:proofErr w:type="spellStart"/>
      <w:r w:rsidRPr="004511E5">
        <w:t>Euratomom</w:t>
      </w:r>
      <w:proofErr w:type="spellEnd"/>
      <w:r w:rsidRPr="004511E5">
        <w:t xml:space="preserve"> u području kontrolirane nuklearne fuzije;</w:t>
      </w:r>
    </w:p>
    <w:p w:rsidR="00A91F12" w:rsidRPr="004511E5" w:rsidRDefault="00A91F12" w:rsidP="00A91F12">
      <w:pPr>
        <w:spacing w:after="240"/>
        <w:ind w:left="567" w:hanging="567"/>
      </w:pPr>
      <w:r w:rsidRPr="004511E5">
        <w:t>C.</w:t>
      </w:r>
      <w:r w:rsidRPr="004511E5">
        <w:tab/>
        <w:t xml:space="preserve">budući da su ciljevi Zajedničkog poduzeća pružanje doprinosa Unije međunarodnom projektu za energiju fuzije ITER, provedba sporazuma o širem pristupu između </w:t>
      </w:r>
      <w:proofErr w:type="spellStart"/>
      <w:r w:rsidRPr="004511E5">
        <w:t>Euratoma</w:t>
      </w:r>
      <w:proofErr w:type="spellEnd"/>
      <w:r w:rsidRPr="004511E5">
        <w:t xml:space="preserve"> i Japana te priprema za izgradnju demonstracijskog fuzijskog reaktora i povezanih objekata</w:t>
      </w:r>
      <w:r w:rsidRPr="004511E5">
        <w:rPr>
          <w:rStyle w:val="FootnoteReference"/>
        </w:rPr>
        <w:footnoteReference w:id="13"/>
      </w:r>
      <w:r w:rsidRPr="004511E5">
        <w:t>;</w:t>
      </w:r>
    </w:p>
    <w:p w:rsidR="00A91F12" w:rsidRPr="004511E5" w:rsidRDefault="00A91F12" w:rsidP="00A91F12">
      <w:pPr>
        <w:spacing w:after="240"/>
        <w:ind w:left="567" w:hanging="567"/>
      </w:pPr>
      <w:r w:rsidRPr="004511E5">
        <w:t>D.</w:t>
      </w:r>
      <w:r w:rsidRPr="004511E5">
        <w:tab/>
        <w:t>budući da projekt ITER uključuje sedam globalnih partnera, odnosno Uniju, koju predstavlja Euratom, Sjedinjene Američke Države, Rusiju, Japan, Kinu, Južnu Koreju i Indiju, pri čemu Unija ima vodeću ulogu i snosi 45,4 % troškova izgradnje, dok ostali partneri sudjeluju s udjelima od po 9,1 %; to će se promijeniti u operativnoj fazi ispitivanja fuzije, u kojoj će EU snositi 34 % operativnih troškova</w:t>
      </w:r>
      <w:r w:rsidRPr="004511E5">
        <w:rPr>
          <w:rStyle w:val="FootnoteReference"/>
        </w:rPr>
        <w:footnoteReference w:id="14"/>
      </w:r>
      <w:r w:rsidRPr="004511E5">
        <w:t>;</w:t>
      </w:r>
    </w:p>
    <w:p w:rsidR="00A91F12" w:rsidRPr="004511E5" w:rsidRDefault="00A91F12" w:rsidP="00A91F12">
      <w:pPr>
        <w:spacing w:after="240"/>
        <w:ind w:left="567" w:hanging="567"/>
      </w:pPr>
      <w:r w:rsidRPr="004511E5">
        <w:t>E.</w:t>
      </w:r>
      <w:r w:rsidRPr="004511E5">
        <w:tab/>
        <w:t xml:space="preserve">budući da je prema Komisijinoj trenutačnoj procjeni ukupni proračun </w:t>
      </w:r>
      <w:proofErr w:type="spellStart"/>
      <w:r w:rsidRPr="004511E5">
        <w:t>Euratoma</w:t>
      </w:r>
      <w:proofErr w:type="spellEnd"/>
      <w:r w:rsidRPr="004511E5">
        <w:t xml:space="preserve"> koji je potreban Zajedničkom poduzeću za financiranje europskog dijela provedbe projekta ITER i povezanih aktivnosti za razdoblje do 2035. iznosi oko 15 milijardi EUR (u sadašnjim vrijednostima); budući da će država domaćin ITER-a (Francuska) i države </w:t>
      </w:r>
      <w:r w:rsidRPr="004511E5">
        <w:lastRenderedPageBreak/>
        <w:t xml:space="preserve">članice </w:t>
      </w:r>
      <w:proofErr w:type="spellStart"/>
      <w:r w:rsidRPr="004511E5">
        <w:t>Euratoma</w:t>
      </w:r>
      <w:proofErr w:type="spellEnd"/>
      <w:r w:rsidRPr="004511E5">
        <w:t xml:space="preserve"> doprinijeti s dodatne 3,2 milijarde EUR (u sadašnjim vrijednostima)</w:t>
      </w:r>
      <w:r w:rsidRPr="004511E5">
        <w:rPr>
          <w:rStyle w:val="FootnoteReference"/>
        </w:rPr>
        <w:footnoteReference w:id="15"/>
      </w:r>
      <w:r w:rsidRPr="004511E5">
        <w:t>;</w:t>
      </w:r>
    </w:p>
    <w:p w:rsidR="00A91F12" w:rsidRPr="004511E5" w:rsidRDefault="00A91F12" w:rsidP="00A91F12">
      <w:pPr>
        <w:spacing w:after="240"/>
        <w:ind w:left="567" w:hanging="567"/>
      </w:pPr>
      <w:r w:rsidRPr="004511E5">
        <w:t>F.</w:t>
      </w:r>
      <w:r w:rsidRPr="004511E5">
        <w:tab/>
        <w:t>budući da Ujedinjena Kraljevina i Švicarska više ne sudjeluju u aktivnostima Zajedničkog poduzeća povezanima s ITER-om te da više ne surađuju sa članicama Zajedničkog poduzeća</w:t>
      </w:r>
      <w:r w:rsidRPr="004511E5">
        <w:rPr>
          <w:rStyle w:val="FootnoteReference"/>
        </w:rPr>
        <w:footnoteReference w:id="16"/>
      </w:r>
      <w:r w:rsidRPr="004511E5">
        <w:t>;</w:t>
      </w:r>
    </w:p>
    <w:p w:rsidR="00A91F12" w:rsidRPr="004511E5" w:rsidRDefault="00A91F12" w:rsidP="00A91F12">
      <w:pPr>
        <w:pStyle w:val="NormalHanging12a"/>
      </w:pPr>
      <w:r w:rsidRPr="004511E5">
        <w:t>G.</w:t>
      </w:r>
      <w:r w:rsidRPr="004511E5">
        <w:tab/>
        <w:t>budući da bi Zajedničko poduzeće, kako bi se povećala transparentnost, trebalo u svojoj godišnjoj računovodstvenoj dokumentaciji objavljivati relevantne informacije o doprinosima članova na razini programa; budući da bi Zajedničko poduzeće za svaki program u okviru kojeg djeluje trebalo iznijeti sve relevantne informacije za svaku kategoriju člana zaključno s krajem godine, uključujući zakonske ciljne vrijednosti doprinosa utvrđene za predmetni program, iznos primljenih doprinosa i iznos pravnih obveza; budući da bi Zajedničko poduzeće trebalo nastaviti s povećanjem razine transparentnosti;</w:t>
      </w:r>
    </w:p>
    <w:p w:rsidR="00A91F12" w:rsidRPr="004511E5" w:rsidRDefault="00A91F12" w:rsidP="00A91F12">
      <w:pPr>
        <w:spacing w:after="240"/>
        <w:ind w:left="567" w:hanging="567"/>
        <w:rPr>
          <w:b/>
          <w:i/>
        </w:rPr>
      </w:pPr>
      <w:r w:rsidRPr="004511E5">
        <w:rPr>
          <w:b/>
          <w:i/>
        </w:rPr>
        <w:t>Općenito</w:t>
      </w:r>
    </w:p>
    <w:p w:rsidR="00A91F12" w:rsidRPr="004511E5" w:rsidRDefault="00A91F12" w:rsidP="00A91F12">
      <w:pPr>
        <w:spacing w:after="240"/>
        <w:ind w:left="573" w:hanging="573"/>
      </w:pPr>
      <w:r w:rsidRPr="004511E5">
        <w:t>1.</w:t>
      </w:r>
      <w:r w:rsidRPr="004511E5">
        <w:tab/>
        <w:t>prima na znanje da je Revizorski sud u svojem izvješću o godišnjoj računovodstvenoj dokumentaciji Zajedničkog poduzeća za financijsku godinu 2022. („izvješće Revizorskog suda”) utvrdio da godišnja računovodstvena dokumentacija u svim značajnim aspektima vjerno prikazuje financijsko stanje Zajedničkog poduzeća na dan 31. prosinca 2022. te rezultate poslovanja, novčane tokove i promjene u neto imovini za financijsku godinu 2022., u skladu s Financijskom uredbom i računovodstvenim pravilima koja je usvojio računovodstveni službenik Komisije; dodatno napominje da su transakcije povezane s godišnjom računovodstvenom dokumentacijom za financijsku godinu 2022. zakonite i pravilne u svim značajnim aspektima;</w:t>
      </w:r>
    </w:p>
    <w:p w:rsidR="00A91F12" w:rsidRPr="004511E5" w:rsidRDefault="00A91F12" w:rsidP="00A91F12">
      <w:pPr>
        <w:spacing w:after="240"/>
        <w:ind w:left="573" w:hanging="573"/>
      </w:pPr>
      <w:r w:rsidRPr="004511E5">
        <w:t>2.</w:t>
      </w:r>
      <w:r w:rsidRPr="004511E5">
        <w:tab/>
        <w:t>ističe da Revizorski sud skreće pozornost na činjenicu da je Zajedničko poduzeće u godišnjoj računovodstvenoj dokumentaciji za 2022. objavilo da procjenjuje da će ukupni troškovi ispunjavanja obveza u vezi s projektom ITER („procjena pri dovršetku”) iznositi 19,1 milijardu EUR (u vrijednostima iz 2022.), što je iznos koji se sastoji od ukupnih plaćanja izvršenih do kraja 2022., koja iznose 9,2 milijarde EUR, i procjene budućih plaćanja, procijenjenih na 9,9 milijardi EUR (u vrijednostima iz 2022.);</w:t>
      </w:r>
    </w:p>
    <w:p w:rsidR="00A91F12" w:rsidRPr="004511E5" w:rsidRDefault="00A91F12" w:rsidP="00A91F12">
      <w:pPr>
        <w:spacing w:after="240"/>
        <w:ind w:left="570" w:hanging="570"/>
      </w:pPr>
      <w:r w:rsidRPr="004511E5">
        <w:t>3.</w:t>
      </w:r>
      <w:r w:rsidRPr="004511E5">
        <w:tab/>
        <w:t xml:space="preserve">međutim, napominje da se ta procjena pri dovršetku za 2022. još uvijek temelji na pretpostavkama o ključnim etapama i troškovima iz 2016. te da će se te procjene znatno izmijeniti nakon što se dovrše novi temeljni plan i zahtjevi za projekt ITER te ih zatim </w:t>
      </w:r>
      <w:r w:rsidRPr="004511E5">
        <w:lastRenderedPageBreak/>
        <w:t>odobri Vijeće ITER-a i o njima se formalno izvijesti Zajedničko poduzeće;</w:t>
      </w:r>
    </w:p>
    <w:p w:rsidR="00A91F12" w:rsidRPr="004511E5" w:rsidRDefault="00A91F12" w:rsidP="00A91F12">
      <w:pPr>
        <w:spacing w:after="240"/>
        <w:ind w:left="570" w:hanging="570"/>
      </w:pPr>
      <w:r w:rsidRPr="004511E5">
        <w:t>4.</w:t>
      </w:r>
      <w:r w:rsidRPr="004511E5">
        <w:tab/>
        <w:t>potvrđuje da je Zajedničko poduzeće tijekom 2022. iskusilo snažne inflacijske učinke, u početku zbog problema u lancu opskrbe uzrokovanih bolešću COVID-19, a zatim (nakon veljače 2022.) zbog ruske ratne agresije protiv Ukrajine; izražava zabrinutost zbog toga što njihov učinak na ukupnu procjenu Zajedničkog poduzeća pri dovršetku iznosi 144 milijuna EUR (vrijednosti iz 2008.), prema posljednjoj procjeni; osim toga, napominje da se očekuje da će se ta procjena pri dovršetku ostvariti kao dodatni rashodi u razdoblju 2023. – 2026.; nadalje, napominje da je taj inflacijski učinak jasan u cijenama sirovina, kako u postojećim ugovorima tako i u ponudama zaprimljenima 2022., te da će se vjerojatno nastaviti u budućnosti ovisno o razvoju međunarodne situacije;</w:t>
      </w:r>
    </w:p>
    <w:p w:rsidR="00A91F12" w:rsidRPr="004511E5" w:rsidRDefault="00A91F12" w:rsidP="00A91F12">
      <w:pPr>
        <w:pStyle w:val="NormalHanging12a"/>
      </w:pPr>
      <w:r w:rsidRPr="004511E5">
        <w:t>5.</w:t>
      </w:r>
      <w:r w:rsidRPr="004511E5">
        <w:tab/>
        <w:t>sa zabrinutošću napominje da je Rusija član ITER-IO-a te ima obvezu da na lokaciju sastavljanja ITER-a u Francuskoj (</w:t>
      </w:r>
      <w:proofErr w:type="spellStart"/>
      <w:r w:rsidRPr="004511E5">
        <w:t>Cadarache</w:t>
      </w:r>
      <w:proofErr w:type="spellEnd"/>
      <w:r w:rsidRPr="004511E5">
        <w:t>) isporuči nekoliko komponenti za projekt ITER-a i pruža godišnje doprinose ITER-IO-u; naglašava da zbog te situacije postoji velik rizik od kašnjenja i povećanja troškova za projekt ITER; ustraje u tome da je potrebno razviti rješenja kako bi se na odgovarajući način ublažili ti rizici; smatra da bi se svakom donesenom odlukom trebali zaštititi strateški interesi i politički prioriteti Unije;</w:t>
      </w:r>
    </w:p>
    <w:p w:rsidR="00A91F12" w:rsidRPr="004511E5" w:rsidRDefault="00A91F12" w:rsidP="00A91F12">
      <w:pPr>
        <w:spacing w:after="240"/>
        <w:ind w:left="570" w:hanging="570"/>
      </w:pPr>
      <w:r w:rsidRPr="004511E5">
        <w:t>6.</w:t>
      </w:r>
      <w:r w:rsidRPr="004511E5">
        <w:tab/>
        <w:t>svjestan je da je 31. Vijeće ITER-a</w:t>
      </w:r>
      <w:r w:rsidRPr="004511E5">
        <w:rPr>
          <w:rStyle w:val="FootnoteReference"/>
        </w:rPr>
        <w:footnoteReference w:id="17"/>
      </w:r>
      <w:r w:rsidRPr="004511E5">
        <w:t xml:space="preserve"> u studenome 2022. postiglo dogovor o ažuriranju temeljnog plana te da je na svojem 32. sastanku održanom 21. i 22. lipnja 2023.</w:t>
      </w:r>
      <w:r w:rsidRPr="004511E5">
        <w:rPr>
          <w:rStyle w:val="FootnoteReference"/>
        </w:rPr>
        <w:footnoteReference w:id="18"/>
      </w:r>
      <w:r w:rsidRPr="004511E5">
        <w:t xml:space="preserve"> zatražilo od glavnog direktora ITER-a da predstavi prijedlog ažuriranog temeljnog plana ITER-a na preispitivanje i odobrenje 2024.;</w:t>
      </w:r>
    </w:p>
    <w:p w:rsidR="00A91F12" w:rsidRPr="004511E5" w:rsidRDefault="00A91F12" w:rsidP="00A91F12">
      <w:pPr>
        <w:spacing w:after="240"/>
        <w:ind w:left="570" w:hanging="570"/>
      </w:pPr>
      <w:r w:rsidRPr="004511E5">
        <w:t>7.</w:t>
      </w:r>
      <w:r w:rsidRPr="004511E5">
        <w:tab/>
        <w:t>sa zabrinutošću napominje da je rizik za proračun procijenjen srednje visokim za Zajedničko poduzeće zbog novih rizika od daljnjih odgoda i povećanja troškova za projekt ITER povezanih s novim temeljnim planom, problema u isporuci zbog sankcija protiv Rusije i kašnjenja Francuskog tijela za nuklearnu sigurnost</w:t>
      </w:r>
      <w:r w:rsidRPr="004511E5">
        <w:rPr>
          <w:rStyle w:val="FootnoteReference"/>
        </w:rPr>
        <w:footnoteReference w:id="19"/>
      </w:r>
      <w:r w:rsidRPr="004511E5">
        <w:t xml:space="preserve"> pri odobravanju izmjena dizajna do kojih je došlo tijekom procesa sastavljanja komponenti;</w:t>
      </w:r>
    </w:p>
    <w:p w:rsidR="00A91F12" w:rsidRPr="004511E5" w:rsidRDefault="00A91F12" w:rsidP="00A91F12">
      <w:pPr>
        <w:spacing w:after="240"/>
      </w:pPr>
      <w:r w:rsidRPr="004511E5">
        <w:rPr>
          <w:b/>
          <w:i/>
        </w:rPr>
        <w:t>Upravljanje proračunom i financijama</w:t>
      </w:r>
    </w:p>
    <w:p w:rsidR="00A91F12" w:rsidRPr="004511E5" w:rsidRDefault="00A91F12" w:rsidP="00A91F12">
      <w:pPr>
        <w:pStyle w:val="NormalHanging12a"/>
      </w:pPr>
      <w:r w:rsidRPr="004511E5">
        <w:t>8.</w:t>
      </w:r>
      <w:r w:rsidRPr="004511E5">
        <w:tab/>
        <w:t>pozdravlja činjenicu da je proračun Unije za razdoblje 2014. – 2020. u potpunosti izvršen krajem 2020. kad je riječ o obvezama; nadalje, napominje da je plan plaćanja za nepodmirene obveze usklađen s planom provedbe: 232,2 milijuna EUR za 2022. i 150 milijuna EUR za 2023., a ostala preostala plaćanja ostvarit će se sljedećih godina</w:t>
      </w:r>
      <w:r w:rsidRPr="004511E5">
        <w:rPr>
          <w:vertAlign w:val="superscript"/>
        </w:rPr>
        <w:footnoteReference w:id="20"/>
      </w:r>
      <w:r w:rsidRPr="004511E5">
        <w:t>;</w:t>
      </w:r>
    </w:p>
    <w:p w:rsidR="00A91F12" w:rsidRPr="004511E5" w:rsidRDefault="00A91F12" w:rsidP="00A91F12">
      <w:pPr>
        <w:spacing w:after="240"/>
        <w:ind w:left="570" w:hanging="570"/>
      </w:pPr>
      <w:r w:rsidRPr="004511E5">
        <w:lastRenderedPageBreak/>
        <w:t>9.</w:t>
      </w:r>
      <w:r w:rsidRPr="004511E5">
        <w:tab/>
        <w:t xml:space="preserve">napominje da je za razdoblje VFO-a 2021. – 2027. Europsko vijeće postiglo dogovor o proračunu za doprinos </w:t>
      </w:r>
      <w:proofErr w:type="spellStart"/>
      <w:r w:rsidRPr="004511E5">
        <w:t>Euratoma</w:t>
      </w:r>
      <w:proofErr w:type="spellEnd"/>
      <w:r w:rsidRPr="004511E5">
        <w:t xml:space="preserve"> ITER-u u ukupnom iznosu od 5 614 milijuna EUR (u trenutačnim vrijednostima), od kojih je 5 560 milijuna EUR (u trenutačnim vrijednostima) izravni doprinos projektu; osim toga, napominje da će se tom iznosu dodati doprinosi države domaćina ITER-a te članstva, podložno konačnoj odluci nadležnih proračunskih tijela;</w:t>
      </w:r>
    </w:p>
    <w:p w:rsidR="00A91F12" w:rsidRPr="004511E5" w:rsidRDefault="00A91F12" w:rsidP="00A91F12">
      <w:pPr>
        <w:spacing w:after="240"/>
        <w:ind w:left="570" w:hanging="570"/>
      </w:pPr>
      <w:r w:rsidRPr="004511E5">
        <w:t>10.</w:t>
      </w:r>
      <w:r w:rsidRPr="004511E5">
        <w:tab/>
        <w:t>napominje da je Upravni odbor Zajedničkog poduzeća izvorno usvojio proračun Zajedničkog poduzeća za 2022. u iznosu od 854,49 milijuna EUR u odobrenim sredstvima za preuzimanje obveza i 845,45 milijuna EUR u odobrenim sredstvima za plaćanje te da je proračun izmijenjen dvama amandmanima na sastancima Upravnog odbora u srpnju i prosincu 2022.;</w:t>
      </w:r>
    </w:p>
    <w:p w:rsidR="00A91F12" w:rsidRPr="004511E5" w:rsidRDefault="00A91F12" w:rsidP="00A91F12">
      <w:pPr>
        <w:spacing w:after="240"/>
        <w:ind w:left="570" w:hanging="570"/>
      </w:pPr>
      <w:r w:rsidRPr="004511E5">
        <w:t>11.</w:t>
      </w:r>
      <w:r w:rsidRPr="004511E5">
        <w:tab/>
        <w:t>napominje da su konačna raspoloživa proračunska sredstva, uključujući prijenose iz prethodne godine, iznosila 981,18 milijuna EUR u odobrenim sredstvima za obveze (1 069,9 milijuna EUR u 2021.) i 844,02 milijuna EUR u odobrenim sredstvima za plaćanje (764,8 milijuna EUR u 2021.);</w:t>
      </w:r>
    </w:p>
    <w:p w:rsidR="00A91F12" w:rsidRPr="004511E5" w:rsidRDefault="00A91F12" w:rsidP="00A91F12">
      <w:pPr>
        <w:pStyle w:val="NormalHanging12a"/>
      </w:pPr>
      <w:r w:rsidRPr="004511E5">
        <w:t>12.</w:t>
      </w:r>
      <w:r w:rsidRPr="004511E5">
        <w:tab/>
        <w:t xml:space="preserve">napominje da je stopa izvršenja konačnog raspoloživog proračuna Zajedničkog poduzeća iznosila 72 % za obveze i 91 % za plaćanja (99,7 % odnosno 97,4 % 2021.); prima na znanje da su niske stope izvršenja bile rezultat usporavanja operativnih aktivnosti na razini ITER-IO-a i Zajedničkog poduzeća, uglavnom zbog posljedica </w:t>
      </w:r>
      <w:proofErr w:type="spellStart"/>
      <w:r w:rsidRPr="004511E5">
        <w:t>pandemije</w:t>
      </w:r>
      <w:proofErr w:type="spellEnd"/>
      <w:r w:rsidRPr="004511E5">
        <w:t xml:space="preserve"> bolesti COVID-19, ruske ratne agresije na Ukrajinu i nedavnih problema s tehničkim dizajnom u vezi s trenutačnom fazom sastavljanja projekta ITER;</w:t>
      </w:r>
    </w:p>
    <w:p w:rsidR="00A91F12" w:rsidRPr="004511E5" w:rsidRDefault="00A91F12" w:rsidP="00A91F12">
      <w:pPr>
        <w:spacing w:after="240"/>
        <w:ind w:left="570" w:hanging="570"/>
      </w:pPr>
      <w:r w:rsidRPr="004511E5">
        <w:t>13.</w:t>
      </w:r>
      <w:r w:rsidRPr="004511E5">
        <w:tab/>
        <w:t>napominje, međutim, da je Zajedničko poduzeće smanjilo proračun za operativna plaćanja za 92 milijuna EUR donijevši izmijenjeni proračun te je, osim toga, prenijelo iznos od 9,5 milijuna EUR iz svojeg proračuna za operativna plaćanja u administrativni proračun (plaće) u svrhu financiranja obveza prema Komisiji u vezi s mirovinskim fondom;</w:t>
      </w:r>
    </w:p>
    <w:p w:rsidR="00A91F12" w:rsidRPr="004511E5" w:rsidRDefault="00A91F12" w:rsidP="00A91F12">
      <w:pPr>
        <w:spacing w:after="240"/>
        <w:ind w:left="570" w:hanging="570"/>
      </w:pPr>
      <w:r w:rsidRPr="004511E5">
        <w:t>14.</w:t>
      </w:r>
      <w:r w:rsidRPr="004511E5">
        <w:tab/>
        <w:t>ističe da je Revizorski sud smatrao da postoje nedostaci u izvršenju administrativnog proračuna Zajedničkog poduzeća zbog činjenice da je taj proračun uspostavljen u obliku neodvojenih odobrenih sredstava; napominje da se, kao rezultat toga, plaćanja administrativnih obveza preuzetih na temelju administrativnih ugovora i ugovornih obveza za koje plaćanja do kraja godine nisu izvršena mogu prenijeti u sljedeću godinu;</w:t>
      </w:r>
    </w:p>
    <w:p w:rsidR="00A91F12" w:rsidRPr="004511E5" w:rsidRDefault="00A91F12" w:rsidP="00A91F12">
      <w:pPr>
        <w:spacing w:after="240"/>
        <w:ind w:left="570" w:hanging="570"/>
      </w:pPr>
      <w:r w:rsidRPr="004511E5">
        <w:t>15.</w:t>
      </w:r>
      <w:r w:rsidRPr="004511E5">
        <w:tab/>
        <w:t>sa zabrinutošću napominje da je na kraju 2022. stopa izvršenja za glavu 2. „Infrastruktura i operativni rashodi” iznosila 63 % ako se uzme u obzir samo novi proračun za administrativna plaćanja za 2022., odnosno 69 % ako se uzme u obzir i neiskorišteni proračun za administrativna plaćanja iz prethodnih godina koji je ponovno aktiviran 2022. za izvršenje, a stopa ukidanja odobrenih sredstava za obveze prenesenih iz prethodne godine bila je visoka, s prosjekom od 20 %;</w:t>
      </w:r>
    </w:p>
    <w:p w:rsidR="00A91F12" w:rsidRPr="004511E5" w:rsidRDefault="00A91F12" w:rsidP="00A91F12">
      <w:pPr>
        <w:spacing w:after="240"/>
      </w:pPr>
      <w:r w:rsidRPr="004511E5">
        <w:rPr>
          <w:b/>
          <w:i/>
        </w:rPr>
        <w:t>Osoblje i zapošljavanje</w:t>
      </w:r>
    </w:p>
    <w:p w:rsidR="00A91F12" w:rsidRPr="004511E5" w:rsidRDefault="00A91F12" w:rsidP="00A91F12">
      <w:pPr>
        <w:spacing w:after="240"/>
        <w:ind w:left="570" w:hanging="570"/>
      </w:pPr>
      <w:r w:rsidRPr="004511E5">
        <w:t>16.</w:t>
      </w:r>
      <w:r w:rsidRPr="004511E5">
        <w:tab/>
        <w:t>napominje da su na dan 31. prosinca 2022. popunjena radna mjesta u Zajedničkom poduzeću uključivala 46 dužnosnika, 224 privremena djelatnika i 164 ugovorna djelatnika; osim toga, napominje da se Zajedničko poduzeće oslanjalo na potporu 12,5 članova privremenog osoblja (ekvivalent punog radnog vremena) i troje upućenih nacionalnih stručnjaka;</w:t>
      </w:r>
    </w:p>
    <w:p w:rsidR="00A91F12" w:rsidRPr="004511E5" w:rsidRDefault="00A91F12" w:rsidP="00A91F12">
      <w:pPr>
        <w:spacing w:after="240"/>
        <w:ind w:left="570" w:hanging="570"/>
      </w:pPr>
      <w:r w:rsidRPr="004511E5">
        <w:lastRenderedPageBreak/>
        <w:t>17.</w:t>
      </w:r>
      <w:r w:rsidRPr="004511E5">
        <w:tab/>
        <w:t>osim toga, napominje da je 2022. na dužnost stupilo 11 novih zaposlenika (šest privremenih djelatnika, četiri ugovorna djelatnika i jedan upućeni nacionalni stručnjak) te da su četiri člana osoblja (svi ugovorni djelatnici) postali članovi privremenog osoblja na temelju postupaka odabira;</w:t>
      </w:r>
    </w:p>
    <w:p w:rsidR="00A91F12" w:rsidRPr="004511E5" w:rsidRDefault="00A91F12" w:rsidP="00A91F12">
      <w:pPr>
        <w:pStyle w:val="NormalHanging12a"/>
      </w:pPr>
      <w:r w:rsidRPr="004511E5">
        <w:t>18.</w:t>
      </w:r>
      <w:r w:rsidRPr="004511E5">
        <w:tab/>
        <w:t>napominje da je Zajedničko poduzeće blago poboljšalo rodnu neravnotežu; na temelju konsolidiranog godišnjeg izvješća o radu konstatira da, kada je riječ o rodnoj ravnoteži, radnu snagu Fuzije za energiju čini oko 38 % žena i 62 % muškaraca; snažno potiče Zajedničko poduzeće da nastavi poboljšavati rodnu ravnotežu i da teži geografskoj ravnoteži u tom pogledu;</w:t>
      </w:r>
    </w:p>
    <w:p w:rsidR="00A91F12" w:rsidRPr="004511E5" w:rsidRDefault="00A91F12" w:rsidP="00A91F12">
      <w:pPr>
        <w:spacing w:after="240"/>
        <w:ind w:left="570" w:hanging="570"/>
      </w:pPr>
      <w:r w:rsidRPr="004511E5">
        <w:t>19.</w:t>
      </w:r>
      <w:r w:rsidRPr="004511E5">
        <w:tab/>
        <w:t>ističe da je Revizorski sud smatrao da je situacija u višem rukovodstvu Zajedničkog poduzeća i dalje nestabilna i u izrazito prijelaznom stanju krajem 2022., uz odlazak direktora u lipnju 2022. i imenovanje voditelja Odjela za širi pristup kao glavnog direktora ITER-IO-a u rujnu 2022., što je dovelo do promjene osoblja na četiri od sedam viših rukovodećih položaja Zajedničkog poduzeća;</w:t>
      </w:r>
    </w:p>
    <w:p w:rsidR="00A91F12" w:rsidRPr="004511E5" w:rsidRDefault="00A91F12" w:rsidP="00A91F12">
      <w:pPr>
        <w:spacing w:after="240"/>
        <w:ind w:left="570" w:hanging="570"/>
      </w:pPr>
      <w:r w:rsidRPr="004511E5">
        <w:t>20.</w:t>
      </w:r>
      <w:r w:rsidRPr="004511E5">
        <w:tab/>
        <w:t>dijeli zabrinutost Revizorskog suda da spomenuto stanje dovodi do rizika za dobro upravljanje Zajedničkim poduzećem i kontinuitet njegova poslovanja u razdoblju u kojem će iskusni viši rukovoditelji biti potrebni kako bi se proveli novi temeljni planovi za ITER, koji imaju snažan utjecaj na aktivnosti Zajedničkog poduzeća;</w:t>
      </w:r>
    </w:p>
    <w:p w:rsidR="00A91F12" w:rsidRPr="004511E5" w:rsidRDefault="00A91F12" w:rsidP="00A91F12">
      <w:pPr>
        <w:spacing w:after="240"/>
        <w:ind w:left="570" w:hanging="570"/>
      </w:pPr>
      <w:r w:rsidRPr="004511E5">
        <w:t>21.</w:t>
      </w:r>
      <w:r w:rsidRPr="004511E5">
        <w:tab/>
        <w:t>sa zabrinutošću je primio na znanje pismo</w:t>
      </w:r>
      <w:r w:rsidRPr="004511E5">
        <w:rPr>
          <w:rStyle w:val="FootnoteReference"/>
        </w:rPr>
        <w:footnoteReference w:id="21"/>
      </w:r>
      <w:r w:rsidRPr="004511E5">
        <w:t xml:space="preserve"> koje su sindikati početkom 2022. uputili Komisiji, u kojem se opisuju problemi u vezi s upravljanjem i ljudskim resursima te se Komisija upozorava na rizike koje takva situacija predstavlja za pravilno funkcioniranje Zajedničkog poduzeća, dobrobit njegova osoblja i ugled Unije u projektu ITER;</w:t>
      </w:r>
    </w:p>
    <w:p w:rsidR="00A91F12" w:rsidRPr="004511E5" w:rsidRDefault="00A91F12" w:rsidP="00A91F12">
      <w:pPr>
        <w:spacing w:after="240"/>
        <w:rPr>
          <w:b/>
          <w:i/>
        </w:rPr>
      </w:pPr>
      <w:r w:rsidRPr="004511E5">
        <w:rPr>
          <w:b/>
          <w:i/>
        </w:rPr>
        <w:t>Sprječavanje prijevare i sukoba interesa</w:t>
      </w:r>
    </w:p>
    <w:p w:rsidR="00A91F12" w:rsidRPr="004511E5" w:rsidRDefault="00A91F12" w:rsidP="00A91F12">
      <w:pPr>
        <w:spacing w:after="240"/>
        <w:ind w:left="570" w:hanging="570"/>
      </w:pPr>
      <w:r w:rsidRPr="004511E5">
        <w:t>22.</w:t>
      </w:r>
      <w:r w:rsidRPr="004511E5">
        <w:tab/>
        <w:t>prima na znanje iz konsolidiranog godišnjeg izvješća o radu za 2022. da se provedba mjera iz Akcijskog plana za borbu protiv prijevara sustavno prati uz pomoć namjenske baze podataka (RAPID) u kojoj se dokumentira daljnji napredak u provedbi mjera za borbu protiv prijevara 2022.;</w:t>
      </w:r>
    </w:p>
    <w:p w:rsidR="00A91F12" w:rsidRPr="004511E5" w:rsidRDefault="00A91F12" w:rsidP="00A91F12">
      <w:pPr>
        <w:spacing w:after="240"/>
        <w:ind w:left="570" w:hanging="570"/>
      </w:pPr>
      <w:r w:rsidRPr="004511E5">
        <w:t>23.</w:t>
      </w:r>
      <w:r w:rsidRPr="004511E5">
        <w:tab/>
        <w:t>sa zadovoljstvom primjećuje da je tijekom godine službenik za borbu protiv prijevara i etiku pružao informacije i potporu u pitanjima sprečavanja prijevara osoblju uključenom u nabavu, upravljanje ugovorima, financije i upravljanje ljudskim resursima te da su organizirana događanja za podizanje razine osviještenosti o borbi protiv prijevara za osoblje i upravu Zajedničkog poduzeća, uključujući tečajeve osposobljavanja za nove zaposlenike; napominje da je stanje provedbe prijavljeno na sastancima Odbora za reviziju te da je, osim toga, interna mreža korespondenata za prijevare Zajedničkog poduzeća obaviještena pojedinačno i u kontekstu redovitih sastanaka Mreže za jamstvo;</w:t>
      </w:r>
    </w:p>
    <w:p w:rsidR="00A91F12" w:rsidRPr="004511E5" w:rsidRDefault="00A91F12" w:rsidP="00A91F12">
      <w:pPr>
        <w:spacing w:after="240"/>
        <w:ind w:left="570" w:hanging="570"/>
      </w:pPr>
      <w:r w:rsidRPr="004511E5">
        <w:t>24.</w:t>
      </w:r>
      <w:r w:rsidRPr="004511E5">
        <w:tab/>
        <w:t>sa zadovoljstvom primjećuje da je osoblje obaviješteno o pravilima, postupcima, procesima i najboljim praksama povezanima s etičnošću i sprečavanjem sukoba interesa i upravljanjem njima, posebno putem priručnika na intranetu Zajedničkog poduzeća;</w:t>
      </w:r>
    </w:p>
    <w:p w:rsidR="00A91F12" w:rsidRPr="004511E5" w:rsidRDefault="00A91F12" w:rsidP="00A91F12">
      <w:pPr>
        <w:spacing w:after="240"/>
        <w:ind w:left="570" w:hanging="570"/>
      </w:pPr>
      <w:r w:rsidRPr="004511E5">
        <w:t>25.</w:t>
      </w:r>
      <w:r w:rsidRPr="004511E5">
        <w:tab/>
        <w:t xml:space="preserve">pozdravlja činjenicu da su od 2022. svi zaposlenici Zajedničkog poduzeća obvezni </w:t>
      </w:r>
      <w:r w:rsidRPr="004511E5">
        <w:lastRenderedPageBreak/>
        <w:t xml:space="preserve">svake godine izdati opću izjavu o financijskim interesima; izdavanjem i ocjenjivanjem izjava sada se upravlja s pomoću novoosnovanog digitaliziranog registra sukoba interesa Zajedničkog poduzeća, čime se poboljšavaju praćenje i </w:t>
      </w:r>
      <w:proofErr w:type="spellStart"/>
      <w:r w:rsidRPr="004511E5">
        <w:t>sljedivost</w:t>
      </w:r>
      <w:proofErr w:type="spellEnd"/>
      <w:r w:rsidRPr="004511E5">
        <w:t>, a time i sprečavanje i postupanje u slučaju sukoba interesa u Zajedničkom poduzeću;</w:t>
      </w:r>
    </w:p>
    <w:p w:rsidR="00A91F12" w:rsidRPr="004511E5" w:rsidRDefault="00A91F12" w:rsidP="00A91F12">
      <w:pPr>
        <w:spacing w:after="240"/>
      </w:pPr>
      <w:r w:rsidRPr="004511E5">
        <w:rPr>
          <w:b/>
          <w:i/>
        </w:rPr>
        <w:t>Sustavi upravljanja i kontrole</w:t>
      </w:r>
    </w:p>
    <w:p w:rsidR="00A91F12" w:rsidRPr="004511E5" w:rsidRDefault="00A91F12" w:rsidP="00A91F12">
      <w:pPr>
        <w:spacing w:after="240"/>
        <w:ind w:left="570" w:hanging="570"/>
      </w:pPr>
      <w:r w:rsidRPr="004511E5">
        <w:t>26.</w:t>
      </w:r>
      <w:r w:rsidRPr="004511E5">
        <w:tab/>
        <w:t>sa zabrinutošću napominje da Revizorski sud smatra da upravljanje ugovorima Zajedničkog poduzeća ima nedostatke koji su ozbiljno utjecali na ostvarivanje ciljeva ugovora i, ako se ne otklone, mogu utjecati i na druge operativne aktivnosti Zajedničkog poduzeća, kad se uzmu u obzir znatne izmjene tekućih složenih ugovora koje će možda biti potrebne nakon ažuriranja temeljnog plana za projekt ITER;</w:t>
      </w:r>
    </w:p>
    <w:p w:rsidR="00A91F12" w:rsidRPr="004511E5" w:rsidRDefault="00A91F12" w:rsidP="00A91F12">
      <w:pPr>
        <w:spacing w:after="240"/>
        <w:ind w:left="570" w:hanging="570"/>
      </w:pPr>
      <w:r w:rsidRPr="004511E5">
        <w:t>27.</w:t>
      </w:r>
      <w:r w:rsidRPr="004511E5">
        <w:tab/>
        <w:t>posebno prima na znanje ugovor sklopljen 2013. u vrijednosti od 500 milijuna EUR za dizajn, opremanje i stavljanje u upotrebu zgrada u kojima se obavljaju nuklearne i nenuklearne aktivnosti u vezi s projektom ITER; uz pomoć vanjskih pravnih stručnjaka Zajedničko poduzeće i ITER-IO, reagirajući na zabrinutost i nezadovoljstvo u pogledu napretka i učinkovitosti izvođača radova u vezi s radovima koji su na zgradama za nenuklearne aktivnosti još bili u tijeku, procijenili su u prosincu 2020. moguće posljedice primjene alternativnih strategija javne nabave, kao što je ponovno raspisivanje natječaja za pružanje usluga opremanja ili povjeravanje preostalih radova drugim izvođačima; napominje da je u veljači 2021. izvođač radova podnio zahtjev za nadoknadu troškova dizajna nuklearnih komponenti i usluga opremanja u iznosu od 150 milijuna EUR; u rujnu 2021. podnio je još jedan zahtjev, u iznosu od 30 milijuna EUR, za preostale radove na zgradama za nenuklearne aktivnosti; na temelju analize rizika i povratnih informacija koje su dostavili pravni stručnjaci direktor Zajedničkog poduzeća sklopio je dogovor s izvođačem radova samo za prvi zahtjev, i to za isplatu iznosa od 75 milijuna EUR, a izvođač je u vezi s nenamirenim drugim zahtjevom pokrenuo spor;</w:t>
      </w:r>
    </w:p>
    <w:p w:rsidR="00A91F12" w:rsidRPr="004511E5" w:rsidRDefault="00A91F12" w:rsidP="00A91F12">
      <w:pPr>
        <w:spacing w:after="240"/>
        <w:ind w:left="570" w:hanging="570"/>
      </w:pPr>
      <w:r w:rsidRPr="004511E5">
        <w:t>28.</w:t>
      </w:r>
      <w:r w:rsidRPr="004511E5">
        <w:tab/>
        <w:t>ističe da je, prema Revizorskom sudu, analiza dokumentacije o provedbi ugovora otkrila nedostatke u načinu na koji Zajedničko poduzeće upravlja tim ugovorom, a Revizorski sud posebno je istaknuo da Zajedničko poduzeće nije u mogućnosti obavijestiti o značajnoj neusklađenosti u programiranju izvođača, što je dovelo do različitih tumačenja i neslaganja među stranama u pogledu opsega rada, rokova i projektnih zahtjeva; osim toga, pravni stručnjaci zaključili su da zbog formulacije teksta relevantnih odredbi ugovora Zajedničko poduzeće nije moglo raskinuti taj ugovor s ciljem samostalnog izvršenja radova u smanjenom opsegu ili kako bi ugovorilo da te radove izvrše drugi izvođači; izražava žaljenje zbog toga što Zajedničko poduzeće zbog nepostojanja projektne evidencije nije moglo jasno utvrditi obveze ugovaratelja;</w:t>
      </w:r>
    </w:p>
    <w:p w:rsidR="00A91F12" w:rsidRPr="004511E5" w:rsidRDefault="00A91F12" w:rsidP="00A91F12">
      <w:pPr>
        <w:spacing w:after="240"/>
        <w:ind w:left="570" w:hanging="570"/>
      </w:pPr>
      <w:r w:rsidRPr="004511E5">
        <w:t>29.</w:t>
      </w:r>
      <w:r w:rsidRPr="004511E5">
        <w:tab/>
        <w:t>primjećuje da se u konsolidiranom godišnjem izvješću o radu za 2022. navodi da Zajedničko poduzeće i dalje provodi priznat i stabilan sustav unutarnje kontrole koji dobro funkcionira; napominje, međutim, da Zajedničko poduzeće uviđa da promjene u upravi (direktor i viši rukovoditelji) koje se odvijaju od sredine 2022. izravno utječu na provedbu nekih mjera, kao i na organizacijsku kulturu Zajedničkog poduzeća, te da vidljivost potpune provedbe inicijativa može potrajati neko vrijeme;</w:t>
      </w:r>
    </w:p>
    <w:p w:rsidR="00A91F12" w:rsidRPr="004511E5" w:rsidRDefault="00A91F12" w:rsidP="00A91F12">
      <w:pPr>
        <w:spacing w:after="240"/>
        <w:ind w:left="570" w:hanging="570"/>
      </w:pPr>
      <w:r w:rsidRPr="004511E5">
        <w:t>30.</w:t>
      </w:r>
      <w:r w:rsidRPr="004511E5">
        <w:tab/>
        <w:t>potvrđuje da je Zajedničko poduzeće pri primjeni načela opreznosti dva nedostatka kategorizirala kao značajne: jedan u vezi s vanjskim pružateljima usluga (ljudski resursi, stručnost i kontinuitet) a drugi s radnim opterećenjem i dobrobiti osoblja;</w:t>
      </w:r>
    </w:p>
    <w:p w:rsidR="00A91F12" w:rsidRPr="004511E5" w:rsidRDefault="00A91F12" w:rsidP="00A91F12">
      <w:pPr>
        <w:spacing w:after="240"/>
        <w:ind w:left="570" w:hanging="570"/>
      </w:pPr>
      <w:r w:rsidRPr="004511E5">
        <w:lastRenderedPageBreak/>
        <w:t>31.</w:t>
      </w:r>
      <w:r w:rsidRPr="004511E5">
        <w:tab/>
        <w:t>osim toga, prima na znanje da viša uprava Zajedničkog poduzeća kontinuirano prati mjere pokrenute u područjima za koja je utvrđeno da imaju velike nedostatke i smatra da je Zajedničko poduzeće znatno ublažilo povezane rizike i izradilo konkretne akcijske planove za rješavanje preostalih problema, čime se opravdava činjenica da je 2022. uklonjena zadrška iz 2021.;</w:t>
      </w:r>
    </w:p>
    <w:p w:rsidR="00A91F12" w:rsidRPr="004511E5" w:rsidRDefault="00A91F12" w:rsidP="00A91F12">
      <w:pPr>
        <w:spacing w:after="240"/>
      </w:pPr>
      <w:r w:rsidRPr="004511E5">
        <w:rPr>
          <w:b/>
          <w:i/>
        </w:rPr>
        <w:t>Praćenje mjera poduzetih u pogledu primjedbi iz prijašnjih godina</w:t>
      </w:r>
    </w:p>
    <w:p w:rsidR="00A91F12" w:rsidRPr="004511E5" w:rsidRDefault="00A91F12" w:rsidP="00A91F12">
      <w:pPr>
        <w:spacing w:after="240"/>
        <w:ind w:left="570" w:hanging="570"/>
      </w:pPr>
      <w:r w:rsidRPr="004511E5">
        <w:t>32.</w:t>
      </w:r>
      <w:r w:rsidRPr="004511E5">
        <w:tab/>
        <w:t xml:space="preserve">konstatira da su „primjedbe” u godišnjim izvješćima za zajednička poduzeća zapravo „preporuke Revizorskog suda bez vremenskih rokova”; napominje da Revizorski sud svake godine poduzima daljnje korake u vezi s tim primjedbama i ocjenjuje njihov status ocjenom „otvorena” ili „zaključena” primjedba; </w:t>
      </w:r>
    </w:p>
    <w:p w:rsidR="00A91F12" w:rsidRPr="004511E5" w:rsidRDefault="00A91F12" w:rsidP="00A91F12">
      <w:pPr>
        <w:spacing w:after="240"/>
        <w:ind w:left="570" w:hanging="570"/>
      </w:pPr>
      <w:r w:rsidRPr="004511E5">
        <w:t>33.</w:t>
      </w:r>
      <w:r w:rsidRPr="004511E5">
        <w:tab/>
        <w:t>prima na znanje da su od pet primjedbi Revizorskog suda iz 2019. i 2021. zaključene samo dvije;</w:t>
      </w:r>
    </w:p>
    <w:p w:rsidR="00A91F12" w:rsidRPr="004511E5" w:rsidRDefault="00A91F12" w:rsidP="00A91F12">
      <w:pPr>
        <w:spacing w:after="240"/>
        <w:ind w:left="570" w:hanging="570"/>
      </w:pPr>
      <w:r w:rsidRPr="004511E5">
        <w:t>34.</w:t>
      </w:r>
      <w:r w:rsidRPr="004511E5">
        <w:tab/>
        <w:t>podsjeća da se nezaključena primjedba iz 2019. odnosi na prekomjerno angažiranje ugovornih ili vanjskih djelatnika (oko 62 % u 2019.), te da ta situacija nosi sa sobom znatan rizik za Zajedničko poduzeće u pogledu zadržavanja stručnjaka s ključnim kompetencijama, nejasne kontrole odgovornosti, mogućih sudskih sporova i smanjene učinkovitosti osoblja zbog decentraliziranog upravljanja;</w:t>
      </w:r>
    </w:p>
    <w:p w:rsidR="00A91F12" w:rsidRPr="004511E5" w:rsidRDefault="00A91F12" w:rsidP="00A91F12">
      <w:pPr>
        <w:spacing w:after="240"/>
        <w:ind w:left="570" w:hanging="570"/>
      </w:pPr>
      <w:r w:rsidRPr="004511E5">
        <w:t>35.</w:t>
      </w:r>
      <w:r w:rsidRPr="004511E5">
        <w:tab/>
        <w:t>napominje da je tijekom 2022. Zajedničko poduzeće osnovalo radnu skupinu kako bi procijenilo visoku razinu angažiranja vanjskih djelatnika, s ciljem boljeg planiranja i pravdanja potrebe za njima;</w:t>
      </w:r>
    </w:p>
    <w:p w:rsidR="00A91F12" w:rsidRPr="004511E5" w:rsidRDefault="00A91F12" w:rsidP="00A91F12">
      <w:pPr>
        <w:spacing w:after="240"/>
        <w:ind w:left="570" w:hanging="570"/>
      </w:pPr>
      <w:r w:rsidRPr="004511E5">
        <w:t>36.</w:t>
      </w:r>
      <w:r w:rsidRPr="004511E5">
        <w:tab/>
        <w:t>napominje da se za 2021. nezaključene primjedbe odnose na i. nedostatak dokaza o učinkovitosti i pozitivnog učinka na sustav redovitih godišnjih procjena koje provode vanjski stručnjaci i intenzivnih unutarnjih revizija koje obuhvaćaju većinu ključnih područja aktivnosti Zajedničkog poduzeća; spomenuto je dovelo do povećanja administrativnog opterećenja te ii. pogoršanje radnog okruženja u Zajedničkom poduzeću</w:t>
      </w:r>
      <w:r w:rsidRPr="004511E5">
        <w:rPr>
          <w:rStyle w:val="FootnoteReference"/>
        </w:rPr>
        <w:footnoteReference w:id="22"/>
      </w:r>
      <w:r w:rsidRPr="004511E5">
        <w:t xml:space="preserve"> i nerazmjerne upotrebe vanjskih kadrovskih resursa, sve većih izazova i rizika za radno okruženje;</w:t>
      </w:r>
    </w:p>
    <w:p w:rsidR="00A91F12" w:rsidRPr="004511E5" w:rsidRDefault="00A91F12" w:rsidP="004511E5">
      <w:pPr>
        <w:ind w:left="567" w:hanging="567"/>
      </w:pPr>
      <w:r w:rsidRPr="004511E5">
        <w:t>37.</w:t>
      </w:r>
      <w:r w:rsidRPr="004511E5">
        <w:tab/>
        <w:t>napominje da je 2022. Upravni odbor, nakon dviju preporuka iz desetog godišnjeg izvješća o procjeni</w:t>
      </w:r>
      <w:r w:rsidRPr="004511E5">
        <w:rPr>
          <w:rStyle w:val="FootnoteReference"/>
        </w:rPr>
        <w:footnoteReference w:id="23"/>
      </w:r>
      <w:r w:rsidRPr="004511E5">
        <w:t xml:space="preserve"> upravljanja ljudskim resursima, odobrio akcijski plan za njihovu provedbu.</w:t>
      </w:r>
    </w:p>
    <w:sectPr w:rsidR="00A91F12" w:rsidRPr="004511E5" w:rsidSect="001A58F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FD8" w:rsidRPr="001A58FF" w:rsidRDefault="00A60FD8">
      <w:r w:rsidRPr="001A58FF">
        <w:separator/>
      </w:r>
    </w:p>
  </w:endnote>
  <w:endnote w:type="continuationSeparator" w:id="0">
    <w:p w:rsidR="00A60FD8" w:rsidRPr="001A58FF" w:rsidRDefault="00A60FD8">
      <w:r w:rsidRPr="001A58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F12" w:rsidRPr="001A58FF" w:rsidRDefault="00A91F12" w:rsidP="00576216">
    <w:pPr>
      <w:pStyle w:val="EPFooter"/>
    </w:pPr>
    <w:r w:rsidRPr="001A58FF">
      <w:t>PE</w:t>
    </w:r>
    <w:r w:rsidRPr="001A58FF">
      <w:rPr>
        <w:rStyle w:val="HideTWBExt"/>
      </w:rPr>
      <w:t>&lt;</w:t>
    </w:r>
    <w:proofErr w:type="spellStart"/>
    <w:r w:rsidRPr="001A58FF">
      <w:rPr>
        <w:rStyle w:val="HideTWBExt"/>
      </w:rPr>
      <w:t>NoPE</w:t>
    </w:r>
    <w:proofErr w:type="spellEnd"/>
    <w:r w:rsidRPr="001A58FF">
      <w:rPr>
        <w:rStyle w:val="HideTWBExt"/>
      </w:rPr>
      <w:t>&gt;</w:t>
    </w:r>
    <w:r w:rsidRPr="001A58FF">
      <w:t>753.493</w:t>
    </w:r>
    <w:r w:rsidRPr="001A58FF">
      <w:rPr>
        <w:rStyle w:val="HideTWBExt"/>
      </w:rPr>
      <w:t>&lt;/</w:t>
    </w:r>
    <w:proofErr w:type="spellStart"/>
    <w:r w:rsidRPr="001A58FF">
      <w:rPr>
        <w:rStyle w:val="HideTWBExt"/>
      </w:rPr>
      <w:t>NoPE</w:t>
    </w:r>
    <w:proofErr w:type="spellEnd"/>
    <w:r w:rsidRPr="001A58FF">
      <w:rPr>
        <w:rStyle w:val="HideTWBExt"/>
      </w:rPr>
      <w:t>&gt;&lt;Version&gt;</w:t>
    </w:r>
    <w:r w:rsidRPr="001A58FF">
      <w:t>v02-00</w:t>
    </w:r>
    <w:r w:rsidRPr="001A58FF">
      <w:rPr>
        <w:rStyle w:val="HideTWBExt"/>
      </w:rPr>
      <w:t>&lt;/</w:t>
    </w:r>
    <w:proofErr w:type="spellStart"/>
    <w:r w:rsidRPr="001A58FF">
      <w:rPr>
        <w:rStyle w:val="HideTWBExt"/>
      </w:rPr>
      <w:t>Version</w:t>
    </w:r>
    <w:proofErr w:type="spellEnd"/>
    <w:r w:rsidRPr="001A58FF">
      <w:rPr>
        <w:rStyle w:val="HideTWBExt"/>
      </w:rPr>
      <w:t>&gt;</w:t>
    </w:r>
    <w:r w:rsidRPr="001A58FF">
      <w:tab/>
    </w:r>
    <w:r w:rsidRPr="001A58FF">
      <w:fldChar w:fldCharType="begin"/>
    </w:r>
    <w:r w:rsidRPr="001A58FF">
      <w:instrText xml:space="preserve"> PAGE  \* MERGEFORMAT </w:instrText>
    </w:r>
    <w:r w:rsidRPr="001A58FF">
      <w:fldChar w:fldCharType="separate"/>
    </w:r>
    <w:r w:rsidR="001A58FF" w:rsidRPr="001A58FF">
      <w:rPr>
        <w:noProof/>
      </w:rPr>
      <w:t>2</w:t>
    </w:r>
    <w:r w:rsidRPr="001A58FF">
      <w:fldChar w:fldCharType="end"/>
    </w:r>
    <w:r w:rsidRPr="001A58FF">
      <w:t>/</w:t>
    </w:r>
    <w:r w:rsidR="004C1692">
      <w:fldChar w:fldCharType="begin"/>
    </w:r>
    <w:r w:rsidR="004C1692">
      <w:instrText xml:space="preserve"> NUMPAGES  \* MERGEFORMAT </w:instrText>
    </w:r>
    <w:r w:rsidR="004C1692">
      <w:fldChar w:fldCharType="separate"/>
    </w:r>
    <w:r w:rsidR="001A58FF" w:rsidRPr="001A58FF">
      <w:rPr>
        <w:noProof/>
      </w:rPr>
      <w:t>4</w:t>
    </w:r>
    <w:r w:rsidR="004C1692">
      <w:rPr>
        <w:noProof/>
      </w:rPr>
      <w:fldChar w:fldCharType="end"/>
    </w:r>
    <w:r w:rsidRPr="001A58FF">
      <w:tab/>
    </w:r>
    <w:r w:rsidRPr="001A58FF">
      <w:rPr>
        <w:rStyle w:val="HideTWBExt"/>
      </w:rPr>
      <w:t>&lt;PathFdR&gt;</w:t>
    </w:r>
    <w:r w:rsidRPr="001A58FF">
      <w:t>RR\1298723HR.docx</w:t>
    </w:r>
    <w:r w:rsidRPr="001A58FF">
      <w:rPr>
        <w:rStyle w:val="HideTWBExt"/>
      </w:rPr>
      <w:t>&lt;/</w:t>
    </w:r>
    <w:proofErr w:type="spellStart"/>
    <w:r w:rsidRPr="001A58FF">
      <w:rPr>
        <w:rStyle w:val="HideTWBExt"/>
      </w:rPr>
      <w:t>PathFdR</w:t>
    </w:r>
    <w:proofErr w:type="spellEnd"/>
    <w:r w:rsidRPr="001A58FF">
      <w:rPr>
        <w:rStyle w:val="HideTWBExt"/>
      </w:rPr>
      <w:t>&gt;</w:t>
    </w:r>
  </w:p>
  <w:p w:rsidR="00A91F12" w:rsidRPr="001A58FF" w:rsidRDefault="00A91F12" w:rsidP="00576216">
    <w:pPr>
      <w:pStyle w:val="EPFooter2"/>
    </w:pPr>
    <w:r w:rsidRPr="001A58FF">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F12" w:rsidRPr="001A58FF" w:rsidRDefault="00A91F12" w:rsidP="00576216">
    <w:pPr>
      <w:pStyle w:val="EPFooter"/>
    </w:pPr>
    <w:r w:rsidRPr="001A58FF">
      <w:rPr>
        <w:rStyle w:val="HideTWBExt"/>
      </w:rPr>
      <w:t>&lt;PathFdR&gt;</w:t>
    </w:r>
    <w:r w:rsidRPr="001A58FF">
      <w:t>RR\1298723HR.docx</w:t>
    </w:r>
    <w:r w:rsidRPr="001A58FF">
      <w:rPr>
        <w:rStyle w:val="HideTWBExt"/>
      </w:rPr>
      <w:t>&lt;/</w:t>
    </w:r>
    <w:proofErr w:type="spellStart"/>
    <w:r w:rsidRPr="001A58FF">
      <w:rPr>
        <w:rStyle w:val="HideTWBExt"/>
      </w:rPr>
      <w:t>PathFdR</w:t>
    </w:r>
    <w:proofErr w:type="spellEnd"/>
    <w:r w:rsidRPr="001A58FF">
      <w:rPr>
        <w:rStyle w:val="HideTWBExt"/>
      </w:rPr>
      <w:t>&gt;</w:t>
    </w:r>
    <w:r w:rsidRPr="001A58FF">
      <w:tab/>
    </w:r>
    <w:r w:rsidRPr="001A58FF">
      <w:tab/>
      <w:t>PE</w:t>
    </w:r>
    <w:r w:rsidRPr="001A58FF">
      <w:rPr>
        <w:rStyle w:val="HideTWBExt"/>
      </w:rPr>
      <w:t>&lt;</w:t>
    </w:r>
    <w:proofErr w:type="spellStart"/>
    <w:r w:rsidRPr="001A58FF">
      <w:rPr>
        <w:rStyle w:val="HideTWBExt"/>
      </w:rPr>
      <w:t>NoPE</w:t>
    </w:r>
    <w:proofErr w:type="spellEnd"/>
    <w:r w:rsidRPr="001A58FF">
      <w:rPr>
        <w:rStyle w:val="HideTWBExt"/>
      </w:rPr>
      <w:t>&gt;</w:t>
    </w:r>
    <w:r w:rsidRPr="001A58FF">
      <w:t>753.493</w:t>
    </w:r>
    <w:r w:rsidRPr="001A58FF">
      <w:rPr>
        <w:rStyle w:val="HideTWBExt"/>
      </w:rPr>
      <w:t>&lt;/</w:t>
    </w:r>
    <w:proofErr w:type="spellStart"/>
    <w:r w:rsidRPr="001A58FF">
      <w:rPr>
        <w:rStyle w:val="HideTWBExt"/>
      </w:rPr>
      <w:t>NoPE</w:t>
    </w:r>
    <w:proofErr w:type="spellEnd"/>
    <w:r w:rsidRPr="001A58FF">
      <w:rPr>
        <w:rStyle w:val="HideTWBExt"/>
      </w:rPr>
      <w:t>&gt;&lt;Version&gt;</w:t>
    </w:r>
    <w:r w:rsidRPr="001A58FF">
      <w:t>v02-00</w:t>
    </w:r>
    <w:r w:rsidRPr="001A58FF">
      <w:rPr>
        <w:rStyle w:val="HideTWBExt"/>
      </w:rPr>
      <w:t>&lt;/</w:t>
    </w:r>
    <w:proofErr w:type="spellStart"/>
    <w:r w:rsidRPr="001A58FF">
      <w:rPr>
        <w:rStyle w:val="HideTWBExt"/>
      </w:rPr>
      <w:t>Version</w:t>
    </w:r>
    <w:proofErr w:type="spellEnd"/>
    <w:r w:rsidRPr="001A58FF">
      <w:rPr>
        <w:rStyle w:val="HideTWBExt"/>
      </w:rPr>
      <w:t>&gt;</w:t>
    </w:r>
  </w:p>
  <w:p w:rsidR="00A91F12" w:rsidRPr="001A58FF" w:rsidRDefault="00A91F12" w:rsidP="00576216">
    <w:pPr>
      <w:pStyle w:val="EPFooter2"/>
    </w:pPr>
    <w:r w:rsidRPr="001A58FF">
      <w:t>HR</w:t>
    </w:r>
    <w:r w:rsidRPr="001A58FF">
      <w:tab/>
    </w:r>
    <w:r w:rsidRPr="001A58FF">
      <w:rPr>
        <w:b w:val="0"/>
        <w:i/>
        <w:color w:val="C0C0C0"/>
        <w:sz w:val="22"/>
      </w:rPr>
      <w:t>Ujedinjena u raznolikosti</w:t>
    </w:r>
    <w:r w:rsidRPr="001A58FF">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58F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58F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58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FD8" w:rsidRPr="001A58FF" w:rsidRDefault="00A60FD8">
      <w:r w:rsidRPr="001A58FF">
        <w:separator/>
      </w:r>
    </w:p>
  </w:footnote>
  <w:footnote w:type="continuationSeparator" w:id="0">
    <w:p w:rsidR="00A60FD8" w:rsidRPr="001A58FF" w:rsidRDefault="00A60FD8">
      <w:r w:rsidRPr="001A58FF">
        <w:continuationSeparator/>
      </w:r>
    </w:p>
  </w:footnote>
  <w:footnote w:id="1">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SL C, C/2023/1025, 16.11.2023.</w:t>
      </w:r>
    </w:p>
  </w:footnote>
  <w:footnote w:id="2">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SL C, C/2023/112, 12.10.2023.</w:t>
      </w:r>
    </w:p>
  </w:footnote>
  <w:footnote w:id="3">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SL L 193, 30.7.2018., str. 1.</w:t>
      </w:r>
    </w:p>
  </w:footnote>
  <w:footnote w:id="4">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SL L 90, 30.3.2007., str. 58.</w:t>
      </w:r>
    </w:p>
  </w:footnote>
  <w:footnote w:id="5">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SL L 122, 10.5.2019., str. 1.</w:t>
      </w:r>
    </w:p>
  </w:footnote>
  <w:footnote w:id="6">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SL C, C/2023/1025, 16.11.2023.</w:t>
      </w:r>
    </w:p>
  </w:footnote>
  <w:footnote w:id="7">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SL C, C/2023/112, 12.10.2023.</w:t>
      </w:r>
    </w:p>
  </w:footnote>
  <w:footnote w:id="8">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SL L 193, 30.7.2018., str. 1.</w:t>
      </w:r>
    </w:p>
  </w:footnote>
  <w:footnote w:id="9">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SL L 90, 30.3.2007., str. 58.</w:t>
      </w:r>
    </w:p>
  </w:footnote>
  <w:footnote w:id="10">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SL L 122, 10.5.2019., str. 1.</w:t>
      </w:r>
    </w:p>
  </w:footnote>
  <w:footnote w:id="11">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SL L 90, 30.3.2007., str. 58.</w:t>
      </w:r>
    </w:p>
  </w:footnote>
  <w:footnote w:id="12">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 xml:space="preserve">Članove </w:t>
      </w:r>
      <w:proofErr w:type="spellStart"/>
      <w:r w:rsidRPr="001A58FF">
        <w:rPr>
          <w:sz w:val="24"/>
          <w:lang w:val="hr-HR"/>
        </w:rPr>
        <w:t>Euratoma</w:t>
      </w:r>
      <w:proofErr w:type="spellEnd"/>
      <w:r w:rsidRPr="001A58FF">
        <w:rPr>
          <w:sz w:val="24"/>
          <w:lang w:val="hr-HR"/>
        </w:rPr>
        <w:t xml:space="preserve"> čine države članice EU-a i (do 2020.) pridružene države Švicarska i Ujedinjena Kraljevina.</w:t>
      </w:r>
    </w:p>
  </w:footnote>
  <w:footnote w:id="13">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 xml:space="preserve">Glavna fuzijska postrojenja nalaze se u </w:t>
      </w:r>
      <w:proofErr w:type="spellStart"/>
      <w:r w:rsidRPr="001A58FF">
        <w:rPr>
          <w:sz w:val="24"/>
          <w:lang w:val="hr-HR"/>
        </w:rPr>
        <w:t>Cadaracheu</w:t>
      </w:r>
      <w:proofErr w:type="spellEnd"/>
      <w:r w:rsidRPr="001A58FF">
        <w:rPr>
          <w:sz w:val="24"/>
          <w:lang w:val="hr-HR"/>
        </w:rPr>
        <w:t xml:space="preserve"> u Francuskoj a sjedište Zajedničkog poduzeća u Barceloni.</w:t>
      </w:r>
    </w:p>
  </w:footnote>
  <w:footnote w:id="14">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Dokumenti o projektu ITER „</w:t>
      </w:r>
      <w:proofErr w:type="spellStart"/>
      <w:r w:rsidRPr="001A58FF">
        <w:rPr>
          <w:sz w:val="24"/>
          <w:lang w:val="hr-HR"/>
        </w:rPr>
        <w:t>Value</w:t>
      </w:r>
      <w:proofErr w:type="spellEnd"/>
      <w:r w:rsidRPr="001A58FF">
        <w:rPr>
          <w:sz w:val="24"/>
          <w:lang w:val="hr-HR"/>
        </w:rPr>
        <w:t xml:space="preserve"> </w:t>
      </w:r>
      <w:proofErr w:type="spellStart"/>
      <w:r w:rsidRPr="001A58FF">
        <w:rPr>
          <w:sz w:val="24"/>
          <w:lang w:val="hr-HR"/>
        </w:rPr>
        <w:t>estimates</w:t>
      </w:r>
      <w:proofErr w:type="spellEnd"/>
      <w:r w:rsidRPr="001A58FF">
        <w:rPr>
          <w:sz w:val="24"/>
          <w:lang w:val="hr-HR"/>
        </w:rPr>
        <w:t xml:space="preserve"> for ITER </w:t>
      </w:r>
      <w:proofErr w:type="spellStart"/>
      <w:r w:rsidRPr="001A58FF">
        <w:rPr>
          <w:sz w:val="24"/>
          <w:lang w:val="hr-HR"/>
        </w:rPr>
        <w:t>Phases</w:t>
      </w:r>
      <w:proofErr w:type="spellEnd"/>
      <w:r w:rsidRPr="001A58FF">
        <w:rPr>
          <w:sz w:val="24"/>
          <w:lang w:val="hr-HR"/>
        </w:rPr>
        <w:t xml:space="preserve"> </w:t>
      </w:r>
      <w:proofErr w:type="spellStart"/>
      <w:r w:rsidRPr="001A58FF">
        <w:rPr>
          <w:sz w:val="24"/>
          <w:lang w:val="hr-HR"/>
        </w:rPr>
        <w:t>of</w:t>
      </w:r>
      <w:proofErr w:type="spellEnd"/>
      <w:r w:rsidRPr="001A58FF">
        <w:rPr>
          <w:sz w:val="24"/>
          <w:lang w:val="hr-HR"/>
        </w:rPr>
        <w:t xml:space="preserve"> </w:t>
      </w:r>
      <w:proofErr w:type="spellStart"/>
      <w:r w:rsidRPr="001A58FF">
        <w:rPr>
          <w:sz w:val="24"/>
          <w:lang w:val="hr-HR"/>
        </w:rPr>
        <w:t>Construction</w:t>
      </w:r>
      <w:proofErr w:type="spellEnd"/>
      <w:r w:rsidRPr="001A58FF">
        <w:rPr>
          <w:sz w:val="24"/>
          <w:lang w:val="hr-HR"/>
        </w:rPr>
        <w:t xml:space="preserve">, </w:t>
      </w:r>
      <w:proofErr w:type="spellStart"/>
      <w:r w:rsidRPr="001A58FF">
        <w:rPr>
          <w:sz w:val="24"/>
          <w:lang w:val="hr-HR"/>
        </w:rPr>
        <w:t>Operation</w:t>
      </w:r>
      <w:proofErr w:type="spellEnd"/>
      <w:r w:rsidRPr="001A58FF">
        <w:rPr>
          <w:sz w:val="24"/>
          <w:lang w:val="hr-HR"/>
        </w:rPr>
        <w:t xml:space="preserve">, </w:t>
      </w:r>
      <w:proofErr w:type="spellStart"/>
      <w:r w:rsidRPr="001A58FF">
        <w:rPr>
          <w:sz w:val="24"/>
          <w:lang w:val="hr-HR"/>
        </w:rPr>
        <w:t>Deactivation</w:t>
      </w:r>
      <w:proofErr w:type="spellEnd"/>
      <w:r w:rsidRPr="001A58FF">
        <w:rPr>
          <w:sz w:val="24"/>
          <w:lang w:val="hr-HR"/>
        </w:rPr>
        <w:t xml:space="preserve"> </w:t>
      </w:r>
      <w:proofErr w:type="spellStart"/>
      <w:r w:rsidRPr="001A58FF">
        <w:rPr>
          <w:sz w:val="24"/>
          <w:lang w:val="hr-HR"/>
        </w:rPr>
        <w:t>and</w:t>
      </w:r>
      <w:proofErr w:type="spellEnd"/>
      <w:r w:rsidRPr="001A58FF">
        <w:rPr>
          <w:sz w:val="24"/>
          <w:lang w:val="hr-HR"/>
        </w:rPr>
        <w:t xml:space="preserve"> </w:t>
      </w:r>
      <w:proofErr w:type="spellStart"/>
      <w:r w:rsidRPr="001A58FF">
        <w:rPr>
          <w:sz w:val="24"/>
          <w:lang w:val="hr-HR"/>
        </w:rPr>
        <w:t>Decommissioning</w:t>
      </w:r>
      <w:proofErr w:type="spellEnd"/>
      <w:r w:rsidRPr="001A58FF">
        <w:rPr>
          <w:sz w:val="24"/>
          <w:lang w:val="hr-HR"/>
        </w:rPr>
        <w:t xml:space="preserve"> </w:t>
      </w:r>
      <w:proofErr w:type="spellStart"/>
      <w:r w:rsidRPr="001A58FF">
        <w:rPr>
          <w:sz w:val="24"/>
          <w:lang w:val="hr-HR"/>
        </w:rPr>
        <w:t>and</w:t>
      </w:r>
      <w:proofErr w:type="spellEnd"/>
      <w:r w:rsidRPr="001A58FF">
        <w:rPr>
          <w:sz w:val="24"/>
          <w:lang w:val="hr-HR"/>
        </w:rPr>
        <w:t xml:space="preserve"> </w:t>
      </w:r>
      <w:proofErr w:type="spellStart"/>
      <w:r w:rsidRPr="001A58FF">
        <w:rPr>
          <w:sz w:val="24"/>
          <w:lang w:val="hr-HR"/>
        </w:rPr>
        <w:t>Form</w:t>
      </w:r>
      <w:proofErr w:type="spellEnd"/>
      <w:r w:rsidRPr="001A58FF">
        <w:rPr>
          <w:sz w:val="24"/>
          <w:lang w:val="hr-HR"/>
        </w:rPr>
        <w:t xml:space="preserve"> </w:t>
      </w:r>
      <w:proofErr w:type="spellStart"/>
      <w:r w:rsidRPr="001A58FF">
        <w:rPr>
          <w:sz w:val="24"/>
          <w:lang w:val="hr-HR"/>
        </w:rPr>
        <w:t>of</w:t>
      </w:r>
      <w:proofErr w:type="spellEnd"/>
      <w:r w:rsidRPr="001A58FF">
        <w:rPr>
          <w:sz w:val="24"/>
          <w:lang w:val="hr-HR"/>
        </w:rPr>
        <w:t xml:space="preserve"> Party </w:t>
      </w:r>
      <w:proofErr w:type="spellStart"/>
      <w:r w:rsidRPr="001A58FF">
        <w:rPr>
          <w:sz w:val="24"/>
          <w:lang w:val="hr-HR"/>
        </w:rPr>
        <w:t>Contributions</w:t>
      </w:r>
      <w:proofErr w:type="spellEnd"/>
      <w:r w:rsidRPr="001A58FF">
        <w:rPr>
          <w:sz w:val="24"/>
          <w:lang w:val="hr-HR"/>
        </w:rPr>
        <w:t>” (Procjene vrijednosti fazi izgradnje, rada, deaktivacije i razgradnje projekta ITER te oblici doprinosa stranaka) i „</w:t>
      </w:r>
      <w:proofErr w:type="spellStart"/>
      <w:r w:rsidRPr="001A58FF">
        <w:rPr>
          <w:sz w:val="24"/>
          <w:lang w:val="hr-HR"/>
        </w:rPr>
        <w:t>Cost</w:t>
      </w:r>
      <w:proofErr w:type="spellEnd"/>
      <w:r w:rsidRPr="001A58FF">
        <w:rPr>
          <w:sz w:val="24"/>
          <w:lang w:val="hr-HR"/>
        </w:rPr>
        <w:t xml:space="preserve"> </w:t>
      </w:r>
      <w:proofErr w:type="spellStart"/>
      <w:r w:rsidRPr="001A58FF">
        <w:rPr>
          <w:sz w:val="24"/>
          <w:lang w:val="hr-HR"/>
        </w:rPr>
        <w:t>Sharing</w:t>
      </w:r>
      <w:proofErr w:type="spellEnd"/>
      <w:r w:rsidRPr="001A58FF">
        <w:rPr>
          <w:sz w:val="24"/>
          <w:lang w:val="hr-HR"/>
        </w:rPr>
        <w:t xml:space="preserve"> for </w:t>
      </w:r>
      <w:proofErr w:type="spellStart"/>
      <w:r w:rsidRPr="001A58FF">
        <w:rPr>
          <w:sz w:val="24"/>
          <w:lang w:val="hr-HR"/>
        </w:rPr>
        <w:t>all</w:t>
      </w:r>
      <w:proofErr w:type="spellEnd"/>
      <w:r w:rsidRPr="001A58FF">
        <w:rPr>
          <w:sz w:val="24"/>
          <w:lang w:val="hr-HR"/>
        </w:rPr>
        <w:t xml:space="preserve"> </w:t>
      </w:r>
      <w:proofErr w:type="spellStart"/>
      <w:r w:rsidRPr="001A58FF">
        <w:rPr>
          <w:sz w:val="24"/>
          <w:lang w:val="hr-HR"/>
        </w:rPr>
        <w:t>Phases</w:t>
      </w:r>
      <w:proofErr w:type="spellEnd"/>
      <w:r w:rsidRPr="001A58FF">
        <w:rPr>
          <w:sz w:val="24"/>
          <w:lang w:val="hr-HR"/>
        </w:rPr>
        <w:t xml:space="preserve"> </w:t>
      </w:r>
      <w:proofErr w:type="spellStart"/>
      <w:r w:rsidRPr="001A58FF">
        <w:rPr>
          <w:sz w:val="24"/>
          <w:lang w:val="hr-HR"/>
        </w:rPr>
        <w:t>of</w:t>
      </w:r>
      <w:proofErr w:type="spellEnd"/>
      <w:r w:rsidRPr="001A58FF">
        <w:rPr>
          <w:sz w:val="24"/>
          <w:lang w:val="hr-HR"/>
        </w:rPr>
        <w:t xml:space="preserve"> </w:t>
      </w:r>
      <w:proofErr w:type="spellStart"/>
      <w:r w:rsidRPr="001A58FF">
        <w:rPr>
          <w:sz w:val="24"/>
          <w:lang w:val="hr-HR"/>
        </w:rPr>
        <w:t>the</w:t>
      </w:r>
      <w:proofErr w:type="spellEnd"/>
      <w:r w:rsidRPr="001A58FF">
        <w:rPr>
          <w:sz w:val="24"/>
          <w:lang w:val="hr-HR"/>
        </w:rPr>
        <w:t xml:space="preserve"> ITER Project” (Raspodjela troškova svih faza projekta ITER). </w:t>
      </w:r>
    </w:p>
  </w:footnote>
  <w:footnote w:id="15">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Procjene se temelje na Kom</w:t>
      </w:r>
      <w:r w:rsidR="004C1692">
        <w:rPr>
          <w:sz w:val="24"/>
          <w:lang w:val="hr-HR"/>
        </w:rPr>
        <w:t>isijinoj komunikaciji COM(2017)0</w:t>
      </w:r>
      <w:r w:rsidRPr="001A58FF">
        <w:rPr>
          <w:sz w:val="24"/>
          <w:lang w:val="hr-HR"/>
        </w:rPr>
        <w:t>319 i povezanom radnom doku</w:t>
      </w:r>
      <w:r w:rsidR="004C1692">
        <w:rPr>
          <w:sz w:val="24"/>
          <w:lang w:val="hr-HR"/>
        </w:rPr>
        <w:t>mentu službi Komisije SWD(2017)0</w:t>
      </w:r>
      <w:bookmarkStart w:id="10" w:name="_GoBack"/>
      <w:bookmarkEnd w:id="10"/>
      <w:r w:rsidRPr="001A58FF">
        <w:rPr>
          <w:sz w:val="24"/>
          <w:lang w:val="hr-HR"/>
        </w:rPr>
        <w:t>232, tablica 4.</w:t>
      </w:r>
    </w:p>
  </w:footnote>
  <w:footnote w:id="16">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 xml:space="preserve">Ujedinjena Kraljevina povukla se iz Unije i </w:t>
      </w:r>
      <w:proofErr w:type="spellStart"/>
      <w:r w:rsidRPr="001A58FF">
        <w:rPr>
          <w:sz w:val="24"/>
          <w:lang w:val="hr-HR"/>
        </w:rPr>
        <w:t>Euratoma</w:t>
      </w:r>
      <w:proofErr w:type="spellEnd"/>
      <w:r w:rsidRPr="001A58FF">
        <w:rPr>
          <w:sz w:val="24"/>
          <w:lang w:val="hr-HR"/>
        </w:rPr>
        <w:t xml:space="preserve"> 31. siječnja 2020. Sporazum o trgovini i suradnji između Unije (Euratom) i Ujedinjene Kraljevine dogovoren je 30. prosinca 2020. Tim se sporazumom utvrđuje da će Ujedinjena Kraljevina sudjelovati u programima Unije navedenima u Protokolu I. i doprinositi njihovoj provedbi, uključujući program </w:t>
      </w:r>
      <w:proofErr w:type="spellStart"/>
      <w:r w:rsidRPr="001A58FF">
        <w:rPr>
          <w:sz w:val="24"/>
          <w:lang w:val="hr-HR"/>
        </w:rPr>
        <w:t>Euratoma</w:t>
      </w:r>
      <w:proofErr w:type="spellEnd"/>
      <w:r w:rsidRPr="001A58FF">
        <w:rPr>
          <w:sz w:val="24"/>
          <w:lang w:val="hr-HR"/>
        </w:rPr>
        <w:t xml:space="preserve"> za istraživanje i osposobljavanje te aktivnosti Zajedničkog poduzeća u vezi s projektom ITER. Međutim, dok god stranke ne postignu dogovor u vezi s Protokolom, Ujedinjena Kraljevina ne sudjeluje u aktivnostima Zajedničkog poduzeća u vezi s projektom ITER niti surađuje s članicama Zajedničkog poduzeća. Kad je riječ o Švicarskoj, sporazum nije bio produžen automatski te stoga od 2020. više nije na snazi.</w:t>
      </w:r>
    </w:p>
  </w:footnote>
  <w:footnote w:id="17">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hyperlink r:id="rId1" w:history="1">
        <w:r w:rsidRPr="001A58FF">
          <w:rPr>
            <w:rStyle w:val="Hyperlink"/>
            <w:sz w:val="24"/>
            <w:lang w:val="hr-HR"/>
          </w:rPr>
          <w:t>https://www.iter.org/doc/www/content/com/Lists/list_items/Attachments/1061/2022_11_IC-31.pdf</w:t>
        </w:r>
      </w:hyperlink>
      <w:r w:rsidRPr="001A58FF">
        <w:rPr>
          <w:sz w:val="24"/>
          <w:lang w:val="hr-HR"/>
        </w:rPr>
        <w:t xml:space="preserve"> </w:t>
      </w:r>
    </w:p>
  </w:footnote>
  <w:footnote w:id="18">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hyperlink r:id="rId2" w:history="1">
        <w:r w:rsidRPr="001A58FF">
          <w:rPr>
            <w:rStyle w:val="Hyperlink"/>
            <w:sz w:val="24"/>
            <w:lang w:val="hr-HR"/>
          </w:rPr>
          <w:t>https://www.iter.org/doc/www/content/com/Lists/list_items/Attachments/1115/2023_06_IC-32.pdf</w:t>
        </w:r>
      </w:hyperlink>
      <w:r w:rsidRPr="001A58FF">
        <w:rPr>
          <w:sz w:val="24"/>
          <w:lang w:val="hr-HR"/>
        </w:rPr>
        <w:t xml:space="preserve"> </w:t>
      </w:r>
    </w:p>
  </w:footnote>
  <w:footnote w:id="19">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Francusko tijelo za nuklearnu sigurnost [ASN] ima krajnju nadležnost i komunicira samo s Međunarodnom organizacijom za energiju fuzije ITER (ITER-IO), a sve buduće potrebne promjene mogle bi imati velik učinak na troškove. U siječnju 2022. ASN je u potpunosti zaustavio sastavljanje ITER-a sve dok ITER ne dokaže da može zaštititi osoblje.</w:t>
      </w:r>
    </w:p>
  </w:footnote>
  <w:footnote w:id="20">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Komisija, Uspješnost ITER-a, 2023.</w:t>
      </w:r>
    </w:p>
  </w:footnote>
  <w:footnote w:id="21">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hyperlink r:id="rId3" w:history="1">
        <w:r w:rsidRPr="001A58FF">
          <w:rPr>
            <w:rStyle w:val="Hyperlink"/>
            <w:sz w:val="24"/>
            <w:lang w:val="hr-HR"/>
          </w:rPr>
          <w:t>https://u4unity.eu/link/Topic_91_F4E.pdf</w:t>
        </w:r>
      </w:hyperlink>
      <w:r w:rsidRPr="001A58FF">
        <w:rPr>
          <w:sz w:val="24"/>
          <w:lang w:val="hr-HR"/>
        </w:rPr>
        <w:t xml:space="preserve"> </w:t>
      </w:r>
    </w:p>
  </w:footnote>
  <w:footnote w:id="22">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 xml:space="preserve">Glavni su razlozi nedostaci na razini višeg rukovodstva, npr. netransparentno i </w:t>
      </w:r>
      <w:proofErr w:type="spellStart"/>
      <w:r w:rsidRPr="001A58FF">
        <w:rPr>
          <w:sz w:val="24"/>
          <w:lang w:val="hr-HR"/>
        </w:rPr>
        <w:t>disfunkcionalno</w:t>
      </w:r>
      <w:proofErr w:type="spellEnd"/>
      <w:r w:rsidRPr="001A58FF">
        <w:rPr>
          <w:sz w:val="24"/>
          <w:lang w:val="hr-HR"/>
        </w:rPr>
        <w:t xml:space="preserve"> donošenje odluka i nedostatak socijalnog dijaloga.</w:t>
      </w:r>
    </w:p>
  </w:footnote>
  <w:footnote w:id="23">
    <w:p w:rsidR="00A91F12" w:rsidRPr="001A58FF" w:rsidRDefault="00A91F12" w:rsidP="001A58FF">
      <w:pPr>
        <w:pStyle w:val="FootnoteText"/>
        <w:ind w:left="567" w:hanging="567"/>
        <w:rPr>
          <w:sz w:val="24"/>
          <w:lang w:val="hr-HR"/>
        </w:rPr>
      </w:pPr>
      <w:r w:rsidRPr="001A58FF">
        <w:rPr>
          <w:rStyle w:val="FootnoteReference"/>
          <w:sz w:val="24"/>
          <w:lang w:val="hr-HR"/>
        </w:rPr>
        <w:footnoteRef/>
      </w:r>
      <w:r w:rsidR="001A58FF" w:rsidRPr="001A58FF">
        <w:rPr>
          <w:sz w:val="24"/>
          <w:lang w:val="hr-HR"/>
        </w:rPr>
        <w:t xml:space="preserve"> </w:t>
      </w:r>
      <w:r w:rsidR="001A58FF" w:rsidRPr="001A58FF">
        <w:rPr>
          <w:sz w:val="24"/>
          <w:lang w:val="hr-HR"/>
        </w:rPr>
        <w:tab/>
      </w:r>
      <w:r w:rsidRPr="001A58FF">
        <w:rPr>
          <w:sz w:val="24"/>
          <w:lang w:val="hr-HR"/>
        </w:rPr>
        <w:t>56. sastanak Upravnog odbora 7. i 8. srpnja 2022. u Barceloni.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58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58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58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HR"/>
    <w:docVar w:name="dvnumam" w:val="0"/>
    <w:docVar w:name="dvpe" w:val="753.493"/>
    <w:docVar w:name="dvrapporteur" w:val="Izvjestitelj: "/>
    <w:docVar w:name="dvtitre" w:val="Odluka Europskog parlamenta od .... 2024. o razrješnici za izvršenje proračuna Zajedničkog poduzeća za ITER i razvoj energije fuzije (Fuzija za energiju) za financijsku godinu 2022.(2023/2178(DEC))"/>
  </w:docVars>
  <w:rsids>
    <w:rsidRoot w:val="00A60FD8"/>
    <w:rsid w:val="00002272"/>
    <w:rsid w:val="00064002"/>
    <w:rsid w:val="000677B9"/>
    <w:rsid w:val="000831BA"/>
    <w:rsid w:val="000A42CC"/>
    <w:rsid w:val="000E7DD9"/>
    <w:rsid w:val="0010095E"/>
    <w:rsid w:val="00125B37"/>
    <w:rsid w:val="00187494"/>
    <w:rsid w:val="001A58FF"/>
    <w:rsid w:val="001F32AE"/>
    <w:rsid w:val="002767FF"/>
    <w:rsid w:val="002B18FE"/>
    <w:rsid w:val="002B5493"/>
    <w:rsid w:val="00343214"/>
    <w:rsid w:val="00361C00"/>
    <w:rsid w:val="00395FA1"/>
    <w:rsid w:val="003E15D4"/>
    <w:rsid w:val="00411CCE"/>
    <w:rsid w:val="0041666E"/>
    <w:rsid w:val="00421060"/>
    <w:rsid w:val="004511E5"/>
    <w:rsid w:val="00471C19"/>
    <w:rsid w:val="004867E3"/>
    <w:rsid w:val="00494A28"/>
    <w:rsid w:val="004C0004"/>
    <w:rsid w:val="004C1692"/>
    <w:rsid w:val="004C5D52"/>
    <w:rsid w:val="0050519A"/>
    <w:rsid w:val="005072A1"/>
    <w:rsid w:val="00514517"/>
    <w:rsid w:val="00545827"/>
    <w:rsid w:val="00560270"/>
    <w:rsid w:val="005C2568"/>
    <w:rsid w:val="005F16C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0FD8"/>
    <w:rsid w:val="00A778C7"/>
    <w:rsid w:val="00A91F1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036"/>
    <w:rsid w:val="00EB4772"/>
    <w:rsid w:val="00ED169E"/>
    <w:rsid w:val="00ED4235"/>
    <w:rsid w:val="00F04346"/>
    <w:rsid w:val="00F075DC"/>
    <w:rsid w:val="00F149E9"/>
    <w:rsid w:val="00F5134D"/>
    <w:rsid w:val="00F74202"/>
    <w:rsid w:val="00F87713"/>
    <w:rsid w:val="00FA1F0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3D823"/>
  <w15:chartTrackingRefBased/>
  <w15:docId w15:val="{D4726809-8C83-4933-BB40-9EED9F63D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91F1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91F12"/>
    <w:pPr>
      <w:spacing w:before="480" w:after="240"/>
    </w:pPr>
  </w:style>
  <w:style w:type="paragraph" w:customStyle="1" w:styleId="PageHeading">
    <w:name w:val="PageHeading"/>
    <w:basedOn w:val="Normal"/>
    <w:rsid w:val="00A91F12"/>
    <w:pPr>
      <w:keepNext/>
      <w:spacing w:after="480"/>
      <w:jc w:val="center"/>
    </w:pPr>
    <w:rPr>
      <w:rFonts w:ascii="Arial" w:hAnsi="Arial" w:cs="Arial"/>
      <w:b/>
    </w:rPr>
  </w:style>
  <w:style w:type="paragraph" w:customStyle="1" w:styleId="NormalBold">
    <w:name w:val="NormalBold"/>
    <w:basedOn w:val="Normal"/>
    <w:rsid w:val="00A91F12"/>
    <w:rPr>
      <w:b/>
    </w:rPr>
  </w:style>
  <w:style w:type="paragraph" w:customStyle="1" w:styleId="NormalHanging12a">
    <w:name w:val="NormalHanging12a"/>
    <w:basedOn w:val="Normal"/>
    <w:link w:val="NormalHanging12aChar"/>
    <w:rsid w:val="00A91F12"/>
    <w:pPr>
      <w:spacing w:after="240"/>
      <w:ind w:left="567" w:hanging="567"/>
    </w:pPr>
  </w:style>
  <w:style w:type="paragraph" w:styleId="Header">
    <w:name w:val="header"/>
    <w:basedOn w:val="Normal"/>
    <w:link w:val="HeaderChar"/>
    <w:rsid w:val="00A91F12"/>
    <w:pPr>
      <w:tabs>
        <w:tab w:val="center" w:pos="4513"/>
        <w:tab w:val="right" w:pos="9026"/>
      </w:tabs>
    </w:pPr>
  </w:style>
  <w:style w:type="character" w:customStyle="1" w:styleId="HeaderChar">
    <w:name w:val="Header Char"/>
    <w:basedOn w:val="DefaultParagraphFont"/>
    <w:link w:val="Header"/>
    <w:rsid w:val="00A91F12"/>
    <w:rPr>
      <w:sz w:val="24"/>
      <w:lang w:val="hr-HR"/>
    </w:rPr>
  </w:style>
  <w:style w:type="paragraph" w:customStyle="1" w:styleId="EPFooter">
    <w:name w:val="EPFooter"/>
    <w:basedOn w:val="Normal"/>
    <w:rsid w:val="00A91F12"/>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A91F12"/>
    <w:rPr>
      <w:color w:val="0563C1" w:themeColor="hyperlink"/>
      <w:u w:val="single"/>
    </w:rPr>
  </w:style>
  <w:style w:type="character" w:customStyle="1" w:styleId="NormalHanging12aChar">
    <w:name w:val="NormalHanging12a Char"/>
    <w:basedOn w:val="DefaultParagraphFont"/>
    <w:link w:val="NormalHanging12a"/>
    <w:rsid w:val="00A91F12"/>
    <w:rPr>
      <w:sz w:val="24"/>
      <w:lang w:val="hr-HR"/>
    </w:rPr>
  </w:style>
  <w:style w:type="paragraph" w:styleId="Footer">
    <w:name w:val="footer"/>
    <w:basedOn w:val="Normal"/>
    <w:link w:val="FooterChar"/>
    <w:rsid w:val="004511E5"/>
    <w:pPr>
      <w:tabs>
        <w:tab w:val="center" w:pos="4513"/>
        <w:tab w:val="right" w:pos="9026"/>
      </w:tabs>
    </w:pPr>
  </w:style>
  <w:style w:type="character" w:customStyle="1" w:styleId="FooterChar">
    <w:name w:val="Footer Char"/>
    <w:basedOn w:val="DefaultParagraphFont"/>
    <w:link w:val="Footer"/>
    <w:rsid w:val="004511E5"/>
    <w:rPr>
      <w:sz w:val="24"/>
      <w:lang w:val="hr-HR"/>
    </w:rPr>
  </w:style>
  <w:style w:type="paragraph" w:styleId="BalloonText">
    <w:name w:val="Balloon Text"/>
    <w:basedOn w:val="Normal"/>
    <w:link w:val="BalloonTextChar"/>
    <w:rsid w:val="00FA1F08"/>
    <w:rPr>
      <w:rFonts w:ascii="Segoe UI" w:hAnsi="Segoe UI" w:cs="Segoe UI"/>
      <w:sz w:val="18"/>
      <w:szCs w:val="18"/>
    </w:rPr>
  </w:style>
  <w:style w:type="character" w:customStyle="1" w:styleId="BalloonTextChar">
    <w:name w:val="Balloon Text Char"/>
    <w:basedOn w:val="DefaultParagraphFont"/>
    <w:link w:val="BalloonText"/>
    <w:rsid w:val="00FA1F08"/>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7CBD7-FBFA-45F9-BC2D-A71FFB517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3524</Words>
  <Characters>21095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2024-05-23T10:38:00Z</dcterms:created>
  <dcterms:modified xsi:type="dcterms:W3CDTF">2024-05-23T10:38:00Z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P9_TA(2024)0270_</vt:lpwstr>
  </property>
  <property fmtid="{D5CDD505-2E9C-101B-9397-08002B2CF9AE}" pid="4" name="&lt;Type&gt;">
    <vt:lpwstr>RR</vt:lpwstr>
  </property>
</Properties>
</file>