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3DD4" w:rsidTr="0010095E">
        <w:trPr>
          <w:trHeight w:hRule="exact" w:val="1418"/>
        </w:trPr>
        <w:tc>
          <w:tcPr>
            <w:tcW w:w="6804" w:type="dxa"/>
            <w:shd w:val="clear" w:color="auto" w:fill="auto"/>
            <w:vAlign w:val="center"/>
          </w:tcPr>
          <w:p w:rsidR="00751A4A" w:rsidRPr="00773DD4" w:rsidRDefault="00291636" w:rsidP="0010095E">
            <w:pPr>
              <w:pStyle w:val="EPName"/>
            </w:pPr>
            <w:r w:rsidRPr="00773DD4">
              <w:t>Europos Parlamentas</w:t>
            </w:r>
          </w:p>
          <w:p w:rsidR="00751A4A" w:rsidRPr="00773DD4" w:rsidRDefault="00817416" w:rsidP="00756632">
            <w:pPr>
              <w:pStyle w:val="EPTerm"/>
              <w:rPr>
                <w:rStyle w:val="HideTWBExt"/>
                <w:noProof w:val="0"/>
                <w:vanish w:val="0"/>
                <w:color w:val="auto"/>
              </w:rPr>
            </w:pPr>
            <w:r w:rsidRPr="00773DD4">
              <w:t>2019-2024</w:t>
            </w:r>
          </w:p>
        </w:tc>
        <w:tc>
          <w:tcPr>
            <w:tcW w:w="2268" w:type="dxa"/>
            <w:shd w:val="clear" w:color="auto" w:fill="auto"/>
          </w:tcPr>
          <w:p w:rsidR="00751A4A" w:rsidRPr="00773DD4" w:rsidRDefault="00187494" w:rsidP="0010095E">
            <w:pPr>
              <w:pStyle w:val="EPLogo"/>
            </w:pPr>
            <w:r w:rsidRPr="00773DD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3DD4" w:rsidRDefault="00D058B8" w:rsidP="004C5D52">
      <w:pPr>
        <w:pStyle w:val="LineTop"/>
      </w:pPr>
    </w:p>
    <w:p w:rsidR="00680577" w:rsidRPr="00773DD4" w:rsidRDefault="00291636" w:rsidP="00680577">
      <w:pPr>
        <w:pStyle w:val="EPBodyTA1"/>
      </w:pPr>
      <w:r w:rsidRPr="00773DD4">
        <w:t>PRIIMTI TEKSTAI</w:t>
      </w:r>
    </w:p>
    <w:p w:rsidR="00D058B8" w:rsidRPr="00773DD4" w:rsidRDefault="00D058B8" w:rsidP="00D058B8">
      <w:pPr>
        <w:pStyle w:val="LineBottom"/>
      </w:pPr>
    </w:p>
    <w:p w:rsidR="00291636" w:rsidRPr="00773DD4" w:rsidRDefault="00291636" w:rsidP="00291636">
      <w:pPr>
        <w:pStyle w:val="ATHeading1"/>
      </w:pPr>
      <w:bookmarkStart w:id="0" w:name="TANumber"/>
      <w:r w:rsidRPr="00773DD4">
        <w:t>P9_TA(2024)0</w:t>
      </w:r>
      <w:r w:rsidR="00964ECF">
        <w:t>27</w:t>
      </w:r>
      <w:r w:rsidRPr="00773DD4">
        <w:t>0</w:t>
      </w:r>
      <w:bookmarkEnd w:id="0"/>
    </w:p>
    <w:p w:rsidR="00291636" w:rsidRPr="00773DD4" w:rsidRDefault="00291636" w:rsidP="00291636">
      <w:pPr>
        <w:pStyle w:val="ATHeading2"/>
      </w:pPr>
      <w:bookmarkStart w:id="1" w:name="title"/>
      <w:r w:rsidRPr="00773DD4">
        <w:t xml:space="preserve">2022 m. biudžeto įvykdymo patvirtinimas: </w:t>
      </w:r>
      <w:r w:rsidR="009B07D1" w:rsidRPr="009B07D1">
        <w:t>Europos ITER įgyvendinimo ir branduolių sintezės energetikos vystymo (branduolių sintezė energijai) bendroji įmonė</w:t>
      </w:r>
      <w:bookmarkEnd w:id="1"/>
    </w:p>
    <w:p w:rsidR="00291636" w:rsidRPr="00773DD4" w:rsidRDefault="00291636" w:rsidP="00291636">
      <w:pPr>
        <w:rPr>
          <w:i/>
          <w:vanish/>
        </w:rPr>
      </w:pPr>
      <w:r w:rsidRPr="00773DD4">
        <w:rPr>
          <w:i/>
        </w:rPr>
        <w:fldChar w:fldCharType="begin"/>
      </w:r>
      <w:r w:rsidRPr="00773DD4">
        <w:rPr>
          <w:i/>
        </w:rPr>
        <w:instrText xml:space="preserve"> TC"(</w:instrText>
      </w:r>
      <w:bookmarkStart w:id="2" w:name="DocNumber"/>
      <w:r w:rsidRPr="00773DD4">
        <w:rPr>
          <w:i/>
        </w:rPr>
        <w:instrText>A9-0090/2024</w:instrText>
      </w:r>
      <w:bookmarkEnd w:id="2"/>
      <w:r w:rsidRPr="00773DD4">
        <w:rPr>
          <w:i/>
        </w:rPr>
        <w:instrText xml:space="preserve"> - Pranešėjas: Michal </w:instrText>
      </w:r>
      <w:proofErr w:type="spellStart"/>
      <w:r w:rsidRPr="00773DD4">
        <w:rPr>
          <w:i/>
        </w:rPr>
        <w:instrText>Wiezik</w:instrText>
      </w:r>
      <w:proofErr w:type="spellEnd"/>
      <w:r w:rsidRPr="00773DD4">
        <w:rPr>
          <w:i/>
        </w:rPr>
        <w:instrText xml:space="preserve">)"\l3 \n&gt; \* MERGEFORMAT </w:instrText>
      </w:r>
      <w:r w:rsidRPr="00773DD4">
        <w:rPr>
          <w:i/>
        </w:rPr>
        <w:fldChar w:fldCharType="end"/>
      </w:r>
    </w:p>
    <w:p w:rsidR="00291636" w:rsidRPr="00773DD4" w:rsidRDefault="00291636" w:rsidP="00291636">
      <w:pPr>
        <w:rPr>
          <w:vanish/>
        </w:rPr>
      </w:pPr>
      <w:bookmarkStart w:id="3" w:name="Commission"/>
      <w:r w:rsidRPr="00773DD4">
        <w:rPr>
          <w:vanish/>
        </w:rPr>
        <w:t>Biudžeto kontrolės komitetas</w:t>
      </w:r>
      <w:bookmarkEnd w:id="3"/>
    </w:p>
    <w:p w:rsidR="00291636" w:rsidRPr="00773DD4" w:rsidRDefault="00291636" w:rsidP="00291636">
      <w:pPr>
        <w:rPr>
          <w:vanish/>
        </w:rPr>
      </w:pPr>
      <w:bookmarkStart w:id="4" w:name="PE"/>
      <w:r w:rsidRPr="00773DD4">
        <w:rPr>
          <w:vanish/>
        </w:rPr>
        <w:t>PE753.493</w:t>
      </w:r>
      <w:bookmarkEnd w:id="4"/>
    </w:p>
    <w:p w:rsidR="00291636" w:rsidRPr="00773DD4" w:rsidRDefault="004D37D8" w:rsidP="004D37D8">
      <w:pPr>
        <w:pStyle w:val="ATHeading3"/>
      </w:pPr>
      <w:bookmarkStart w:id="5" w:name="Sujet"/>
      <w:r>
        <w:t xml:space="preserve">1. 2024 m. balandžio 11 d. </w:t>
      </w:r>
      <w:r w:rsidR="00291636" w:rsidRPr="00773DD4">
        <w:t xml:space="preserve">Europos Parlamento sprendimas dėl </w:t>
      </w:r>
      <w:r w:rsidR="009B07D1" w:rsidRPr="009B07D1">
        <w:t>Europos ITER įgyvendinimo ir branduolių sintezės energetikos vystymo (branduolių sintezė energijai) bendro</w:t>
      </w:r>
      <w:r w:rsidR="009B07D1">
        <w:t>sios</w:t>
      </w:r>
      <w:r w:rsidR="009B07D1" w:rsidRPr="009B07D1">
        <w:t xml:space="preserve"> įmonė</w:t>
      </w:r>
      <w:r w:rsidR="009B07D1">
        <w:t>s</w:t>
      </w:r>
      <w:r w:rsidR="00291636" w:rsidRPr="00773DD4">
        <w:t xml:space="preserve"> 2022 finansinių metų biudžeto įvykdymo patvirtinimo</w:t>
      </w:r>
      <w:bookmarkEnd w:id="5"/>
      <w:r w:rsidR="00291636" w:rsidRPr="00773DD4">
        <w:t xml:space="preserve"> </w:t>
      </w:r>
      <w:bookmarkStart w:id="6" w:name="References"/>
      <w:r w:rsidR="00291636" w:rsidRPr="00773DD4">
        <w:t>(2023/2178(DEC))</w:t>
      </w:r>
      <w:bookmarkEnd w:id="6"/>
    </w:p>
    <w:p w:rsidR="00D83B78" w:rsidRPr="00773DD4" w:rsidRDefault="00D83B78" w:rsidP="00D83B78">
      <w:pPr>
        <w:pStyle w:val="EPComma"/>
      </w:pPr>
      <w:bookmarkStart w:id="7" w:name="TextBodyBegin"/>
      <w:bookmarkEnd w:id="7"/>
      <w:r w:rsidRPr="00773DD4">
        <w:rPr>
          <w:i/>
        </w:rPr>
        <w:t>Europos Parlamentas,</w:t>
      </w:r>
    </w:p>
    <w:p w:rsidR="00D83B78" w:rsidRPr="00773DD4" w:rsidRDefault="00D83B78" w:rsidP="00D83B78">
      <w:pPr>
        <w:pStyle w:val="NormalHanging12a"/>
      </w:pPr>
      <w:r w:rsidRPr="00773DD4">
        <w:t>–</w:t>
      </w:r>
      <w:r w:rsidRPr="00773DD4">
        <w:tab/>
        <w:t>atsižvelgdamas į Europos ITER įgyvendinimo ir branduolių sintezės energetikos vystymo bendrosios įmonės (Branduolių sintezės energetikos vystymo bendrosios įmonės, F4E) 2022 finansinių metų galutines metines ataskaitas,</w:t>
      </w:r>
    </w:p>
    <w:p w:rsidR="00D83B78" w:rsidRPr="00773DD4" w:rsidRDefault="00D83B78" w:rsidP="00D83B78">
      <w:pPr>
        <w:pStyle w:val="NormalHanging12a"/>
      </w:pPr>
      <w:r w:rsidRPr="00773DD4">
        <w:t>–</w:t>
      </w:r>
      <w:r w:rsidRPr="00773DD4">
        <w:tab/>
        <w:t>atsižvelgdamas į Audito Rūmų 2022 finansinių metų metinę ataskaitą dėl ES bendrųjų įmonių kartu su bendrųjų įmonių atsakymais</w:t>
      </w:r>
      <w:r w:rsidRPr="00773DD4">
        <w:rPr>
          <w:rStyle w:val="FootnoteReference"/>
        </w:rPr>
        <w:footnoteReference w:id="1"/>
      </w:r>
      <w:r w:rsidRPr="00773DD4">
        <w:t>,</w:t>
      </w:r>
    </w:p>
    <w:p w:rsidR="00D83B78" w:rsidRPr="00773DD4" w:rsidRDefault="00D83B78" w:rsidP="00D83B78">
      <w:pPr>
        <w:pStyle w:val="NormalHanging12a"/>
      </w:pPr>
      <w:r w:rsidRPr="00773DD4">
        <w:t>–</w:t>
      </w:r>
      <w:r w:rsidRPr="00773DD4">
        <w:tab/>
        <w:t>atsižvelgdamas į Audito Rūmų pagal Sutarties dėl Europos Sąjungos veikimo 287 straipsnį pateiktą sąskaitų patikimumo ir pagal jas atliktų operacijų teisėtumo ir tvarkingumo patikinimo pareiškimą</w:t>
      </w:r>
      <w:r w:rsidRPr="00773DD4">
        <w:rPr>
          <w:rStyle w:val="FootnoteReference"/>
        </w:rPr>
        <w:footnoteReference w:id="2"/>
      </w:r>
      <w:r w:rsidRPr="00773DD4">
        <w:t>,</w:t>
      </w:r>
    </w:p>
    <w:p w:rsidR="00D83B78" w:rsidRPr="00773DD4" w:rsidRDefault="00D83B78" w:rsidP="00D83B78">
      <w:pPr>
        <w:pStyle w:val="NormalHanging12a"/>
      </w:pPr>
      <w:r w:rsidRPr="00773DD4">
        <w:t>–</w:t>
      </w:r>
      <w:r w:rsidRPr="00773DD4">
        <w:tab/>
        <w:t xml:space="preserve">atsižvelgdamas į 2024 m. vasario 22 d. </w:t>
      </w:r>
      <w:r w:rsidR="009B07D1" w:rsidRPr="00773DD4">
        <w:t xml:space="preserve">Tarybos </w:t>
      </w:r>
      <w:r w:rsidRPr="00773DD4">
        <w:t>rekomendaciją dėl patvirtinimo, kad bendroji įmonė įvykdė 2022 finansinių metų biudžetą (</w:t>
      </w:r>
      <w:r w:rsidRPr="00CC69E1">
        <w:t>0</w:t>
      </w:r>
      <w:r w:rsidR="009B07D1">
        <w:t>6182</w:t>
      </w:r>
      <w:r w:rsidRPr="00773DD4">
        <w:t>/2024 – C9</w:t>
      </w:r>
      <w:r w:rsidRPr="00773DD4">
        <w:noBreakHyphen/>
      </w:r>
      <w:r w:rsidRPr="00CC69E1">
        <w:t>0</w:t>
      </w:r>
      <w:r w:rsidR="009B07D1">
        <w:t>116</w:t>
      </w:r>
      <w:r w:rsidRPr="00773DD4">
        <w:t>/2024),</w:t>
      </w:r>
    </w:p>
    <w:p w:rsidR="00D83B78" w:rsidRPr="00773DD4" w:rsidRDefault="00D83B78" w:rsidP="00D83B78">
      <w:pPr>
        <w:pStyle w:val="NormalHanging12a"/>
      </w:pPr>
      <w:r w:rsidRPr="00773DD4">
        <w:t>–</w:t>
      </w:r>
      <w:r w:rsidRPr="00773DD4">
        <w:tab/>
        <w:t>atsižvelgdamas į Sutarties dėl Europos Sąjungos veikimo 319 straipsnį,</w:t>
      </w:r>
    </w:p>
    <w:p w:rsidR="00D83B78" w:rsidRPr="00773DD4" w:rsidRDefault="00D83B78" w:rsidP="00D83B78">
      <w:pPr>
        <w:pStyle w:val="NormalHanging12a"/>
      </w:pPr>
      <w:r w:rsidRPr="00773DD4">
        <w:t>–</w:t>
      </w:r>
      <w:r w:rsidRPr="00773DD4">
        <w:tab/>
        <w:t>atsižvelgdamas į Europos atominės energijos bendrijos steigimo sutarties 106a straipsnį,</w:t>
      </w:r>
    </w:p>
    <w:p w:rsidR="00D83B78" w:rsidRPr="00773DD4" w:rsidRDefault="00D83B78" w:rsidP="00D83B78">
      <w:pPr>
        <w:pStyle w:val="NormalHanging12a"/>
      </w:pPr>
      <w:r w:rsidRPr="00773DD4">
        <w:t>–</w:t>
      </w:r>
      <w:r w:rsidRPr="00773DD4">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773DD4">
        <w:lastRenderedPageBreak/>
        <w:t>Reglamentas (ES, Euratomas) Nr. 966/2012</w:t>
      </w:r>
      <w:r w:rsidRPr="00773DD4">
        <w:rPr>
          <w:rStyle w:val="FootnoteReference"/>
        </w:rPr>
        <w:footnoteReference w:id="3"/>
      </w:r>
      <w:r w:rsidRPr="00773DD4">
        <w:t>, ypač į jo 70 straipsnį,</w:t>
      </w:r>
    </w:p>
    <w:p w:rsidR="00D83B78" w:rsidRPr="00773DD4" w:rsidRDefault="00D83B78" w:rsidP="00D83B78">
      <w:pPr>
        <w:pStyle w:val="NormalHanging12a"/>
      </w:pPr>
      <w:r w:rsidRPr="00773DD4">
        <w:t>–</w:t>
      </w:r>
      <w:r w:rsidRPr="00773DD4">
        <w:tab/>
        <w:t>atsižvelgdamas į 2007 m. kovo 27 d. Tarybos sprendimą 2007/198/Euratomas, įsteigiantį Europos ITER įgyvendinimo ir branduolių sintezės energetikos vystymo bendrąją įmonę ir suteikiantį jai lengvatas</w:t>
      </w:r>
      <w:r w:rsidRPr="00773DD4">
        <w:rPr>
          <w:rStyle w:val="FootnoteReference"/>
        </w:rPr>
        <w:footnoteReference w:id="4"/>
      </w:r>
      <w:r w:rsidRPr="00773DD4">
        <w:t>, ypač į jo 5 straipsnį,</w:t>
      </w:r>
    </w:p>
    <w:p w:rsidR="00D83B78" w:rsidRPr="00773DD4" w:rsidRDefault="00D83B78" w:rsidP="00D83B78">
      <w:pPr>
        <w:pStyle w:val="NormalHanging12a"/>
      </w:pPr>
      <w:r w:rsidRPr="00773DD4">
        <w:t>–</w:t>
      </w:r>
      <w:r w:rsidRPr="00773DD4">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773DD4">
        <w:rPr>
          <w:rStyle w:val="FootnoteReference"/>
        </w:rPr>
        <w:footnoteReference w:id="5"/>
      </w:r>
      <w:r w:rsidRPr="00773DD4">
        <w:t>,</w:t>
      </w:r>
    </w:p>
    <w:p w:rsidR="00D83B78" w:rsidRPr="00773DD4" w:rsidRDefault="00D83B78" w:rsidP="00D83B78">
      <w:pPr>
        <w:pStyle w:val="NormalHanging12a"/>
      </w:pPr>
      <w:r w:rsidRPr="00773DD4">
        <w:t>–</w:t>
      </w:r>
      <w:r w:rsidRPr="00773DD4">
        <w:tab/>
        <w:t>atsižvelgdamas į Darbo tvarkos taisyklių 100 straipsnį ir V priedą,</w:t>
      </w:r>
    </w:p>
    <w:p w:rsidR="00D83B78" w:rsidRPr="00773DD4" w:rsidRDefault="00D83B78" w:rsidP="00D83B78">
      <w:pPr>
        <w:pStyle w:val="NormalHanging12a"/>
      </w:pPr>
      <w:r w:rsidRPr="00773DD4">
        <w:t>–</w:t>
      </w:r>
      <w:r w:rsidRPr="00773DD4">
        <w:tab/>
        <w:t>atsižvelgdamas į Biudžeto kontrolės komiteto pranešimą (A9-0090/2024),</w:t>
      </w:r>
    </w:p>
    <w:p w:rsidR="00D83B78" w:rsidRPr="00773DD4" w:rsidRDefault="00D83B78" w:rsidP="00D83B78">
      <w:pPr>
        <w:pStyle w:val="NormalHanging12a"/>
      </w:pPr>
      <w:r w:rsidRPr="00773DD4">
        <w:t>1.</w:t>
      </w:r>
      <w:r w:rsidRPr="00773DD4">
        <w:tab/>
        <w:t>patvirtina Europos ITER įgyvendinimo ir branduolių sintezės energetikos vystymo bendrosios įmonės (Branduolių sintezės energetikos vystymo bendrosios įmonės) direktoriui, kad bendrosios įmonės 2022 finansinių metų biudžetas įvykdytas;</w:t>
      </w:r>
    </w:p>
    <w:p w:rsidR="00D83B78" w:rsidRPr="00773DD4" w:rsidRDefault="00D83B78" w:rsidP="00D83B78">
      <w:pPr>
        <w:pStyle w:val="NormalHanging12a"/>
      </w:pPr>
      <w:r w:rsidRPr="00773DD4">
        <w:t>2.</w:t>
      </w:r>
      <w:r w:rsidRPr="00773DD4">
        <w:tab/>
        <w:t>išdėsto savo pastabas toliau pateikiamoje rezoliucijoje;</w:t>
      </w:r>
    </w:p>
    <w:p w:rsidR="00D83B78" w:rsidRPr="00773DD4" w:rsidRDefault="00D83B78" w:rsidP="00D83B78">
      <w:pPr>
        <w:pStyle w:val="NormalHanging12a"/>
      </w:pPr>
      <w:r w:rsidRPr="00773DD4">
        <w:t>3.</w:t>
      </w:r>
      <w:r w:rsidRPr="00773DD4">
        <w:tab/>
        <w:t xml:space="preserve">paveda Pirmininkei perduoti šį sprendimą ir rezoliuciją, kuri yra neatskiriama jo dalis, Europos ITER įgyvendinimo ir branduolių sintezės energetikos vystymo bendrosios įmonės (Branduolių sintezės energetikos vystymo bendrosios įmonės) direktoriui, Tarybai, Komisijai ir Audito Rūmams ir pasirūpinti, kad jie būtų paskelbti </w:t>
      </w:r>
      <w:r w:rsidRPr="00773DD4">
        <w:rPr>
          <w:i/>
          <w:iCs/>
        </w:rPr>
        <w:t>Europos Sąjungos oficialiajame leidinyje</w:t>
      </w:r>
      <w:r w:rsidRPr="00773DD4">
        <w:t xml:space="preserve"> (L serijoje).</w:t>
      </w:r>
    </w:p>
    <w:p w:rsidR="00D83B78" w:rsidRPr="00773DD4" w:rsidRDefault="00D83B78" w:rsidP="00D83B78">
      <w:pPr>
        <w:pStyle w:val="NormalHanging12a"/>
        <w:sectPr w:rsidR="00D83B78" w:rsidRPr="00773DD4" w:rsidSect="00773DD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83B78" w:rsidRPr="00773DD4" w:rsidRDefault="004D37D8" w:rsidP="004D37D8">
      <w:pPr>
        <w:pStyle w:val="ATHeading3"/>
      </w:pPr>
      <w:r>
        <w:lastRenderedPageBreak/>
        <w:t xml:space="preserve">2. 2024 m. balandžio 11 d. </w:t>
      </w:r>
      <w:r w:rsidRPr="00773DD4">
        <w:t xml:space="preserve">Europos Parlamento sprendimas </w:t>
      </w:r>
      <w:r w:rsidR="00D83B78" w:rsidRPr="00773DD4">
        <w:t xml:space="preserve">dėl </w:t>
      </w:r>
      <w:r w:rsidR="009B07D1" w:rsidRPr="009B07D1">
        <w:t>Europos ITER įgyvendinimo ir branduolių sintezės energetikos vystymo (branduolių sintezė energijai) bendro</w:t>
      </w:r>
      <w:r w:rsidR="009B07D1">
        <w:t>sios</w:t>
      </w:r>
      <w:r w:rsidR="009B07D1" w:rsidRPr="009B07D1">
        <w:t xml:space="preserve"> įmonė</w:t>
      </w:r>
      <w:r w:rsidR="009B07D1">
        <w:t>s</w:t>
      </w:r>
      <w:r w:rsidR="00D83B78" w:rsidRPr="00773DD4">
        <w:t xml:space="preserve"> 2022 finansinių metų sąskaitų uždarymo</w:t>
      </w:r>
      <w:r>
        <w:t xml:space="preserve"> </w:t>
      </w:r>
      <w:r w:rsidR="00D83B78" w:rsidRPr="00773DD4">
        <w:t>(2023/2178(DEC))</w:t>
      </w:r>
    </w:p>
    <w:p w:rsidR="00D83B78" w:rsidRPr="00773DD4" w:rsidRDefault="00D83B78" w:rsidP="00D83B78">
      <w:pPr>
        <w:pStyle w:val="EPComma"/>
      </w:pPr>
      <w:r w:rsidRPr="00773DD4">
        <w:rPr>
          <w:i/>
        </w:rPr>
        <w:t>Europos Parlamentas,</w:t>
      </w:r>
    </w:p>
    <w:p w:rsidR="00D83B78" w:rsidRPr="00773DD4" w:rsidRDefault="00D83B78" w:rsidP="00D83B78">
      <w:pPr>
        <w:pStyle w:val="NormalHanging12a"/>
      </w:pPr>
      <w:r w:rsidRPr="00773DD4">
        <w:t>–</w:t>
      </w:r>
      <w:r w:rsidRPr="00773DD4">
        <w:tab/>
        <w:t>atsižvelgdamas į Europos ITER įgyvendinimo ir branduolių sintezės energetikos vystymo bendrosios įmonės (Branduolių sintezės energetikos vystymo bendrosios įmonės, F4E) 2022 finansinių metų galutines metines ataskaitas,</w:t>
      </w:r>
    </w:p>
    <w:p w:rsidR="00D83B78" w:rsidRPr="00773DD4" w:rsidRDefault="00D83B78" w:rsidP="00D83B78">
      <w:pPr>
        <w:pStyle w:val="NormalHanging12a"/>
      </w:pPr>
      <w:r w:rsidRPr="00773DD4">
        <w:t>–</w:t>
      </w:r>
      <w:r w:rsidRPr="00773DD4">
        <w:tab/>
        <w:t>atsižvelgdamas į Audito Rūmų 2022 finansinių metų metinę ataskaitą dėl ES bendrųjų įmonių kartu su bendrųjų įmonių atsakymais</w:t>
      </w:r>
      <w:r w:rsidRPr="00773DD4">
        <w:rPr>
          <w:rStyle w:val="FootnoteReference"/>
        </w:rPr>
        <w:footnoteReference w:id="6"/>
      </w:r>
      <w:r w:rsidRPr="00773DD4">
        <w:t>,</w:t>
      </w:r>
    </w:p>
    <w:p w:rsidR="00D83B78" w:rsidRPr="00773DD4" w:rsidRDefault="00D83B78" w:rsidP="00D83B78">
      <w:pPr>
        <w:pStyle w:val="NormalHanging12a"/>
      </w:pPr>
      <w:r w:rsidRPr="00773DD4">
        <w:t>–</w:t>
      </w:r>
      <w:r w:rsidRPr="00773DD4">
        <w:tab/>
        <w:t>atsižvelgdamas į Audito Rūmų pagal Sutarties dėl Europos Sąjungos veikimo 287 straipsnį pateiktą sąskaitų patikimumo ir pagal jas atliktų operacijų teisėtumo ir tvarkingumo patikinimo pareiškimą</w:t>
      </w:r>
      <w:r w:rsidRPr="00773DD4">
        <w:rPr>
          <w:rStyle w:val="FootnoteReference"/>
        </w:rPr>
        <w:footnoteReference w:id="7"/>
      </w:r>
      <w:r w:rsidRPr="00773DD4">
        <w:t>,</w:t>
      </w:r>
    </w:p>
    <w:p w:rsidR="00D83B78" w:rsidRPr="00773DD4" w:rsidRDefault="00D83B78" w:rsidP="00D83B78">
      <w:pPr>
        <w:pStyle w:val="NormalHanging12a"/>
      </w:pPr>
      <w:r w:rsidRPr="00773DD4">
        <w:t>–</w:t>
      </w:r>
      <w:r w:rsidRPr="00773DD4">
        <w:tab/>
        <w:t xml:space="preserve">atsižvelgdamas į 2024 m. vasario 22 d. </w:t>
      </w:r>
      <w:r w:rsidR="009B07D1" w:rsidRPr="00773DD4">
        <w:t xml:space="preserve">Tarybos </w:t>
      </w:r>
      <w:r w:rsidRPr="00773DD4">
        <w:t>rekomendaciją dėl patvirtinimo, kad bendroji įmonė įvykdė 2022 finansinių metų biudžetą (0</w:t>
      </w:r>
      <w:r w:rsidR="009B07D1">
        <w:t>6182</w:t>
      </w:r>
      <w:r w:rsidRPr="00773DD4">
        <w:t>/2024 – C9</w:t>
      </w:r>
      <w:r w:rsidRPr="00773DD4">
        <w:noBreakHyphen/>
        <w:t>0</w:t>
      </w:r>
      <w:r w:rsidR="009B07D1">
        <w:t>116</w:t>
      </w:r>
      <w:r w:rsidRPr="00773DD4">
        <w:t>/2024),</w:t>
      </w:r>
    </w:p>
    <w:p w:rsidR="00D83B78" w:rsidRPr="00773DD4" w:rsidRDefault="00D83B78" w:rsidP="00D83B78">
      <w:pPr>
        <w:pStyle w:val="NormalHanging12a"/>
      </w:pPr>
      <w:r w:rsidRPr="00773DD4">
        <w:t>–</w:t>
      </w:r>
      <w:r w:rsidRPr="00773DD4">
        <w:tab/>
        <w:t>atsižvelgdamas į Sutarties dėl Europos Sąjungos veikimo 319 straipsnį,</w:t>
      </w:r>
    </w:p>
    <w:p w:rsidR="00D83B78" w:rsidRPr="00773DD4" w:rsidRDefault="00D83B78" w:rsidP="00D83B78">
      <w:pPr>
        <w:pStyle w:val="NormalHanging12a"/>
      </w:pPr>
      <w:r w:rsidRPr="00773DD4">
        <w:t>–</w:t>
      </w:r>
      <w:r w:rsidRPr="00773DD4">
        <w:tab/>
        <w:t>atsižvelgdamas į Europos atominės energijos bendrijos steigimo sutarties 106a straipsnį,</w:t>
      </w:r>
    </w:p>
    <w:p w:rsidR="00D83B78" w:rsidRPr="00773DD4" w:rsidRDefault="00D83B78" w:rsidP="00D83B78">
      <w:pPr>
        <w:pStyle w:val="NormalHanging12a"/>
      </w:pPr>
      <w:r w:rsidRPr="00773DD4">
        <w:t>–</w:t>
      </w:r>
      <w:r w:rsidRPr="00773DD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773DD4">
        <w:rPr>
          <w:rStyle w:val="FootnoteReference"/>
        </w:rPr>
        <w:footnoteReference w:id="8"/>
      </w:r>
      <w:r w:rsidRPr="00773DD4">
        <w:t>, ypač į jo 70 straipsnį,</w:t>
      </w:r>
    </w:p>
    <w:p w:rsidR="00D83B78" w:rsidRPr="00773DD4" w:rsidRDefault="00D83B78" w:rsidP="00D83B78">
      <w:pPr>
        <w:pStyle w:val="NormalHanging12a"/>
      </w:pPr>
      <w:r w:rsidRPr="00773DD4">
        <w:t>–</w:t>
      </w:r>
      <w:r w:rsidRPr="00773DD4">
        <w:tab/>
        <w:t>atsižvelgdamas į 2007 m. kovo 27 d. Tarybos sprendimą 2007/198/Euratomas, įsteigiantį Europos ITER įgyvendinimo ir branduolių sintezės energetikos vystymo bendrąją įmonę ir suteikiantį jai lengvatas</w:t>
      </w:r>
      <w:r w:rsidRPr="00773DD4">
        <w:rPr>
          <w:rStyle w:val="FootnoteReference"/>
        </w:rPr>
        <w:footnoteReference w:id="9"/>
      </w:r>
      <w:r w:rsidRPr="00773DD4">
        <w:t>, ypač į jo 5 straipsnį,</w:t>
      </w:r>
    </w:p>
    <w:p w:rsidR="00D83B78" w:rsidRPr="00773DD4" w:rsidRDefault="00D83B78" w:rsidP="00D83B78">
      <w:pPr>
        <w:pStyle w:val="NormalHanging12a"/>
      </w:pPr>
      <w:r w:rsidRPr="00773DD4">
        <w:t>–</w:t>
      </w:r>
      <w:r w:rsidRPr="00773DD4">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773DD4">
        <w:rPr>
          <w:rStyle w:val="FootnoteReference"/>
        </w:rPr>
        <w:footnoteReference w:id="10"/>
      </w:r>
      <w:r w:rsidRPr="00773DD4">
        <w:t>,</w:t>
      </w:r>
    </w:p>
    <w:p w:rsidR="00D83B78" w:rsidRPr="00773DD4" w:rsidRDefault="00D83B78" w:rsidP="00D83B78">
      <w:pPr>
        <w:pStyle w:val="NormalHanging12a"/>
      </w:pPr>
      <w:r w:rsidRPr="00773DD4">
        <w:t>–</w:t>
      </w:r>
      <w:r w:rsidRPr="00773DD4">
        <w:tab/>
        <w:t>atsižvelgdamas į Darbo tvarkos taisyklių 100 straipsnį ir V priedą,</w:t>
      </w:r>
    </w:p>
    <w:p w:rsidR="00D83B78" w:rsidRPr="00773DD4" w:rsidRDefault="00D83B78" w:rsidP="00D83B78">
      <w:pPr>
        <w:pStyle w:val="NormalHanging12a"/>
      </w:pPr>
      <w:r w:rsidRPr="00773DD4">
        <w:t>–</w:t>
      </w:r>
      <w:r w:rsidRPr="00773DD4">
        <w:tab/>
        <w:t>atsižvelgdamas į Biudžeto kontrolės komiteto pranešimą (A9-0090/2024),</w:t>
      </w:r>
    </w:p>
    <w:p w:rsidR="00D83B78" w:rsidRPr="00773DD4" w:rsidRDefault="00D83B78" w:rsidP="00D83B78">
      <w:pPr>
        <w:pStyle w:val="NormalHanging12a"/>
      </w:pPr>
      <w:r w:rsidRPr="00773DD4">
        <w:t>1.</w:t>
      </w:r>
      <w:r w:rsidRPr="00773DD4">
        <w:tab/>
        <w:t xml:space="preserve">pritaria Europos ITER įgyvendinimo ir branduolių sintezės energetikos vystymo bendrosios įmonės (Branduolių sintezės energetikos vystymo bendrosios įmonės) 2022 </w:t>
      </w:r>
      <w:r w:rsidRPr="00773DD4">
        <w:lastRenderedPageBreak/>
        <w:t>finansinių metų sąskaitų uždarymui;</w:t>
      </w:r>
    </w:p>
    <w:p w:rsidR="00D83B78" w:rsidRPr="00773DD4" w:rsidRDefault="00D83B78" w:rsidP="00D83B78">
      <w:pPr>
        <w:pStyle w:val="NormalHanging12a"/>
      </w:pPr>
      <w:r w:rsidRPr="00773DD4">
        <w:t>2.</w:t>
      </w:r>
      <w:r w:rsidRPr="00773DD4">
        <w:tab/>
        <w:t xml:space="preserve">paveda Pirmininkei perduoti šį sprendimą Europos ITER įgyvendinimo ir branduolių sintezės energetikos vystymo bendrosios įmonės (Branduolių sintezės energetikos vystymo bendrosios įmonės) direktoriui, Tarybai, Komisijai ir Audito Rūmams ir pasirūpinti, kad jis būtų paskelbtas </w:t>
      </w:r>
      <w:r w:rsidRPr="00773DD4">
        <w:rPr>
          <w:i/>
          <w:iCs/>
        </w:rPr>
        <w:t>Europos Sąjungos oficialiajame leidinyje</w:t>
      </w:r>
      <w:r w:rsidRPr="00773DD4">
        <w:t xml:space="preserve"> (L serijoje).</w:t>
      </w:r>
    </w:p>
    <w:p w:rsidR="00D83B78" w:rsidRPr="00773DD4" w:rsidRDefault="00D83B78" w:rsidP="00D83B78">
      <w:pPr>
        <w:pStyle w:val="NormalHanging12a"/>
        <w:sectPr w:rsidR="00D83B78" w:rsidRPr="00773DD4" w:rsidSect="00773DD4">
          <w:footnotePr>
            <w:numRestart w:val="eachPage"/>
          </w:footnotePr>
          <w:endnotePr>
            <w:numFmt w:val="decimal"/>
          </w:endnotePr>
          <w:pgSz w:w="11906" w:h="16838" w:code="9"/>
          <w:pgMar w:top="1134" w:right="1418" w:bottom="1418" w:left="1418" w:header="567" w:footer="567" w:gutter="0"/>
          <w:cols w:space="720"/>
          <w:noEndnote/>
          <w:docGrid w:linePitch="326"/>
        </w:sectPr>
      </w:pPr>
    </w:p>
    <w:p w:rsidR="00D83B78" w:rsidRPr="00773DD4" w:rsidRDefault="004D37D8" w:rsidP="00594CC6">
      <w:pPr>
        <w:pStyle w:val="ATHeading3"/>
      </w:pPr>
      <w:r>
        <w:lastRenderedPageBreak/>
        <w:t xml:space="preserve">3. 2024 m. balandžio 11 d. </w:t>
      </w:r>
      <w:r w:rsidRPr="00773DD4">
        <w:t xml:space="preserve">Europos Parlamento </w:t>
      </w:r>
      <w:r>
        <w:t>rezoliucija</w:t>
      </w:r>
      <w:r w:rsidRPr="00773DD4">
        <w:t xml:space="preserve"> </w:t>
      </w:r>
      <w:r w:rsidR="00D83B78" w:rsidRPr="00773DD4">
        <w:t xml:space="preserve">su pastabomis, sudarančiomis neatskiriamą sprendimo dėl </w:t>
      </w:r>
      <w:r w:rsidR="009B07D1" w:rsidRPr="009B07D1">
        <w:t>Europos ITER įgyvendinimo ir branduolių sintezės energetikos vystymo (branduolių sintezė energijai) bendro</w:t>
      </w:r>
      <w:r w:rsidR="009B07D1">
        <w:t>sios</w:t>
      </w:r>
      <w:r w:rsidR="009B07D1" w:rsidRPr="009B07D1">
        <w:t xml:space="preserve"> įmonė</w:t>
      </w:r>
      <w:r w:rsidR="009B07D1">
        <w:t>s</w:t>
      </w:r>
      <w:r w:rsidR="00D83B78" w:rsidRPr="00773DD4">
        <w:t xml:space="preserve"> 2022 finansinių metų biudžeto įvykdymo patvirtinimo dalį</w:t>
      </w:r>
      <w:r>
        <w:t xml:space="preserve"> </w:t>
      </w:r>
      <w:r w:rsidR="00D83B78" w:rsidRPr="00773DD4">
        <w:t>(2023/2178(DEC))</w:t>
      </w:r>
    </w:p>
    <w:p w:rsidR="00D83B78" w:rsidRPr="00773DD4" w:rsidRDefault="00D83B78" w:rsidP="00D83B78">
      <w:pPr>
        <w:pStyle w:val="EPComma"/>
      </w:pPr>
      <w:r w:rsidRPr="00773DD4">
        <w:rPr>
          <w:i/>
        </w:rPr>
        <w:t>Europos Parlamentas,</w:t>
      </w:r>
    </w:p>
    <w:p w:rsidR="00D83B78" w:rsidRPr="00773DD4" w:rsidRDefault="00D83B78" w:rsidP="00D83B78">
      <w:pPr>
        <w:pStyle w:val="NormalHanging12a"/>
      </w:pPr>
      <w:r w:rsidRPr="00773DD4">
        <w:t>–</w:t>
      </w:r>
      <w:r w:rsidRPr="00773DD4">
        <w:tab/>
        <w:t>atsižvelgdamas į savo sprendimą dėl Europos ITER įgyvendinimo ir branduolių sintezės energetikos vystymo bendrosios įmonės 2022 finansinių metų biudžeto įvykdymo patvirtinimo,</w:t>
      </w:r>
    </w:p>
    <w:p w:rsidR="00D83B78" w:rsidRPr="00773DD4" w:rsidRDefault="00D83B78" w:rsidP="00D83B78">
      <w:pPr>
        <w:pStyle w:val="NormalHanging12a"/>
      </w:pPr>
      <w:r w:rsidRPr="00773DD4">
        <w:t>–</w:t>
      </w:r>
      <w:r w:rsidRPr="00773DD4">
        <w:tab/>
        <w:t>atsižvelgdamas į Darbo tvarkos taisyklių 100 straipsnį ir V priedą,</w:t>
      </w:r>
    </w:p>
    <w:p w:rsidR="00D83B78" w:rsidRPr="00773DD4" w:rsidRDefault="00D83B78" w:rsidP="00D83B78">
      <w:pPr>
        <w:pStyle w:val="NormalHanging12a"/>
      </w:pPr>
      <w:r w:rsidRPr="00773DD4">
        <w:t>–</w:t>
      </w:r>
      <w:r w:rsidRPr="00773DD4">
        <w:tab/>
        <w:t>atsižvelgdamas į Pramonės, mokslinių tyrimų ir energetikos komiteto nuomonę,</w:t>
      </w:r>
    </w:p>
    <w:p w:rsidR="00D83B78" w:rsidRPr="00773DD4" w:rsidRDefault="00D83B78" w:rsidP="00D83B78">
      <w:pPr>
        <w:pStyle w:val="NormalHanging12a"/>
      </w:pPr>
      <w:r w:rsidRPr="00773DD4">
        <w:t>–</w:t>
      </w:r>
      <w:r w:rsidRPr="00773DD4">
        <w:tab/>
        <w:t>atsižvelgdamas į Biudžeto kontrolės komiteto pranešimą (A9-0090/2024),</w:t>
      </w:r>
    </w:p>
    <w:p w:rsidR="00D83B78" w:rsidRPr="00773DD4" w:rsidRDefault="00D83B78" w:rsidP="00D83B78">
      <w:pPr>
        <w:spacing w:after="240"/>
        <w:ind w:left="567" w:hanging="567"/>
      </w:pPr>
      <w:r w:rsidRPr="00773DD4">
        <w:t>A.</w:t>
      </w:r>
      <w:r w:rsidRPr="00773DD4">
        <w:tab/>
        <w:t>kadangi Europos termobranduolinio eksperimentinio reaktoriaus (ITER) įgyvendinimo ir branduolių sintezės energetikos vystymo bendroji įmonė buvo įsteigta 2007 m. balandžio mėn. 2007 m. kovo 27 d. Sprendimu 2007/198/Euratomas</w:t>
      </w:r>
      <w:r w:rsidRPr="00773DD4">
        <w:rPr>
          <w:rStyle w:val="FootnoteReference"/>
        </w:rPr>
        <w:footnoteReference w:id="11"/>
      </w:r>
      <w:r w:rsidRPr="00773DD4">
        <w:t xml:space="preserve"> 35 metų laikotarpiui;</w:t>
      </w:r>
    </w:p>
    <w:p w:rsidR="00D83B78" w:rsidRPr="00773DD4" w:rsidRDefault="00D83B78" w:rsidP="00D83B78">
      <w:pPr>
        <w:spacing w:after="240"/>
        <w:ind w:left="567" w:hanging="567"/>
      </w:pPr>
      <w:r w:rsidRPr="00773DD4">
        <w:t>B.</w:t>
      </w:r>
      <w:r w:rsidRPr="00773DD4">
        <w:tab/>
        <w:t>kadangi Bendrosios įmonės nariai yra Komisijos atstovaujama Europos atominės energijos bendrija (Euratomas), Euratomo valstybės narės</w:t>
      </w:r>
      <w:r w:rsidRPr="00773DD4">
        <w:rPr>
          <w:rStyle w:val="FootnoteReference"/>
        </w:rPr>
        <w:footnoteReference w:id="12"/>
      </w:r>
      <w:r w:rsidRPr="00773DD4">
        <w:t xml:space="preserve"> ir trečiosios šalys, sudariusios su Euratomu bendradarbiavimo susitarimą valdomos branduolių sintezės srityje;</w:t>
      </w:r>
    </w:p>
    <w:p w:rsidR="00D83B78" w:rsidRPr="00773DD4" w:rsidRDefault="00D83B78" w:rsidP="00D83B78">
      <w:pPr>
        <w:spacing w:after="240"/>
        <w:ind w:left="567" w:hanging="567"/>
      </w:pPr>
      <w:r w:rsidRPr="00773DD4">
        <w:t>C.</w:t>
      </w:r>
      <w:r w:rsidRPr="00773DD4">
        <w:tab/>
        <w:t>kadangi Bendrosios įmonės tikslai yra užtikrinti Sąjungos indėlį į ITER tarptautinį branduolių sintezės energijos projektą, įgyvendinti Euratomo ir Japonijos platesnio požiūrio susitarimą ir pasirengti demonstracinio branduolių sintezės reaktoriaus ir susijusių įrenginių statybai</w:t>
      </w:r>
      <w:r w:rsidRPr="00773DD4">
        <w:rPr>
          <w:rStyle w:val="FootnoteReference"/>
        </w:rPr>
        <w:footnoteReference w:id="13"/>
      </w:r>
      <w:r w:rsidRPr="00773DD4">
        <w:t>;</w:t>
      </w:r>
    </w:p>
    <w:p w:rsidR="00D83B78" w:rsidRPr="00773DD4" w:rsidRDefault="00D83B78" w:rsidP="00D83B78">
      <w:pPr>
        <w:spacing w:after="240"/>
        <w:ind w:left="567" w:hanging="567"/>
      </w:pPr>
      <w:r w:rsidRPr="00773DD4">
        <w:t>D.</w:t>
      </w:r>
      <w:r w:rsidRPr="00773DD4">
        <w:tab/>
        <w:t>kadangi ITER projekto veikloje dalyvauja septyni pasauliniai partneriai, t. y. Sąjunga, kuriai atstovauja Euratomas, Jungtinės Amerikos Valstijos, Rusija, Japonija, Kinija, Pietų Korėja ir Indija, ir Sąjunga imasi lyderės vaidmens – ji padengia 45,4 % statybos sąnaudų, o kiti dalyvaujantys partneriai – po 9,1 % sąnaudų; ši situacija pasikeis branduolių sintezės bandymų veiklos etape, nes tuomet Sąjunga dengs 34 % veiklos sąnaudų</w:t>
      </w:r>
      <w:r w:rsidRPr="00773DD4">
        <w:rPr>
          <w:rStyle w:val="FootnoteReference"/>
        </w:rPr>
        <w:footnoteReference w:id="14"/>
      </w:r>
      <w:r w:rsidRPr="00773DD4">
        <w:t>;</w:t>
      </w:r>
    </w:p>
    <w:p w:rsidR="00D83B78" w:rsidRPr="00773DD4" w:rsidRDefault="00D83B78" w:rsidP="00D83B78">
      <w:pPr>
        <w:spacing w:after="240"/>
        <w:ind w:left="567" w:hanging="567"/>
      </w:pPr>
      <w:r w:rsidRPr="00773DD4">
        <w:t>E.</w:t>
      </w:r>
      <w:r w:rsidRPr="00773DD4">
        <w:tab/>
        <w:t xml:space="preserve">kadangi dabartinė Komisijos sąmata, susijusi su bendru Euratomo biudžetu, kurio reikia, kad bendroji įmonė galėtų finansuoti europinę ITER projekto įgyvendinimo dalį ir susijusią veiklą iki 2035 m., sudaro 15 milijardų eurų (dabartine verte); kadangi ITER </w:t>
      </w:r>
      <w:r w:rsidRPr="00773DD4">
        <w:lastRenderedPageBreak/>
        <w:t>priimančioji valstybė (Prancūzija) ir Euratomo valstybės narės turi prisidėti dar 3,2 mlrd. EUR (dabartine verte)</w:t>
      </w:r>
      <w:r w:rsidRPr="00773DD4">
        <w:rPr>
          <w:rStyle w:val="FootnoteReference"/>
        </w:rPr>
        <w:footnoteReference w:id="15"/>
      </w:r>
      <w:r w:rsidRPr="00773DD4">
        <w:t>;</w:t>
      </w:r>
    </w:p>
    <w:p w:rsidR="00D83B78" w:rsidRPr="00773DD4" w:rsidRDefault="00D83B78" w:rsidP="00D83B78">
      <w:pPr>
        <w:spacing w:after="240"/>
        <w:ind w:left="567" w:hanging="567"/>
      </w:pPr>
      <w:r w:rsidRPr="00773DD4">
        <w:t>F.</w:t>
      </w:r>
      <w:r w:rsidRPr="00773DD4">
        <w:tab/>
        <w:t>kadangi Jungtinė Karalystė ir Šveicarija nebesusijusios su bendrosios įmonės ITER veikla ir nebėra bendrosios įmonės narėmis</w:t>
      </w:r>
      <w:r w:rsidRPr="00773DD4">
        <w:rPr>
          <w:rStyle w:val="FootnoteReference"/>
        </w:rPr>
        <w:footnoteReference w:id="16"/>
      </w:r>
      <w:r w:rsidRPr="00773DD4">
        <w:t>;</w:t>
      </w:r>
    </w:p>
    <w:p w:rsidR="00D83B78" w:rsidRPr="00773DD4" w:rsidRDefault="00D83B78" w:rsidP="00D83B78">
      <w:pPr>
        <w:pStyle w:val="NormalHanging12a"/>
      </w:pPr>
      <w:r w:rsidRPr="00773DD4">
        <w:t>G.</w:t>
      </w:r>
      <w:r w:rsidRPr="00773DD4">
        <w:tab/>
        <w:t>kadangi bendroji įmonė, siekdama padidinti skaidrumą, savo metinėse finansinėse ataskaitose turėtų atskleisti atitinkamą informaciją apie narių įnašus programos lygmeniu; kadangi bendroji įmonė dėl kiekvienos programos, pagal kurią ji vykdo veiklą, iki metų pabaigos turėtų pateikti visą svarbią informaciją pagal narių kategorijas, įskaitant atitinkamai programai nustatytus teisiškai įpareigojančius įnašų tikslus, gautų įnašų sumą ir teisinių įsipareigojimų sumą; kadangi bendroji įmonė turėtų toliau didinti skaidrumą;</w:t>
      </w:r>
    </w:p>
    <w:p w:rsidR="00D83B78" w:rsidRPr="00773DD4" w:rsidRDefault="00D83B78" w:rsidP="00D83B78">
      <w:pPr>
        <w:spacing w:after="240"/>
        <w:ind w:left="567" w:hanging="567"/>
        <w:rPr>
          <w:b/>
          <w:i/>
        </w:rPr>
      </w:pPr>
      <w:r w:rsidRPr="00773DD4">
        <w:rPr>
          <w:b/>
          <w:i/>
        </w:rPr>
        <w:t>Bendrosios nuostatos</w:t>
      </w:r>
    </w:p>
    <w:p w:rsidR="00D83B78" w:rsidRPr="00773DD4" w:rsidRDefault="00D83B78" w:rsidP="00D83B78">
      <w:pPr>
        <w:spacing w:after="240"/>
        <w:ind w:left="573" w:hanging="573"/>
      </w:pPr>
      <w:r w:rsidRPr="00773DD4">
        <w:t>1.</w:t>
      </w:r>
      <w:r w:rsidRPr="00773DD4">
        <w:tab/>
        <w:t>pažymi, kad Europos Audito Rūmai (toliau – Audito Rūmai) savo ataskaitoje dėl bendrosios įmonės 2022 finansinių metų metinių finansinių ataskaitų (toliau – Audito Rūmų ataskaita) padarė išvadą, jog bendrosios įmonės finansinė būklė 2022 m. gruodžio 31 d. bei 2022 finansinių metų operacijų ir pinigų srautų rezultatai bei grynojo turto pokyčiai visais reikšmingais aspektais yra pateikti teisingai, kaip to reikalaujama jos finansiniame reglamente ir Komisijos apskaitos pareigūno patvirtintose apskaitos taisyklėse; be to, pažymi, kad 2022 finansiniais metais pagal sąskaitas atliktos operacijos visais reikšmingais aspektais yra teisėtos ir tvarkingos;</w:t>
      </w:r>
    </w:p>
    <w:p w:rsidR="00D83B78" w:rsidRPr="00773DD4" w:rsidRDefault="00D83B78" w:rsidP="00D83B78">
      <w:pPr>
        <w:spacing w:after="240"/>
        <w:ind w:left="573" w:hanging="573"/>
      </w:pPr>
      <w:r w:rsidRPr="00773DD4">
        <w:t>2.</w:t>
      </w:r>
      <w:r w:rsidRPr="00773DD4">
        <w:tab/>
        <w:t>pabrėžia, kad Audito Rūmai atkreipia dėmesį į tai, jog bendroji įmonė savo 2022 m. metinėse ataskaitose pateikė ITER projekto įgyvendinimo įsipareigojimų vykdymo bendrų išlaidų sąmatą (toliau – galutinė išlaidų sąmata) ir įvertino, kad tai bus 19,1 mlrd. EUR (2022 m. verte); jas sudaro visi mokėjimai iki 2022 m. pabaigos, kurių suma yra 9,2 mlrd. EUR, ir būsimų mokėjimų, kurie įvertinti 9,9 mlrd. EUR (2022 m. verte), sąmata;</w:t>
      </w:r>
    </w:p>
    <w:p w:rsidR="00D83B78" w:rsidRPr="00773DD4" w:rsidRDefault="00D83B78" w:rsidP="00D83B78">
      <w:pPr>
        <w:spacing w:after="240"/>
        <w:ind w:left="570" w:hanging="570"/>
      </w:pPr>
      <w:r w:rsidRPr="00773DD4">
        <w:t>3.</w:t>
      </w:r>
      <w:r w:rsidRPr="00773DD4">
        <w:tab/>
        <w:t>tačiau pažymi, kad 2022 m. galutinė išlaidų sąmata vis dar grindžiama 2016 m. tarpinių tikslų ir išlaidų prielaidomis ir kad šie įverčiai turės būti iš esmės peržiūrėti, kai parengtą naują ITER projekto pagrindinį scenarijų bei reikalavimus patvirtins ITER taryba ir apie juos bus oficialiai pranešta bendrajai įmonei;</w:t>
      </w:r>
    </w:p>
    <w:p w:rsidR="00D83B78" w:rsidRPr="00773DD4" w:rsidRDefault="00D83B78" w:rsidP="00D83B78">
      <w:pPr>
        <w:spacing w:after="240"/>
        <w:ind w:left="570" w:hanging="570"/>
      </w:pPr>
      <w:r w:rsidRPr="00773DD4">
        <w:t>4.</w:t>
      </w:r>
      <w:r w:rsidRPr="00773DD4">
        <w:tab/>
        <w:t xml:space="preserve">pripažįsta, kad 2022 m. bendroji įmonė patyrė didelį infliacijos poveikį, iš pradžių dėl COVID-19 nulemtų tiekimo grandinės problemų, o vėliau (po 2022 m. vasario mėn.) – dėl karo Ukrainoje; yra susirūpinęs dėl to, kad, naujausio vertinimo duomenimis, numatomas šių veiksnių poveikis bendrajai įmonei galutinėje išlaidų sąmatoje sudaro </w:t>
      </w:r>
      <w:r w:rsidRPr="00773DD4">
        <w:lastRenderedPageBreak/>
        <w:t>144 m. EUR (2008 m. verte); taip pat pažymi, jog numatoma, kad šis galutinės išlaidų sąmatos padidėjimas pasireikš kaip papildomos išlaidos 2023–2026 m.; be to, pažymi, kad šis infliacijos poveikis aiškiai matyti iš žaliavų kainų tiek esamose sutartyse, tiek 2022 m. gautuose pasiūlymuose ir, tikėtina, išliks ateityje, priklausomai nuo tarptautinės padėties raidos;</w:t>
      </w:r>
    </w:p>
    <w:p w:rsidR="00D83B78" w:rsidRPr="00773DD4" w:rsidRDefault="00D83B78" w:rsidP="00D83B78">
      <w:pPr>
        <w:pStyle w:val="NormalHanging12a"/>
      </w:pPr>
      <w:r w:rsidRPr="00773DD4">
        <w:t>5.</w:t>
      </w:r>
      <w:r w:rsidRPr="00773DD4">
        <w:tab/>
        <w:t>susirūpinęs pažymi, kad Rusija yra ITER-IO narė, įsipareigojusi į ITER montavimo vietą Prancūzijoje (</w:t>
      </w:r>
      <w:proofErr w:type="spellStart"/>
      <w:r w:rsidRPr="00773DD4">
        <w:t>Kadaraše</w:t>
      </w:r>
      <w:proofErr w:type="spellEnd"/>
      <w:r w:rsidRPr="00773DD4">
        <w:t>) pristatyti kelias ITER projektui skirtas sudedamąsias dalis ir teikti ITER-IO metinius įnašus; pabrėžia, jog dėl to kyla rizika, kad ITER projektą bus vėluojama įgyvendinti ir jo išlaidos bus didesnės; primygtinai teigia, kad reikia parengti sprendimus, kad ši rizika būtų atitinkamai sumažinta; mano, kad priimant bet kokį sprendimą turėtų būti apsaugoti Sąjungos strateginiai interesai ir politikos prioritetai;</w:t>
      </w:r>
    </w:p>
    <w:p w:rsidR="00D83B78" w:rsidRPr="00773DD4" w:rsidRDefault="00D83B78" w:rsidP="00D83B78">
      <w:pPr>
        <w:spacing w:after="240"/>
        <w:ind w:left="570" w:hanging="570"/>
      </w:pPr>
      <w:r w:rsidRPr="00773DD4">
        <w:t>6.</w:t>
      </w:r>
      <w:r w:rsidRPr="00773DD4">
        <w:tab/>
        <w:t>žino, kad 2022 m. lapkričio mėn. surengtame 31-ajame ITER tarybos posėdyje</w:t>
      </w:r>
      <w:r w:rsidRPr="00773DD4">
        <w:rPr>
          <w:rStyle w:val="FootnoteReference"/>
        </w:rPr>
        <w:footnoteReference w:id="17"/>
      </w:r>
      <w:r w:rsidRPr="00773DD4">
        <w:t xml:space="preserve"> susitarta dėl pagrindinio scenarijaus atnaujinimo, o 2023 m. birželio 21–22 d. vykusiame 32-ajame posėdyje</w:t>
      </w:r>
      <w:r w:rsidRPr="00773DD4">
        <w:rPr>
          <w:rStyle w:val="FootnoteReference"/>
        </w:rPr>
        <w:footnoteReference w:id="18"/>
      </w:r>
      <w:r w:rsidRPr="00773DD4">
        <w:t xml:space="preserve"> ji pavedė ITER generaliniam direktoriui pateikti pasiūlymą dėl atnaujinto pagrindinio scenarijaus, kuris bus peržiūrėtas ir patvirtintas 2024 m.;</w:t>
      </w:r>
    </w:p>
    <w:p w:rsidR="00D83B78" w:rsidRPr="00773DD4" w:rsidRDefault="00D83B78" w:rsidP="00D83B78">
      <w:pPr>
        <w:spacing w:after="240"/>
        <w:ind w:left="570" w:hanging="570"/>
      </w:pPr>
      <w:r w:rsidRPr="00773DD4">
        <w:t>7.</w:t>
      </w:r>
      <w:r w:rsidRPr="00773DD4">
        <w:tab/>
        <w:t>susirūpinęs pažymi, kad bendrosios įmonės atveju biudžeto valdymo rizika įvertinta kaip vidutinė dėl naujų rizikos veiksnių, t. y. rizikos, kad dėl numatyto naujo pagrindinio scenarijaus bus toliau vėluojama įgyvendinti ITER projektą ir didės jo išlaidos, dėl Rusijai taikomų sankcijų kils tiekimo problemų ir Prancūzijos branduolinės saugos institucija</w:t>
      </w:r>
      <w:r w:rsidRPr="00773DD4">
        <w:rPr>
          <w:rStyle w:val="FootnoteReference"/>
        </w:rPr>
        <w:footnoteReference w:id="19"/>
      </w:r>
      <w:r w:rsidRPr="00773DD4">
        <w:t xml:space="preserve"> vėluos patvirtinti projekto pakeitimus, padarytus surinkimo proceso metu;</w:t>
      </w:r>
    </w:p>
    <w:p w:rsidR="00D83B78" w:rsidRPr="00773DD4" w:rsidRDefault="00D83B78" w:rsidP="00D83B78">
      <w:pPr>
        <w:spacing w:after="240"/>
      </w:pPr>
      <w:r w:rsidRPr="00773DD4">
        <w:rPr>
          <w:b/>
          <w:i/>
        </w:rPr>
        <w:t>Biudžeto ir finansų valdymas</w:t>
      </w:r>
    </w:p>
    <w:p w:rsidR="00D83B78" w:rsidRPr="00773DD4" w:rsidRDefault="00D83B78" w:rsidP="00D83B78">
      <w:pPr>
        <w:pStyle w:val="NormalHanging12a"/>
      </w:pPr>
      <w:r w:rsidRPr="00773DD4">
        <w:t>8.</w:t>
      </w:r>
      <w:r w:rsidRPr="00773DD4">
        <w:tab/>
        <w:t>pažymi, kad 2020 m. pabaigoje 2014–2020 m. ES biudžetas buvo visiškai įvykdytas įsipareigojimų požiūriu; be to, pažymi, kad neįvykdytų įsipareigojimų mokėjimų planas suderintas su įgyvendinimo planu: 232,2 mln. EUR 2022 m. ir 150 mln. EUR 2023 m., o kiti likę mokėjimai bus atlikti vėlesniais metais</w:t>
      </w:r>
      <w:r w:rsidRPr="00773DD4">
        <w:rPr>
          <w:vertAlign w:val="superscript"/>
        </w:rPr>
        <w:footnoteReference w:id="20"/>
      </w:r>
      <w:r w:rsidRPr="00773DD4">
        <w:t>;</w:t>
      </w:r>
    </w:p>
    <w:p w:rsidR="00D83B78" w:rsidRPr="00773DD4" w:rsidRDefault="00D83B78" w:rsidP="00D83B78">
      <w:pPr>
        <w:spacing w:after="240"/>
        <w:ind w:left="570" w:hanging="570"/>
      </w:pPr>
      <w:r w:rsidRPr="00773DD4">
        <w:t>9.</w:t>
      </w:r>
      <w:r w:rsidRPr="00773DD4">
        <w:tab/>
        <w:t>pažymi, kad 2021–2027 m. daugiametės finansinės programos laikotarpiu Europos Vadovų Taryba susitarė dėl Euratomo įnašo į ITER biudžetą, kurio bendra vertė yra 5 614 mln. EUR (dabartine verte), iš kurių 5 560 mln. EUR (dabartine verte) yra tiesioginis įnašas į projektą; be to, pažymi, kad prie šio skaičiaus bus pridėti ITER priimančiosios valstybės ir valstybių narių įnašai, priklausomai nuo atitinkamų biudžeto valdymo institucijų galutinio sprendimo;</w:t>
      </w:r>
    </w:p>
    <w:p w:rsidR="00D83B78" w:rsidRPr="00773DD4" w:rsidRDefault="00D83B78" w:rsidP="00D83B78">
      <w:pPr>
        <w:spacing w:after="240"/>
        <w:ind w:left="570" w:hanging="570"/>
      </w:pPr>
      <w:r w:rsidRPr="00773DD4">
        <w:lastRenderedPageBreak/>
        <w:t>10.</w:t>
      </w:r>
      <w:r w:rsidRPr="00773DD4">
        <w:tab/>
        <w:t>pažymi, kad bendrosios įmonės valdyba iš pradžių patvirtino bendrosios įmonės 2022 m. biudžetą, kuriame numatyta 854,49 mln. EUR įsipareigojimų asignavimų ir 845,45 mln. EUR mokėjimų asignavimų, ir kad 2022 m. liepos ir gruodžio mėn. valdybos posėdžiuose jis buvo iš dalies pakeistas padarius du pakeitimus;</w:t>
      </w:r>
    </w:p>
    <w:p w:rsidR="00D83B78" w:rsidRPr="00773DD4" w:rsidRDefault="00D83B78" w:rsidP="00D83B78">
      <w:pPr>
        <w:spacing w:after="240"/>
        <w:ind w:left="570" w:hanging="570"/>
      </w:pPr>
      <w:r w:rsidRPr="00773DD4">
        <w:t>11.</w:t>
      </w:r>
      <w:r w:rsidRPr="00773DD4">
        <w:tab/>
        <w:t xml:space="preserve">pažymi, kad galutiniai turimi asignavimai, įskaitant </w:t>
      </w:r>
      <w:proofErr w:type="spellStart"/>
      <w:r w:rsidRPr="00773DD4">
        <w:t>perkėlimus</w:t>
      </w:r>
      <w:proofErr w:type="spellEnd"/>
      <w:r w:rsidRPr="00773DD4">
        <w:t xml:space="preserve"> iš praėjusių metų, sudarė 981,18 mln. EUR įsipareigojimų asignavimų (palyginti su 1 069,9 mln. 2021 m.) ir 844,02 mln. EUR mokėjimų asignavimų (palyginti su 764,8 mln. EUR 2021 m.);</w:t>
      </w:r>
    </w:p>
    <w:p w:rsidR="00D83B78" w:rsidRPr="00773DD4" w:rsidRDefault="00D83B78" w:rsidP="00D83B78">
      <w:pPr>
        <w:pStyle w:val="NormalHanging12a"/>
      </w:pPr>
      <w:r w:rsidRPr="00773DD4">
        <w:t>12.</w:t>
      </w:r>
      <w:r w:rsidRPr="00773DD4">
        <w:tab/>
        <w:t>pažymi, kad bendrosios įmonės galutinio turimo biudžeto įvykdymo lygis buvo 72 % įsipareigojimų ir 91 % mokėjimų (palyginti su atitinkamai 99,7 % ir 97,4 % 2021 m.); pažymi, kad žemą įvykdymo lygį lėmė sulėtėjusi tiek ITER-IO, tiek bendrosios įmonės pagrindinė veikla; tai daugiausia susiję su COVID-19 pandemijos padariniais, Rusijos agresijos karu prieš Ukrainą ir pastarojo meto techninio projektavimo problemomis, susijusiomis su dabartiniu surinkimo etapu įgyvendinamame ITER projekte;</w:t>
      </w:r>
    </w:p>
    <w:p w:rsidR="00D83B78" w:rsidRPr="00773DD4" w:rsidRDefault="00D83B78" w:rsidP="00D83B78">
      <w:pPr>
        <w:spacing w:after="240"/>
        <w:ind w:left="570" w:hanging="570"/>
      </w:pPr>
      <w:r w:rsidRPr="00773DD4">
        <w:t>13.</w:t>
      </w:r>
      <w:r w:rsidRPr="00773DD4">
        <w:tab/>
        <w:t>be to, pažymi, kad bendroji įmonė 92 milijonais eurų sumažino veiklos mokėjimų biudžetą sudarydama taisomąjį biudžetą ir dar perkeldama 9,5 milijono eurų sumą iš savo veiklos mokėjimų biudžeto į administracinį (atlyginimų) biudžetą, siekdama finansuoti bendrosios įmonės pensijų fondų įsipareigojimus Komisijai.</w:t>
      </w:r>
    </w:p>
    <w:p w:rsidR="00D83B78" w:rsidRPr="00773DD4" w:rsidRDefault="00D83B78" w:rsidP="00D83B78">
      <w:pPr>
        <w:spacing w:after="240"/>
        <w:ind w:left="570" w:hanging="570"/>
      </w:pPr>
      <w:r w:rsidRPr="00773DD4">
        <w:t>14.</w:t>
      </w:r>
      <w:r w:rsidRPr="00773DD4">
        <w:tab/>
        <w:t>pabrėžia, kad Audito Rūmai laikėsi nuomonės, jog esama bendrosios įmonės administracinio biudžeto vykdymo trūkumų, nes šis biudžetas sudarytas iš neatsietų asignavimų; pažymi, kad dėl to administracinių įsipareigojimų asignavimai, grindžiami administracinėmis sutartimis ir pareigomis, kurias vykdant metų pabaigoje nebuvo atlikti mokėjimai, gali būti perkelti, kad mokėjimai būtų atlikti kitais metais;</w:t>
      </w:r>
    </w:p>
    <w:p w:rsidR="00D83B78" w:rsidRPr="00773DD4" w:rsidRDefault="00D83B78" w:rsidP="00D83B78">
      <w:pPr>
        <w:spacing w:after="240"/>
        <w:ind w:left="570" w:hanging="570"/>
      </w:pPr>
      <w:r w:rsidRPr="00773DD4">
        <w:t>15.</w:t>
      </w:r>
      <w:r w:rsidRPr="00773DD4">
        <w:tab/>
        <w:t>susirūpinęs pažymi, kad 2022 m. pabaigoje 2 antraštinės dalies „Infrastruktūra ir veiklos išlaidos“ įgyvendinimo lygis buvo 63 %, atsižvelgiant tik į naują 2022 m. administracinių mokėjimų biudžetą, ir 69 %, atsižvelgiant ir į nepanaudotą ankstesnių metų administracinių mokėjimų biudžetą, kuris 2022 m. vėl panaudotas įgyvendinimui, ir kad iš praėjusių metų perkeltų įsipareigojimų asignavimų panaikinimo lygis buvo aukštas – vidutiniškai 20 %;</w:t>
      </w:r>
    </w:p>
    <w:p w:rsidR="00D83B78" w:rsidRPr="00773DD4" w:rsidRDefault="00D83B78" w:rsidP="00D83B78">
      <w:pPr>
        <w:spacing w:after="240"/>
      </w:pPr>
      <w:r w:rsidRPr="00773DD4">
        <w:rPr>
          <w:b/>
          <w:i/>
        </w:rPr>
        <w:t>Personalas ir įdarbinimas</w:t>
      </w:r>
    </w:p>
    <w:p w:rsidR="00D83B78" w:rsidRPr="00773DD4" w:rsidRDefault="00D83B78" w:rsidP="00D83B78">
      <w:pPr>
        <w:spacing w:after="240"/>
        <w:ind w:left="570" w:hanging="570"/>
      </w:pPr>
      <w:r w:rsidRPr="00773DD4">
        <w:t>16.</w:t>
      </w:r>
      <w:r w:rsidRPr="00773DD4">
        <w:tab/>
        <w:t>pažymi, kad 2022 m. gruodžio 31 d. bendrojoje įmonėje buvo užimtos 46 pareigūnų, 224 laikinųjų darbuotojų ir 164 sutartininkų pareigybės; be to, pažymi, kad bendrajai įmonei padėjo 12,5 laikinųjų darbuotojų (etato ekvivalentais) ir trys deleguotieji nacionaliniai ekspertai;</w:t>
      </w:r>
    </w:p>
    <w:p w:rsidR="00D83B78" w:rsidRPr="00773DD4" w:rsidRDefault="00D83B78" w:rsidP="00D83B78">
      <w:pPr>
        <w:spacing w:after="240"/>
        <w:ind w:left="570" w:hanging="570"/>
      </w:pPr>
      <w:r w:rsidRPr="00773DD4">
        <w:t>17.</w:t>
      </w:r>
      <w:r w:rsidRPr="00773DD4">
        <w:tab/>
        <w:t>be to, pažymi, kad 2022 m. buvo įdarbinta 11 naujų darbuotojų (šeši laikinieji darbuotojai, keturi sutartininkai ir vienas deleguotasis nacionalinis ekspertas) ir kad, taikant atrankos procedūras, keturi darbuotojai (visi sutartininkai) tapo laikinaisiais darbuotojais;</w:t>
      </w:r>
    </w:p>
    <w:p w:rsidR="00D83B78" w:rsidRPr="00773DD4" w:rsidRDefault="00D83B78" w:rsidP="00D83B78">
      <w:pPr>
        <w:pStyle w:val="NormalHanging12a"/>
      </w:pPr>
      <w:r w:rsidRPr="00773DD4">
        <w:t>18.</w:t>
      </w:r>
      <w:r w:rsidRPr="00773DD4">
        <w:tab/>
        <w:t>pažymi, kad bendroji įmonė šiek tiek pagerino lyčių pusiausvyrą; remdamasis konsoliduotosios metinės veiklos ataskaitos duomenimis pažymi, kad apie 38 % bendrosios įmonės darbuotojų buvo moterys, 62 %. – vyrai; siūlo bendrajai įmonei toliau gerinti lyčių pusiausvyrą ir siekti subalansuotos geografinės pusiausvyros šioje srityje;</w:t>
      </w:r>
    </w:p>
    <w:p w:rsidR="00D83B78" w:rsidRPr="00773DD4" w:rsidRDefault="00D83B78" w:rsidP="00D83B78">
      <w:pPr>
        <w:spacing w:after="240"/>
        <w:ind w:left="570" w:hanging="570"/>
      </w:pPr>
      <w:r w:rsidRPr="00773DD4">
        <w:lastRenderedPageBreak/>
        <w:t>19.</w:t>
      </w:r>
      <w:r w:rsidRPr="00773DD4">
        <w:tab/>
        <w:t>pabrėžia, kad, Audito Rūmų nuomone, bendrosios įmonės padėtis vyresniosios vadovybės lygmeniu išliko nestabili ir kad 2022 m. pabaigoje įvyko reikšmingų permainų, nes 2022 m. birželio mėn. iš darbo išėjus direktoriui ir 2022 m. rugsėjo mėn. Platesnio požiūrio veiklos departamento vadovą paskyrus ITER-IO generaliniu direktoriumi, įvyko personalo pokyčių, susijusių su keturiomis iš septynių bendrosios įmonės vyresniosios vadovybės pareigybių;</w:t>
      </w:r>
    </w:p>
    <w:p w:rsidR="00D83B78" w:rsidRPr="00773DD4" w:rsidRDefault="00D83B78" w:rsidP="00D83B78">
      <w:pPr>
        <w:spacing w:after="240"/>
        <w:ind w:left="570" w:hanging="570"/>
      </w:pPr>
      <w:r w:rsidRPr="00773DD4">
        <w:t>20.</w:t>
      </w:r>
      <w:r w:rsidRPr="00773DD4">
        <w:tab/>
        <w:t>pakartoja Audito Rūmų susirūpinimą, kad dėl šios padėties kyla rizika patikimam bendrosios įmonės valdymui ir tęstinumui, nes šiuo metu reikės patyrusių vyresniosios vadovybės darbuotojų įgyvendinti naujiems ITER pagrindiniams scenarijams, turintiems reikšmingą poveikį bendrajai įmonei veiklai;</w:t>
      </w:r>
    </w:p>
    <w:p w:rsidR="00D83B78" w:rsidRPr="00773DD4" w:rsidRDefault="00D83B78" w:rsidP="00D83B78">
      <w:pPr>
        <w:spacing w:after="240"/>
        <w:ind w:left="570" w:hanging="570"/>
      </w:pPr>
      <w:r w:rsidRPr="00773DD4">
        <w:t>21.</w:t>
      </w:r>
      <w:r w:rsidRPr="00773DD4">
        <w:tab/>
        <w:t>su susirūpinimu atkreipia dėmesį į 2022 m. pradžioje profesinių sąjungų Komisijai adresuotą laišką</w:t>
      </w:r>
      <w:r w:rsidRPr="00773DD4">
        <w:rPr>
          <w:rStyle w:val="FootnoteReference"/>
        </w:rPr>
        <w:footnoteReference w:id="21"/>
      </w:r>
      <w:r w:rsidRPr="00773DD4">
        <w:t>, kuriame aprašomi valdymo ir žmogiškųjų išteklių klausimai ir įspėjama apie šios padėties keliamą riziką tinkamam bendrosios įmonės veikimui, jos darbuotojų gerovei ir ES reputacijai ITER projekte;</w:t>
      </w:r>
    </w:p>
    <w:p w:rsidR="00D83B78" w:rsidRPr="00773DD4" w:rsidRDefault="00D83B78" w:rsidP="00D83B78">
      <w:pPr>
        <w:spacing w:after="240"/>
        <w:rPr>
          <w:b/>
          <w:i/>
        </w:rPr>
      </w:pPr>
      <w:r w:rsidRPr="00773DD4">
        <w:rPr>
          <w:b/>
          <w:i/>
        </w:rPr>
        <w:t>Sukčiavimo ir interesų konfliktų prevencija</w:t>
      </w:r>
    </w:p>
    <w:p w:rsidR="00D83B78" w:rsidRPr="00773DD4" w:rsidRDefault="00D83B78" w:rsidP="00D83B78">
      <w:pPr>
        <w:spacing w:after="240"/>
        <w:ind w:left="570" w:hanging="570"/>
      </w:pPr>
      <w:r w:rsidRPr="00773DD4">
        <w:t>22.</w:t>
      </w:r>
      <w:r w:rsidRPr="00773DD4">
        <w:tab/>
        <w:t>remdamasis 2022 m. konsoliduotąja metine veiklos ataskaita pažymi, kad kovos su sukčiavimu veiksmų plane numatytų veiksmų įgyvendinimas buvo sistemingai stebimas naudojant specialią duomenų bazę (RAPID), kurioje dokumentuota tolesnė pažanga, padaryta įgyvendinant kovos su sukčiavimu veiksmus 2022 m.;</w:t>
      </w:r>
    </w:p>
    <w:p w:rsidR="00D83B78" w:rsidRPr="00773DD4" w:rsidRDefault="00D83B78" w:rsidP="00D83B78">
      <w:pPr>
        <w:spacing w:after="240"/>
        <w:ind w:left="570" w:hanging="570"/>
      </w:pPr>
      <w:r w:rsidRPr="00773DD4">
        <w:t>23.</w:t>
      </w:r>
      <w:r w:rsidRPr="00773DD4">
        <w:tab/>
        <w:t>su pasitenkinimu pažymi, kad kovos su sukčiavimu ir etikos pareigūnas visus metus teikė informaciją ir paramą sukčiavimo prevencijos klausimais darbuotojams, susijusiems su viešaisiais pirkimais, sutarčių valdymu, finansais ir žmogiškųjų išteklių valdymu, ir kad buvo organizuojami informuotumo apie kovą su sukčiavimu didinimo renginiai bendrosios įmonės darbuotojams ir vadovybei, įskaitant mokymus naujiems darbuotojams; pažymi, kad apie įgyvendinimo būklę buvo pranešta Audito komiteto posėdžiuose, be to, bendrosios įmonės darbuotojų, atsakingų už kovą su sukčiavimu, vidaus tinklas buvo informuojamas individualiai ir per reguliarius patikinimo tinklo susitikimus;</w:t>
      </w:r>
    </w:p>
    <w:p w:rsidR="00D83B78" w:rsidRPr="00773DD4" w:rsidRDefault="00D83B78" w:rsidP="00D83B78">
      <w:pPr>
        <w:spacing w:after="240"/>
        <w:ind w:left="570" w:hanging="570"/>
      </w:pPr>
      <w:r w:rsidRPr="00773DD4">
        <w:t>24.</w:t>
      </w:r>
      <w:r w:rsidRPr="00773DD4">
        <w:tab/>
        <w:t>su pasitenkinimu pažymi, kad darbuotojai buvo informuoti apie etikos ir interesų konfliktų prevencijos ir valdymo taisykles, procedūras, procesus ir geriausią patirtį, visų pirma bendrosios įmonės vadove, pateiktame jos intranete;</w:t>
      </w:r>
    </w:p>
    <w:p w:rsidR="00D83B78" w:rsidRPr="00773DD4" w:rsidRDefault="00D83B78" w:rsidP="00D83B78">
      <w:pPr>
        <w:spacing w:after="240"/>
        <w:ind w:left="570" w:hanging="570"/>
      </w:pPr>
      <w:r w:rsidRPr="00773DD4">
        <w:t>25.</w:t>
      </w:r>
      <w:r w:rsidRPr="00773DD4">
        <w:tab/>
        <w:t>palankiai vertina tai, kad nuo 2022 m. visi bendrosios įmonės darbuotojai įpareigoti kasmet pateikti bendrą interesų deklaraciją; deklaracijų skelbimas ir vertinimas dabar valdomas naudojant naujai sukurtą skaitmeninį bendrosios įmonės interesų konfliktų registrą, taip gerinant tolesnius veiksmus ir atsekamumą, taigi ir jos interesų konfliktų prevenciją ir valdymą;</w:t>
      </w:r>
    </w:p>
    <w:p w:rsidR="00D83B78" w:rsidRPr="00773DD4" w:rsidRDefault="00D83B78" w:rsidP="00D83B78">
      <w:pPr>
        <w:spacing w:after="240"/>
      </w:pPr>
      <w:r w:rsidRPr="00773DD4">
        <w:rPr>
          <w:b/>
          <w:i/>
        </w:rPr>
        <w:t>Valdymo ir kontrolės sistemos</w:t>
      </w:r>
    </w:p>
    <w:p w:rsidR="00D83B78" w:rsidRPr="00773DD4" w:rsidRDefault="00D83B78" w:rsidP="00D83B78">
      <w:pPr>
        <w:spacing w:after="240"/>
        <w:ind w:left="570" w:hanging="570"/>
      </w:pPr>
      <w:r w:rsidRPr="00773DD4">
        <w:t>26.</w:t>
      </w:r>
      <w:r w:rsidRPr="00773DD4">
        <w:tab/>
        <w:t xml:space="preserve">susirūpinęs pažymi, kad, Audito Rūmų nuomone, yra bendrosios įmonės sutarčių valdymo trūkumų, kurie turėjo didelį poveikį sutarties tikslų įgyvendinimui; jų nepašalinus, gali būti paveikta ir kita bendrosios įmonės veikla, nes, atnaujinus ITER </w:t>
      </w:r>
      <w:r w:rsidRPr="00773DD4">
        <w:lastRenderedPageBreak/>
        <w:t>projekto pagrindinį scenarijų, gali reikėti atlikti reikšmingus vykdomų sudėtingų sutarčių pakeitimus;</w:t>
      </w:r>
    </w:p>
    <w:p w:rsidR="00D83B78" w:rsidRPr="00773DD4" w:rsidRDefault="00D83B78" w:rsidP="00D83B78">
      <w:pPr>
        <w:spacing w:after="240"/>
        <w:ind w:left="570" w:hanging="570"/>
      </w:pPr>
      <w:r w:rsidRPr="00773DD4">
        <w:t>27.</w:t>
      </w:r>
      <w:r w:rsidRPr="00773DD4">
        <w:tab/>
        <w:t>visų pirma atkreipia dėmesį į 2013 m. bendrosios įmonės pasirašytą 500 milijonų eurų vertės sutartį dėl pastatų ITER branduoliniams ir nebranduoliniams objektams projektavimo ir įrengimo; dėl kilusio susirūpinimo ir nepasitenkinimo rangovo pažanga ir efektyvumu atliekant likusius darbus, susijusius su nebranduoliniams objektams skirtais pastatais, 2020 m. gruodžio mėn. bendroji įmonė ir ITER-IO, padedami išorės teisės ekspertų, įvertino, kokios galėtų būti pasekmės, jei būtų taikomos alternatyvios viešųjų pirkimų strategijos, pavyzdžiui, skelbiamas naujas konkursas dėl įrengimo paslaugų arba likusių darbų perdavimo kitiems rangovams; pažymi, kad 2021 m. vasario mėn. rangovas pateikė iš viso 150 mln. EUR dydžio išlaidų deklaraciją už branduolinio projektavimo ir įrengimo paslaugas, o 2021 m. rugsėjo mėn. – dar vieną išlaidų deklaraciją už likusius 30 mln. EUR vertės darbus, susijusius su nebranduoliniams objektams skirtais pastatais; remdamasis teisės ekspertų atlikta rizikos analize ir grįžtamąja informacija, bendrosios įmonės direktorius su rangovu susitarė tik dėl pirmosios 75 mln. EUR dydžio išlaidų deklaracijos, o antrąją išlaidų deklaraciją, dėl kurios nesusitarta, rangovas užginčijo;</w:t>
      </w:r>
    </w:p>
    <w:p w:rsidR="00D83B78" w:rsidRPr="00773DD4" w:rsidRDefault="00D83B78" w:rsidP="00D83B78">
      <w:pPr>
        <w:spacing w:after="240"/>
        <w:ind w:left="570" w:hanging="570"/>
      </w:pPr>
      <w:r w:rsidRPr="00773DD4">
        <w:t>28.</w:t>
      </w:r>
      <w:r w:rsidRPr="00773DD4">
        <w:tab/>
        <w:t>atkreipia dėmesį į tai, kad, Audito Rūmų teigimu, sutarties įgyvendinimo dokumentų analizė atskleidė trūkumų, susijusių su bendrosios įmonės atliekamu šios sutarties valdymu; visų pirma, Audito Rūmai pabrėžė, kad bendroji įmonė nesugebėjo pranešti apie reikšmingą rangovo darbų planavimo neatitikimą, todėl šalys skirtingai aiškino darbų apimtį, atlikimo terminus ir projekto reikalavimus ir dėl jų nesutarė; be to, teisės ekspertai padarė išvadą, kad dėl atitinkamų nuostatų suformulavimo būdo bendroji įmonė negalėjo nutraukti sutarties tam, kad pati atliktų likusius darbus arba susitartų, kad juos atliktų kiti rangovai; apgailestauja, kad dėl to, jog bendroji įmonė nevykdė projekto apskaitos, ji negalėjo aiškiai nustatyti rangovo įsipareigojimų;</w:t>
      </w:r>
    </w:p>
    <w:p w:rsidR="00D83B78" w:rsidRPr="00773DD4" w:rsidRDefault="00D83B78" w:rsidP="00D83B78">
      <w:pPr>
        <w:spacing w:after="240"/>
        <w:ind w:left="570" w:hanging="570"/>
      </w:pPr>
      <w:r w:rsidRPr="00773DD4">
        <w:t>29.</w:t>
      </w:r>
      <w:r w:rsidRPr="00773DD4">
        <w:tab/>
        <w:t>pažymi, kad 2022 m. konsoliduotojoje metinėje veiklos ataskaitoje teigiama, jog bendroji įmonė toliau įgyvendina pripažintą, brandžią ir gerai veikiančią vidaus kontrolės sistemą; vis dėlto pažymi, jog bendroji įmonė pripažįsta, kad nuo 2022 m. vidurio vykstanti vyresniosios vadovybės (direktorių ir vyresniųjų vadovų) kaita daro tiesioginį poveikį kai kurių veiksmų įgyvendinimui ir bendrosios įmonės organizacinei kultūrai ir kad visiškas iniciatyvų įgyvendinimas bus matomas ne iš karto;</w:t>
      </w:r>
    </w:p>
    <w:p w:rsidR="00D83B78" w:rsidRPr="00773DD4" w:rsidRDefault="00D83B78" w:rsidP="00D83B78">
      <w:pPr>
        <w:spacing w:after="240"/>
        <w:ind w:left="570" w:hanging="570"/>
      </w:pPr>
      <w:r w:rsidRPr="00773DD4">
        <w:t>30.</w:t>
      </w:r>
      <w:r w:rsidRPr="00773DD4">
        <w:tab/>
        <w:t>pripažįsta, kad, taikant atsargumo principą, buvo nustatyti du trūkumai, susiję su išorės paslaugų teikėjais (žmogiškieji ištekliai, kompetencija ir tęstinumas) ir darbuotojų darbo krūviu bei gerove, ir kad bendroji įmonė juos laiko dideliais trūkumais;</w:t>
      </w:r>
    </w:p>
    <w:p w:rsidR="00D83B78" w:rsidRPr="00773DD4" w:rsidRDefault="00D83B78" w:rsidP="00D83B78">
      <w:pPr>
        <w:spacing w:after="240"/>
        <w:ind w:left="570" w:hanging="570"/>
      </w:pPr>
      <w:r w:rsidRPr="00773DD4">
        <w:t>31.</w:t>
      </w:r>
      <w:r w:rsidRPr="00773DD4">
        <w:tab/>
        <w:t>be to, pažymi, kad bendrosios įmonės vyresnioji vadovybė nuolat stebi veiksmus, kurių imamasi tose srityse, kuriose, kaip nustatyta, yra didelių trūkumų, ir mano, kad bendroji įmonė gerokai sumažino susijusią riziką ir parengė konkrečius veiksmų planus, skirtus neišspręstoms problemoms spręsti, taip pagrįsdama 2021 m. išlygos panaikinimą 2022 m.;</w:t>
      </w:r>
    </w:p>
    <w:p w:rsidR="00D83B78" w:rsidRPr="00773DD4" w:rsidRDefault="00D83B78" w:rsidP="00D83B78">
      <w:pPr>
        <w:spacing w:after="240"/>
      </w:pPr>
      <w:r w:rsidRPr="00773DD4">
        <w:rPr>
          <w:b/>
          <w:i/>
        </w:rPr>
        <w:t>Atsižvelgimas į ankstesnių metų pastabas</w:t>
      </w:r>
    </w:p>
    <w:p w:rsidR="00D83B78" w:rsidRPr="00773DD4" w:rsidRDefault="00D83B78" w:rsidP="00D83B78">
      <w:pPr>
        <w:spacing w:after="240"/>
        <w:ind w:left="570" w:hanging="570"/>
      </w:pPr>
      <w:r w:rsidRPr="00773DD4">
        <w:t>32.</w:t>
      </w:r>
      <w:r w:rsidRPr="00773DD4">
        <w:tab/>
        <w:t xml:space="preserve">pažymi, kad bendrųjų įmonių specialiosiose metinėse ataskaitose pateikiamos pastabos iš tiesų yra Audito Rūmų rekomendacijos be laiko nuorodos; pažymi, kad Audito Rūmai kasmet stebi, kaip reaguojama į tas pastabas, įvertindami jų statusą kaip </w:t>
      </w:r>
      <w:r w:rsidRPr="00773DD4">
        <w:lastRenderedPageBreak/>
        <w:t xml:space="preserve">„įgyvendinama“ arba „užbaigta“; </w:t>
      </w:r>
    </w:p>
    <w:p w:rsidR="00D83B78" w:rsidRPr="00773DD4" w:rsidRDefault="00D83B78" w:rsidP="00D83B78">
      <w:pPr>
        <w:spacing w:after="240"/>
        <w:ind w:left="570" w:hanging="570"/>
      </w:pPr>
      <w:r w:rsidRPr="00773DD4">
        <w:t>33.</w:t>
      </w:r>
      <w:r w:rsidRPr="00773DD4">
        <w:tab/>
        <w:t>pažymi, kad iš penkių Audito Rūmų pastabų, pateiktų 2019 ir 2021 m., užbaigtos tik dvi pastabos;</w:t>
      </w:r>
    </w:p>
    <w:p w:rsidR="00D83B78" w:rsidRPr="00773DD4" w:rsidRDefault="00D83B78" w:rsidP="00D83B78">
      <w:pPr>
        <w:spacing w:after="240"/>
        <w:ind w:left="570" w:hanging="570"/>
      </w:pPr>
      <w:r w:rsidRPr="00773DD4">
        <w:t>34.</w:t>
      </w:r>
      <w:r w:rsidRPr="00773DD4">
        <w:tab/>
        <w:t>primena, kad 2019 m. pastaba („įgyvendinama“) pateikta dėl pernelyg didelio išorėje ar viduje samdomų išteklių naudojimo (apie 62 % 2019 m.), dėl kurio bendrajai įmonei kyla didelė rizika, susijusi su kompetencijos pagrindinėse srityse išlaikymu, neaiškia atskaitomybe, galimais teisminiais ginčais ir mažesniu darbuotojų efektyvumu dėl decentralizuoto valdymo;</w:t>
      </w:r>
    </w:p>
    <w:p w:rsidR="00D83B78" w:rsidRPr="00773DD4" w:rsidRDefault="00D83B78" w:rsidP="00D83B78">
      <w:pPr>
        <w:spacing w:after="240"/>
        <w:ind w:left="570" w:hanging="570"/>
      </w:pPr>
      <w:r w:rsidRPr="00773DD4">
        <w:t>35.</w:t>
      </w:r>
      <w:r w:rsidRPr="00773DD4">
        <w:tab/>
        <w:t>pažymi, kad 2022 m. bendroji įmonė įsteigė darbo grupę, kurios užduotis – įvertinti, ar išorės ištekliai naudojami plačiai, siekiant geriau planuoti ir pagrįsti jų poreikį;</w:t>
      </w:r>
    </w:p>
    <w:p w:rsidR="00D83B78" w:rsidRPr="00773DD4" w:rsidRDefault="00D83B78" w:rsidP="00D83B78">
      <w:pPr>
        <w:spacing w:after="240"/>
        <w:ind w:left="570" w:hanging="570"/>
      </w:pPr>
      <w:r w:rsidRPr="00773DD4">
        <w:t>36.</w:t>
      </w:r>
      <w:r w:rsidRPr="00773DD4">
        <w:tab/>
        <w:t>pažymi, kad 2021 m. pastabose („įgyvendinama“), nurodoma, jog i) trūksta įrodymų, kad išorės ekspertų atliekamų reguliarių metinių vertinimų sistema ir intensyvūs vidaus auditai, apimantys daugumą svarbiausių bendrosios įmonės veiklos sričių, yra veiksmingi ir jų poveikis yra teigiamas, kad dėl to padidėjo administracinė našta ir ii) pablogėjo bendrosios įmonės darbo aplinka</w:t>
      </w:r>
      <w:r w:rsidRPr="00773DD4">
        <w:rPr>
          <w:rStyle w:val="FootnoteReference"/>
        </w:rPr>
        <w:footnoteReference w:id="22"/>
      </w:r>
      <w:r w:rsidRPr="00773DD4">
        <w:t>, o dėl neproporcingo išorės personalo išteklių naudojimo padidėjo iššūkiai ir rizika darbo aplinkai;</w:t>
      </w:r>
    </w:p>
    <w:p w:rsidR="00E365E1" w:rsidRPr="00773DD4" w:rsidRDefault="00D83B78" w:rsidP="004D37D8">
      <w:pPr>
        <w:spacing w:after="240"/>
        <w:ind w:left="570" w:hanging="570"/>
      </w:pPr>
      <w:r w:rsidRPr="00773DD4">
        <w:t>37.</w:t>
      </w:r>
      <w:r w:rsidRPr="00773DD4">
        <w:tab/>
        <w:t>pažymi, kad 2022 m., atsižvelgdama į dvi rekomendacijas, pateiktas 10-ojoje metinėje žmogiškųjų išteklių valdymo vertinimo ataskaitoje</w:t>
      </w:r>
      <w:r w:rsidRPr="00773DD4">
        <w:rPr>
          <w:rStyle w:val="FootnoteReference"/>
        </w:rPr>
        <w:footnoteReference w:id="23"/>
      </w:r>
      <w:r w:rsidRPr="00773DD4">
        <w:t>, valdyba patvirtino jų įgyvendinimo veiksmų planą.</w:t>
      </w:r>
      <w:bookmarkStart w:id="9" w:name="TextBodyEnd"/>
      <w:bookmarkEnd w:id="9"/>
    </w:p>
    <w:sectPr w:rsidR="00E365E1" w:rsidRPr="00773DD4" w:rsidSect="00773DD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636" w:rsidRPr="00773DD4" w:rsidRDefault="00291636">
      <w:r w:rsidRPr="00773DD4">
        <w:separator/>
      </w:r>
    </w:p>
  </w:endnote>
  <w:endnote w:type="continuationSeparator" w:id="0">
    <w:p w:rsidR="00291636" w:rsidRPr="00773DD4" w:rsidRDefault="00291636">
      <w:r w:rsidRPr="00773D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B78" w:rsidRPr="00773DD4" w:rsidRDefault="00D83B78" w:rsidP="00BA2A70">
    <w:pPr>
      <w:pStyle w:val="EPFooter"/>
    </w:pPr>
    <w:r w:rsidRPr="00773DD4">
      <w:t>PE</w:t>
    </w:r>
    <w:r w:rsidRPr="00773DD4">
      <w:rPr>
        <w:rStyle w:val="HideTWBExt"/>
      </w:rPr>
      <w:t>&lt;</w:t>
    </w:r>
    <w:proofErr w:type="spellStart"/>
    <w:r w:rsidRPr="00773DD4">
      <w:rPr>
        <w:rStyle w:val="HideTWBExt"/>
      </w:rPr>
      <w:t>NoPE</w:t>
    </w:r>
    <w:proofErr w:type="spellEnd"/>
    <w:r w:rsidRPr="00773DD4">
      <w:rPr>
        <w:rStyle w:val="HideTWBExt"/>
      </w:rPr>
      <w:t>&gt;</w:t>
    </w:r>
    <w:r w:rsidRPr="00773DD4">
      <w:t>753.493</w:t>
    </w:r>
    <w:r w:rsidRPr="00773DD4">
      <w:rPr>
        <w:rStyle w:val="HideTWBExt"/>
      </w:rPr>
      <w:t>&lt;/</w:t>
    </w:r>
    <w:proofErr w:type="spellStart"/>
    <w:r w:rsidRPr="00773DD4">
      <w:rPr>
        <w:rStyle w:val="HideTWBExt"/>
      </w:rPr>
      <w:t>NoPE</w:t>
    </w:r>
    <w:proofErr w:type="spellEnd"/>
    <w:r w:rsidRPr="00773DD4">
      <w:rPr>
        <w:rStyle w:val="HideTWBExt"/>
      </w:rPr>
      <w:t>&gt;&lt;Version&gt;</w:t>
    </w:r>
    <w:r w:rsidRPr="00773DD4">
      <w:t>v02-00</w:t>
    </w:r>
    <w:r w:rsidRPr="00773DD4">
      <w:rPr>
        <w:rStyle w:val="HideTWBExt"/>
      </w:rPr>
      <w:t>&lt;/</w:t>
    </w:r>
    <w:proofErr w:type="spellStart"/>
    <w:r w:rsidRPr="00773DD4">
      <w:rPr>
        <w:rStyle w:val="HideTWBExt"/>
      </w:rPr>
      <w:t>Version</w:t>
    </w:r>
    <w:proofErr w:type="spellEnd"/>
    <w:r w:rsidRPr="00773DD4">
      <w:rPr>
        <w:rStyle w:val="HideTWBExt"/>
      </w:rPr>
      <w:t>&gt;</w:t>
    </w:r>
    <w:r w:rsidRPr="00773DD4">
      <w:tab/>
    </w:r>
    <w:r w:rsidRPr="00773DD4">
      <w:fldChar w:fldCharType="begin"/>
    </w:r>
    <w:r w:rsidRPr="00773DD4">
      <w:instrText xml:space="preserve"> PAGE  \* MERGEFORMAT </w:instrText>
    </w:r>
    <w:r w:rsidRPr="00773DD4">
      <w:fldChar w:fldCharType="separate"/>
    </w:r>
    <w:r w:rsidRPr="00773DD4">
      <w:rPr>
        <w:noProof/>
      </w:rPr>
      <w:t>4</w:t>
    </w:r>
    <w:r w:rsidRPr="00773DD4">
      <w:fldChar w:fldCharType="end"/>
    </w:r>
    <w:r w:rsidRPr="00773DD4">
      <w:t>/</w:t>
    </w:r>
    <w:fldSimple w:instr=" NUMPAGES  \* MERGEFORMAT ">
      <w:r w:rsidRPr="00773DD4">
        <w:rPr>
          <w:noProof/>
        </w:rPr>
        <w:t>4</w:t>
      </w:r>
    </w:fldSimple>
    <w:r w:rsidRPr="00773DD4">
      <w:tab/>
    </w:r>
    <w:r w:rsidRPr="00773DD4">
      <w:rPr>
        <w:rStyle w:val="HideTWBExt"/>
      </w:rPr>
      <w:t>&lt;PathFdR&gt;</w:t>
    </w:r>
    <w:r w:rsidRPr="00773DD4">
      <w:t>RR\1298723LT.docx</w:t>
    </w:r>
    <w:r w:rsidRPr="00773DD4">
      <w:rPr>
        <w:rStyle w:val="HideTWBExt"/>
      </w:rPr>
      <w:t>&lt;/</w:t>
    </w:r>
    <w:proofErr w:type="spellStart"/>
    <w:r w:rsidRPr="00773DD4">
      <w:rPr>
        <w:rStyle w:val="HideTWBExt"/>
      </w:rPr>
      <w:t>PathFdR</w:t>
    </w:r>
    <w:proofErr w:type="spellEnd"/>
    <w:r w:rsidRPr="00773DD4">
      <w:rPr>
        <w:rStyle w:val="HideTWBExt"/>
      </w:rPr>
      <w:t>&gt;</w:t>
    </w:r>
  </w:p>
  <w:p w:rsidR="00D83B78" w:rsidRPr="00773DD4" w:rsidRDefault="00D83B78" w:rsidP="00BA2A70">
    <w:pPr>
      <w:pStyle w:val="EPFooter2"/>
    </w:pPr>
    <w:r w:rsidRPr="00773DD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B78" w:rsidRPr="00773DD4" w:rsidRDefault="00D83B78" w:rsidP="00BA2A70">
    <w:pPr>
      <w:pStyle w:val="EPFooter"/>
    </w:pPr>
    <w:r w:rsidRPr="00773DD4">
      <w:rPr>
        <w:rStyle w:val="HideTWBExt"/>
      </w:rPr>
      <w:t>&lt;PathFdR&gt;</w:t>
    </w:r>
    <w:r w:rsidRPr="00773DD4">
      <w:t>RR\1298723LT.docx</w:t>
    </w:r>
    <w:r w:rsidRPr="00773DD4">
      <w:rPr>
        <w:rStyle w:val="HideTWBExt"/>
      </w:rPr>
      <w:t>&lt;/</w:t>
    </w:r>
    <w:proofErr w:type="spellStart"/>
    <w:r w:rsidRPr="00773DD4">
      <w:rPr>
        <w:rStyle w:val="HideTWBExt"/>
      </w:rPr>
      <w:t>PathFdR</w:t>
    </w:r>
    <w:proofErr w:type="spellEnd"/>
    <w:r w:rsidRPr="00773DD4">
      <w:rPr>
        <w:rStyle w:val="HideTWBExt"/>
      </w:rPr>
      <w:t>&gt;</w:t>
    </w:r>
    <w:r w:rsidRPr="00773DD4">
      <w:tab/>
    </w:r>
    <w:r w:rsidRPr="00773DD4">
      <w:tab/>
      <w:t>PE</w:t>
    </w:r>
    <w:r w:rsidRPr="00773DD4">
      <w:rPr>
        <w:rStyle w:val="HideTWBExt"/>
      </w:rPr>
      <w:t>&lt;</w:t>
    </w:r>
    <w:proofErr w:type="spellStart"/>
    <w:r w:rsidRPr="00773DD4">
      <w:rPr>
        <w:rStyle w:val="HideTWBExt"/>
      </w:rPr>
      <w:t>NoPE</w:t>
    </w:r>
    <w:proofErr w:type="spellEnd"/>
    <w:r w:rsidRPr="00773DD4">
      <w:rPr>
        <w:rStyle w:val="HideTWBExt"/>
      </w:rPr>
      <w:t>&gt;</w:t>
    </w:r>
    <w:r w:rsidRPr="00773DD4">
      <w:t>753.493</w:t>
    </w:r>
    <w:r w:rsidRPr="00773DD4">
      <w:rPr>
        <w:rStyle w:val="HideTWBExt"/>
      </w:rPr>
      <w:t>&lt;/</w:t>
    </w:r>
    <w:proofErr w:type="spellStart"/>
    <w:r w:rsidRPr="00773DD4">
      <w:rPr>
        <w:rStyle w:val="HideTWBExt"/>
      </w:rPr>
      <w:t>NoPE</w:t>
    </w:r>
    <w:proofErr w:type="spellEnd"/>
    <w:r w:rsidRPr="00773DD4">
      <w:rPr>
        <w:rStyle w:val="HideTWBExt"/>
      </w:rPr>
      <w:t>&gt;&lt;Version&gt;</w:t>
    </w:r>
    <w:r w:rsidRPr="00773DD4">
      <w:t>v02-00</w:t>
    </w:r>
    <w:r w:rsidRPr="00773DD4">
      <w:rPr>
        <w:rStyle w:val="HideTWBExt"/>
      </w:rPr>
      <w:t>&lt;/</w:t>
    </w:r>
    <w:proofErr w:type="spellStart"/>
    <w:r w:rsidRPr="00773DD4">
      <w:rPr>
        <w:rStyle w:val="HideTWBExt"/>
      </w:rPr>
      <w:t>Version</w:t>
    </w:r>
    <w:proofErr w:type="spellEnd"/>
    <w:r w:rsidRPr="00773DD4">
      <w:rPr>
        <w:rStyle w:val="HideTWBExt"/>
      </w:rPr>
      <w:t>&gt;</w:t>
    </w:r>
  </w:p>
  <w:p w:rsidR="00D83B78" w:rsidRPr="00773DD4" w:rsidRDefault="00D83B78" w:rsidP="00BA2A70">
    <w:pPr>
      <w:pStyle w:val="EPFooter2"/>
    </w:pPr>
    <w:r w:rsidRPr="00773DD4">
      <w:t>LT</w:t>
    </w:r>
    <w:r w:rsidRPr="00773DD4">
      <w:tab/>
    </w:r>
    <w:r w:rsidRPr="00773DD4">
      <w:rPr>
        <w:b w:val="0"/>
        <w:i/>
        <w:color w:val="C0C0C0"/>
        <w:sz w:val="22"/>
      </w:rPr>
      <w:t>Suvienijusi įvairovę</w:t>
    </w:r>
    <w:r w:rsidRPr="00773DD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3DD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3DD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3D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636" w:rsidRPr="00773DD4" w:rsidRDefault="00291636">
      <w:r w:rsidRPr="00773DD4">
        <w:separator/>
      </w:r>
    </w:p>
  </w:footnote>
  <w:footnote w:type="continuationSeparator" w:id="0">
    <w:p w:rsidR="00291636" w:rsidRPr="00773DD4" w:rsidRDefault="00291636">
      <w:r w:rsidRPr="00773DD4">
        <w:continuationSeparator/>
      </w:r>
    </w:p>
  </w:footnote>
  <w:footnote w:id="1">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C, C/2023/1025, 2023 11 16.</w:t>
      </w:r>
    </w:p>
  </w:footnote>
  <w:footnote w:id="2">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C, C/2023/112, 2023 10 12.</w:t>
      </w:r>
    </w:p>
  </w:footnote>
  <w:footnote w:id="3">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L 193, 2018 7 30, p. 1.</w:t>
      </w:r>
    </w:p>
  </w:footnote>
  <w:footnote w:id="4">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L 90, 2007 3 30, p. 58.</w:t>
      </w:r>
    </w:p>
  </w:footnote>
  <w:footnote w:id="5">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L 122, 2019 5 10, p. 1.</w:t>
      </w:r>
    </w:p>
  </w:footnote>
  <w:footnote w:id="6">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C, C/2023/1025, 2023 11 16.</w:t>
      </w:r>
    </w:p>
  </w:footnote>
  <w:footnote w:id="7">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C, C/2023/112, 2023 10 12.</w:t>
      </w:r>
    </w:p>
  </w:footnote>
  <w:footnote w:id="8">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L 193, 2018 7 30, p. 1.</w:t>
      </w:r>
    </w:p>
  </w:footnote>
  <w:footnote w:id="9">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L 90, 2007 3 30, p. 58.</w:t>
      </w:r>
    </w:p>
  </w:footnote>
  <w:footnote w:id="10">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L 122, 2019 5 10, p. 1.</w:t>
      </w:r>
    </w:p>
  </w:footnote>
  <w:footnote w:id="11">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OL L 90, 2007 3 30, p. 58.</w:t>
      </w:r>
    </w:p>
  </w:footnote>
  <w:footnote w:id="12">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Euratomo narės yra ES valstybės narės ir asocijuotosios valstybės Šveicarija ir Jungtinė Karalystė (iki 2020 m.).</w:t>
      </w:r>
    </w:p>
  </w:footnote>
  <w:footnote w:id="13">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 xml:space="preserve">Pagrindiniai branduolių sintezės įrenginiai yra </w:t>
      </w:r>
      <w:proofErr w:type="spellStart"/>
      <w:r w:rsidRPr="00773DD4">
        <w:rPr>
          <w:sz w:val="24"/>
          <w:lang w:val="lt-LT"/>
        </w:rPr>
        <w:t>Kadaraše</w:t>
      </w:r>
      <w:proofErr w:type="spellEnd"/>
      <w:r w:rsidRPr="00773DD4">
        <w:rPr>
          <w:sz w:val="24"/>
          <w:lang w:val="lt-LT"/>
        </w:rPr>
        <w:t>, Prancūzijoje, o bendrosios įmonės būstinė – Barselonoje.</w:t>
      </w:r>
    </w:p>
  </w:footnote>
  <w:footnote w:id="14">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 xml:space="preserve">ITER dokumentai „ITER statybos, eksploatavimo, </w:t>
      </w:r>
      <w:proofErr w:type="spellStart"/>
      <w:r w:rsidRPr="00773DD4">
        <w:rPr>
          <w:sz w:val="24"/>
          <w:lang w:val="lt-LT"/>
        </w:rPr>
        <w:t>deaktyvavimo</w:t>
      </w:r>
      <w:proofErr w:type="spellEnd"/>
      <w:r w:rsidRPr="00773DD4">
        <w:rPr>
          <w:sz w:val="24"/>
          <w:lang w:val="lt-LT"/>
        </w:rPr>
        <w:t xml:space="preserve"> ir eksploatavimo nutraukimo etapų vertės įverčiai ir šalių įnašų forma“ ir „Visų ITER projekto etapų sąnaudų pasidalijimas“. </w:t>
      </w:r>
    </w:p>
  </w:footnote>
  <w:footnote w:id="15">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Sąmatos grindžiamos</w:t>
      </w:r>
      <w:r w:rsidR="00C67311">
        <w:rPr>
          <w:sz w:val="24"/>
          <w:lang w:val="lt-LT"/>
        </w:rPr>
        <w:t xml:space="preserve"> Komisijos komunikatu COM(2017)0</w:t>
      </w:r>
      <w:r w:rsidRPr="00773DD4">
        <w:rPr>
          <w:sz w:val="24"/>
          <w:lang w:val="lt-LT"/>
        </w:rPr>
        <w:t>319 ir susijusiu Komisijos tarny</w:t>
      </w:r>
      <w:r w:rsidR="00C67311">
        <w:rPr>
          <w:sz w:val="24"/>
          <w:lang w:val="lt-LT"/>
        </w:rPr>
        <w:t>bų darbiniu dokumentu SWD(2017)0</w:t>
      </w:r>
      <w:r w:rsidRPr="00773DD4">
        <w:rPr>
          <w:sz w:val="24"/>
          <w:lang w:val="lt-LT"/>
        </w:rPr>
        <w:t>232, 4 lentelė.</w:t>
      </w:r>
    </w:p>
  </w:footnote>
  <w:footnote w:id="16">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Jungtinė Karalystė iš Sąjungos ir Euratomo išstojo 2020 m. sausio 31 d. Dėl Sąjungos (Euratomo) ir JK prekybos ir bendradarbiavimo s</w:t>
      </w:r>
      <w:bookmarkStart w:id="8" w:name="_GoBack"/>
      <w:bookmarkEnd w:id="8"/>
      <w:r w:rsidRPr="00773DD4">
        <w:rPr>
          <w:sz w:val="24"/>
          <w:lang w:val="lt-LT"/>
        </w:rPr>
        <w:t>usitarimo buvo susitarta 2020 m. gruodžio 30 d. Šiuo susitarimu nustatoma, kad Jungtinė Karalystė dalyvaus I protokole išvardytose Sąjungos programose, įskaitant Euratomo mokslinių tyrimų ir mokymo programą ir bendrosios įmonės ITER veiklą, ir prie jų prisidės. Tačiau, kol šalys nesusitars dėl šio protokolo, Jungtinė Karalystė nebus susijusi su bendrosios įmonės ITER veikla ir nebus bendrosios įmonės nare. Kalbant apie Šveicariją, susitarimas nebuvo automatiškai pratęstas, todėl jis nustojo galioti 2020 m.</w:t>
      </w:r>
    </w:p>
  </w:footnote>
  <w:footnote w:id="17">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hyperlink r:id="rId1" w:history="1">
        <w:r w:rsidR="009B07D1" w:rsidRPr="009B07D1">
          <w:rPr>
            <w:rStyle w:val="Hyperlink"/>
            <w:sz w:val="24"/>
            <w:lang w:val="lt-LT"/>
          </w:rPr>
          <w:t>https://www.iter.org/doc/www/content/com/Lists/list_items/Attachments/</w:t>
        </w:r>
        <w:r w:rsidR="009B07D1" w:rsidRPr="009B07D1">
          <w:rPr>
            <w:rStyle w:val="Hyperlink"/>
            <w:sz w:val="24"/>
            <w:lang w:val="lt-LT"/>
          </w:rPr>
          <w:br/>
        </w:r>
        <w:r w:rsidR="009B07D1" w:rsidRPr="0001710C">
          <w:rPr>
            <w:rStyle w:val="Hyperlink"/>
            <w:sz w:val="24"/>
            <w:lang w:val="lt-LT"/>
          </w:rPr>
          <w:t>1061/2022_11_IC-31.pdf</w:t>
        </w:r>
      </w:hyperlink>
      <w:r w:rsidRPr="00773DD4">
        <w:rPr>
          <w:sz w:val="24"/>
          <w:lang w:val="lt-LT"/>
        </w:rPr>
        <w:t xml:space="preserve"> </w:t>
      </w:r>
    </w:p>
  </w:footnote>
  <w:footnote w:id="18">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hyperlink r:id="rId2" w:history="1">
        <w:r w:rsidR="009B07D1" w:rsidRPr="009B07D1">
          <w:rPr>
            <w:rStyle w:val="Hyperlink"/>
            <w:sz w:val="24"/>
            <w:lang w:val="lt-LT"/>
          </w:rPr>
          <w:t>https://www.iter.org/doc/www/content/com/Lists/list_items/Attachments/</w:t>
        </w:r>
        <w:r w:rsidR="009B07D1" w:rsidRPr="0001710C">
          <w:rPr>
            <w:rStyle w:val="Hyperlink"/>
            <w:sz w:val="24"/>
            <w:lang w:val="lt-LT"/>
          </w:rPr>
          <w:br/>
          <w:t>1115/2023_06_IC-32.pdf</w:t>
        </w:r>
      </w:hyperlink>
      <w:r w:rsidRPr="00773DD4">
        <w:rPr>
          <w:sz w:val="24"/>
          <w:lang w:val="lt-LT"/>
        </w:rPr>
        <w:t xml:space="preserve"> </w:t>
      </w:r>
    </w:p>
  </w:footnote>
  <w:footnote w:id="19">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Prancūzijos branduolinės saugos institucija (ASN) turi galutinius įgaliojimus ir palaiko ryšius tik su Tarptautine ITER branduolio sintezės energijos organizacija (ITER-IO), ir bet kokie pakeitimai, kurių gali reikėti ateityje, gali turėti didelį poveikį išlaidoms. 2022 m. sausio mėn. ASN visiškai sustabdė ITER surinkimą, kol ITER galės įrodyti, kad gali užtikrinti darbuotojų saugumą;</w:t>
      </w:r>
    </w:p>
  </w:footnote>
  <w:footnote w:id="20">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Komisija, ITER veiklos rezultatai, 2023 m.</w:t>
      </w:r>
    </w:p>
  </w:footnote>
  <w:footnote w:id="21">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hyperlink r:id="rId3" w:history="1">
        <w:r w:rsidRPr="00773DD4">
          <w:rPr>
            <w:rStyle w:val="Hyperlink"/>
            <w:sz w:val="24"/>
            <w:lang w:val="lt-LT"/>
          </w:rPr>
          <w:t>https://u4unity.eu/link/Topic_91_F4E.pdf</w:t>
        </w:r>
      </w:hyperlink>
      <w:r w:rsidRPr="00773DD4">
        <w:rPr>
          <w:sz w:val="24"/>
          <w:lang w:val="lt-LT"/>
        </w:rPr>
        <w:t xml:space="preserve"> </w:t>
      </w:r>
    </w:p>
  </w:footnote>
  <w:footnote w:id="22">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Pagrindinės priežastys yra trūkumai vyresniosios vadovybės lygmeniu, pvz., neskaidrus ir neveiksmingas sprendimų priėmimas ir socialinio dialogo stoka.</w:t>
      </w:r>
    </w:p>
  </w:footnote>
  <w:footnote w:id="23">
    <w:p w:rsidR="00D83B78" w:rsidRPr="00773DD4" w:rsidRDefault="00D83B78" w:rsidP="00773DD4">
      <w:pPr>
        <w:pStyle w:val="FootnoteText"/>
        <w:ind w:left="567" w:hanging="567"/>
        <w:rPr>
          <w:sz w:val="24"/>
          <w:lang w:val="lt-LT"/>
        </w:rPr>
      </w:pPr>
      <w:r w:rsidRPr="00773DD4">
        <w:rPr>
          <w:rStyle w:val="FootnoteReference"/>
          <w:sz w:val="24"/>
          <w:lang w:val="lt-LT"/>
        </w:rPr>
        <w:footnoteRef/>
      </w:r>
      <w:r w:rsidR="00773DD4" w:rsidRPr="00773DD4">
        <w:rPr>
          <w:sz w:val="24"/>
          <w:lang w:val="lt-LT"/>
        </w:rPr>
        <w:t xml:space="preserve"> </w:t>
      </w:r>
      <w:r w:rsidR="00773DD4" w:rsidRPr="00773DD4">
        <w:rPr>
          <w:sz w:val="24"/>
          <w:lang w:val="lt-LT"/>
        </w:rPr>
        <w:tab/>
      </w:r>
      <w:r w:rsidRPr="00773DD4">
        <w:rPr>
          <w:sz w:val="24"/>
          <w:lang w:val="lt-LT"/>
        </w:rPr>
        <w:t>56-asis valdybos posėdis, vykęs 2022 m. liepos 7–8 d. Barselonoje.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3D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3D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3D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LT"/>
    <w:docVar w:name="dvnumam" w:val="0"/>
    <w:docVar w:name="dvpe" w:val="753.493"/>
    <w:docVar w:name="dvrapporteur" w:val="Pranešėjas: "/>
    <w:docVar w:name="dvtitre" w:val="Europos Parlamento sprendimas dėl Europos ITER įgyvendinimo ir branduolių sintezės energetikos vystymo bendrosios įmonės (Branduolių sintezės energetikos vystymo bendrosios įmonės) 2022 finansinių metų biudžeto įvykdymo patvirtinimo(2023/2178(DEC))"/>
  </w:docVars>
  <w:rsids>
    <w:rsidRoot w:val="00291636"/>
    <w:rsid w:val="00002272"/>
    <w:rsid w:val="00064002"/>
    <w:rsid w:val="000677B9"/>
    <w:rsid w:val="000831BA"/>
    <w:rsid w:val="000A42CC"/>
    <w:rsid w:val="000E7DD9"/>
    <w:rsid w:val="0010095E"/>
    <w:rsid w:val="00125B37"/>
    <w:rsid w:val="00187494"/>
    <w:rsid w:val="001F32AE"/>
    <w:rsid w:val="002767FF"/>
    <w:rsid w:val="0029163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A20"/>
    <w:rsid w:val="004D37D8"/>
    <w:rsid w:val="0050519A"/>
    <w:rsid w:val="005072A1"/>
    <w:rsid w:val="00514517"/>
    <w:rsid w:val="00545827"/>
    <w:rsid w:val="00560270"/>
    <w:rsid w:val="00594CC6"/>
    <w:rsid w:val="005C2568"/>
    <w:rsid w:val="006037C0"/>
    <w:rsid w:val="006631B6"/>
    <w:rsid w:val="00680577"/>
    <w:rsid w:val="006F74FA"/>
    <w:rsid w:val="00731ADD"/>
    <w:rsid w:val="00734777"/>
    <w:rsid w:val="00747932"/>
    <w:rsid w:val="00751A4A"/>
    <w:rsid w:val="00756632"/>
    <w:rsid w:val="00762C74"/>
    <w:rsid w:val="00773DD4"/>
    <w:rsid w:val="00786EC0"/>
    <w:rsid w:val="007D1690"/>
    <w:rsid w:val="007E22AD"/>
    <w:rsid w:val="00817416"/>
    <w:rsid w:val="0081745A"/>
    <w:rsid w:val="00842779"/>
    <w:rsid w:val="00865F67"/>
    <w:rsid w:val="00881A7B"/>
    <w:rsid w:val="008840E5"/>
    <w:rsid w:val="00887B3E"/>
    <w:rsid w:val="008C2AC6"/>
    <w:rsid w:val="00930C23"/>
    <w:rsid w:val="0093193B"/>
    <w:rsid w:val="009509D8"/>
    <w:rsid w:val="00950B64"/>
    <w:rsid w:val="00964ECF"/>
    <w:rsid w:val="00981893"/>
    <w:rsid w:val="009B07D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311"/>
    <w:rsid w:val="00C941CB"/>
    <w:rsid w:val="00CC2357"/>
    <w:rsid w:val="00CC69E1"/>
    <w:rsid w:val="00CF071A"/>
    <w:rsid w:val="00D058B8"/>
    <w:rsid w:val="00D56C11"/>
    <w:rsid w:val="00D834A0"/>
    <w:rsid w:val="00D83B78"/>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111C52"/>
  <w15:chartTrackingRefBased/>
  <w15:docId w15:val="{894F2817-EEA1-4DA9-995A-C50D05E8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3B7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83B78"/>
    <w:pPr>
      <w:spacing w:before="480" w:after="240"/>
    </w:pPr>
  </w:style>
  <w:style w:type="paragraph" w:customStyle="1" w:styleId="PageHeading">
    <w:name w:val="PageHeading"/>
    <w:basedOn w:val="Normal"/>
    <w:rsid w:val="00D83B78"/>
    <w:pPr>
      <w:keepNext/>
      <w:spacing w:after="480"/>
      <w:jc w:val="center"/>
    </w:pPr>
    <w:rPr>
      <w:rFonts w:ascii="Arial" w:hAnsi="Arial" w:cs="Arial"/>
      <w:b/>
    </w:rPr>
  </w:style>
  <w:style w:type="paragraph" w:customStyle="1" w:styleId="NormalBold">
    <w:name w:val="NormalBold"/>
    <w:basedOn w:val="Normal"/>
    <w:rsid w:val="00D83B78"/>
    <w:rPr>
      <w:b/>
    </w:rPr>
  </w:style>
  <w:style w:type="paragraph" w:customStyle="1" w:styleId="NormalHanging12a">
    <w:name w:val="NormalHanging12a"/>
    <w:basedOn w:val="Normal"/>
    <w:link w:val="NormalHanging12aChar"/>
    <w:rsid w:val="00D83B78"/>
    <w:pPr>
      <w:spacing w:after="240"/>
      <w:ind w:left="567" w:hanging="567"/>
    </w:pPr>
  </w:style>
  <w:style w:type="paragraph" w:styleId="Header">
    <w:name w:val="header"/>
    <w:basedOn w:val="Normal"/>
    <w:link w:val="HeaderChar"/>
    <w:rsid w:val="00D83B78"/>
    <w:pPr>
      <w:tabs>
        <w:tab w:val="center" w:pos="4513"/>
        <w:tab w:val="right" w:pos="9026"/>
      </w:tabs>
    </w:pPr>
  </w:style>
  <w:style w:type="character" w:customStyle="1" w:styleId="HeaderChar">
    <w:name w:val="Header Char"/>
    <w:basedOn w:val="DefaultParagraphFont"/>
    <w:link w:val="Header"/>
    <w:rsid w:val="00D83B78"/>
    <w:rPr>
      <w:sz w:val="24"/>
      <w:lang w:val="lt-LT"/>
    </w:rPr>
  </w:style>
  <w:style w:type="paragraph" w:customStyle="1" w:styleId="EPFooter">
    <w:name w:val="EPFooter"/>
    <w:basedOn w:val="Normal"/>
    <w:rsid w:val="00D83B78"/>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D83B78"/>
    <w:rPr>
      <w:color w:val="0563C1" w:themeColor="hyperlink"/>
      <w:u w:val="single"/>
    </w:rPr>
  </w:style>
  <w:style w:type="character" w:customStyle="1" w:styleId="NormalHanging12aChar">
    <w:name w:val="NormalHanging12a Char"/>
    <w:basedOn w:val="DefaultParagraphFont"/>
    <w:link w:val="NormalHanging12a"/>
    <w:rsid w:val="00D83B78"/>
    <w:rPr>
      <w:sz w:val="24"/>
      <w:lang w:val="lt-LT"/>
    </w:rPr>
  </w:style>
  <w:style w:type="paragraph" w:styleId="Footer">
    <w:name w:val="footer"/>
    <w:basedOn w:val="Normal"/>
    <w:link w:val="FooterChar"/>
    <w:rsid w:val="004D37D8"/>
    <w:pPr>
      <w:tabs>
        <w:tab w:val="center" w:pos="4513"/>
        <w:tab w:val="right" w:pos="9026"/>
      </w:tabs>
    </w:pPr>
  </w:style>
  <w:style w:type="character" w:customStyle="1" w:styleId="FooterChar">
    <w:name w:val="Footer Char"/>
    <w:basedOn w:val="DefaultParagraphFont"/>
    <w:link w:val="Footer"/>
    <w:rsid w:val="004D37D8"/>
    <w:rPr>
      <w:sz w:val="24"/>
      <w:lang w:val="lt-LT"/>
    </w:rPr>
  </w:style>
  <w:style w:type="paragraph" w:styleId="BalloonText">
    <w:name w:val="Balloon Text"/>
    <w:basedOn w:val="Normal"/>
    <w:link w:val="BalloonTextChar"/>
    <w:rsid w:val="009B07D1"/>
    <w:rPr>
      <w:rFonts w:ascii="Segoe UI" w:hAnsi="Segoe UI" w:cs="Segoe UI"/>
      <w:sz w:val="18"/>
      <w:szCs w:val="18"/>
    </w:rPr>
  </w:style>
  <w:style w:type="character" w:customStyle="1" w:styleId="BalloonTextChar">
    <w:name w:val="Balloon Text Char"/>
    <w:basedOn w:val="DefaultParagraphFont"/>
    <w:link w:val="BalloonText"/>
    <w:rsid w:val="009B07D1"/>
    <w:rPr>
      <w:rFonts w:ascii="Segoe UI" w:hAnsi="Segoe UI" w:cs="Segoe UI"/>
      <w:sz w:val="18"/>
      <w:szCs w:val="18"/>
      <w:lang w:val="lt-LT"/>
    </w:rPr>
  </w:style>
  <w:style w:type="character" w:styleId="FollowedHyperlink">
    <w:name w:val="FollowedHyperlink"/>
    <w:basedOn w:val="DefaultParagraphFont"/>
    <w:rsid w:val="009B07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1AEB4-DC2C-45B4-B014-675F3335B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3155</Words>
  <Characters>21085</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2024-05-14T21:00:00Z</dcterms:created>
  <dcterms:modified xsi:type="dcterms:W3CDTF">2024-05-14T21:00:00Z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P9_TA(2024)0270_</vt:lpwstr>
  </property>
  <property fmtid="{D5CDD505-2E9C-101B-9397-08002B2CF9AE}" pid="4" name="&lt;Type&gt;">
    <vt:lpwstr>RR</vt:lpwstr>
  </property>
</Properties>
</file>