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3998" w:rsidTr="0010095E">
        <w:trPr>
          <w:trHeight w:hRule="exact" w:val="1418"/>
        </w:trPr>
        <w:tc>
          <w:tcPr>
            <w:tcW w:w="6804" w:type="dxa"/>
            <w:shd w:val="clear" w:color="auto" w:fill="auto"/>
            <w:vAlign w:val="center"/>
          </w:tcPr>
          <w:p w:rsidR="00751A4A" w:rsidRPr="000B3998" w:rsidRDefault="00075872" w:rsidP="0010095E">
            <w:pPr>
              <w:pStyle w:val="EPName"/>
            </w:pPr>
            <w:r w:rsidRPr="000B3998">
              <w:t>Eiropas Parlaments</w:t>
            </w:r>
          </w:p>
          <w:p w:rsidR="00751A4A" w:rsidRPr="000B3998" w:rsidRDefault="00817416" w:rsidP="00756632">
            <w:pPr>
              <w:pStyle w:val="EPTerm"/>
              <w:rPr>
                <w:rStyle w:val="HideTWBExt"/>
                <w:noProof w:val="0"/>
                <w:vanish w:val="0"/>
                <w:color w:val="auto"/>
              </w:rPr>
            </w:pPr>
            <w:r w:rsidRPr="000B3998">
              <w:t>2019-2024</w:t>
            </w:r>
          </w:p>
        </w:tc>
        <w:tc>
          <w:tcPr>
            <w:tcW w:w="2268" w:type="dxa"/>
            <w:shd w:val="clear" w:color="auto" w:fill="auto"/>
          </w:tcPr>
          <w:p w:rsidR="00751A4A" w:rsidRPr="000B3998" w:rsidRDefault="00187494" w:rsidP="0010095E">
            <w:pPr>
              <w:pStyle w:val="EPLogo"/>
            </w:pPr>
            <w:r w:rsidRPr="000B399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3998" w:rsidRDefault="00D058B8" w:rsidP="004C5D52">
      <w:pPr>
        <w:pStyle w:val="LineTop"/>
      </w:pPr>
    </w:p>
    <w:p w:rsidR="00680577" w:rsidRPr="000B3998" w:rsidRDefault="00075872" w:rsidP="00680577">
      <w:pPr>
        <w:pStyle w:val="EPBodyTA1"/>
      </w:pPr>
      <w:r w:rsidRPr="000B3998">
        <w:t>PIEŅEMTIE TEKSTI</w:t>
      </w:r>
    </w:p>
    <w:p w:rsidR="00D058B8" w:rsidRPr="000B3998" w:rsidRDefault="00D058B8" w:rsidP="00D058B8">
      <w:pPr>
        <w:pStyle w:val="LineBottom"/>
      </w:pPr>
    </w:p>
    <w:p w:rsidR="00075872" w:rsidRPr="000B3998" w:rsidRDefault="00075872" w:rsidP="00075872">
      <w:pPr>
        <w:pStyle w:val="ATHeading1"/>
      </w:pPr>
      <w:bookmarkStart w:id="0" w:name="TANumber"/>
      <w:r w:rsidRPr="000B3998">
        <w:t>P9_TA(2024)0</w:t>
      </w:r>
      <w:r w:rsidR="000B3998" w:rsidRPr="000B3998">
        <w:t>270</w:t>
      </w:r>
      <w:bookmarkEnd w:id="0"/>
    </w:p>
    <w:p w:rsidR="00075872" w:rsidRPr="000B3998" w:rsidRDefault="0047598E" w:rsidP="0047598E">
      <w:pPr>
        <w:pStyle w:val="ATHeading2"/>
      </w:pPr>
      <w:bookmarkStart w:id="1" w:name="title"/>
      <w:r w:rsidRPr="000B3998">
        <w:t xml:space="preserve">2022. finanšu gada budžeta izpildes apstiprināšana: </w:t>
      </w:r>
      <w:r w:rsidRPr="000B3998">
        <w:rPr>
          <w:i/>
        </w:rPr>
        <w:t>ITER</w:t>
      </w:r>
      <w:r w:rsidRPr="000B3998">
        <w:t xml:space="preserve"> un kodolsintēzes enerģētikas attīstības vajadzībām izveidotais Eiropas kopuzņēmums (kopuzņēmums “</w:t>
      </w:r>
      <w:proofErr w:type="spellStart"/>
      <w:r w:rsidRPr="000B3998">
        <w:t>Fusion</w:t>
      </w:r>
      <w:proofErr w:type="spellEnd"/>
      <w:r w:rsidRPr="000B3998">
        <w:t xml:space="preserve"> </w:t>
      </w:r>
      <w:proofErr w:type="spellStart"/>
      <w:r w:rsidRPr="000B3998">
        <w:t>for</w:t>
      </w:r>
      <w:proofErr w:type="spellEnd"/>
      <w:r w:rsidRPr="000B3998">
        <w:t xml:space="preserve"> </w:t>
      </w:r>
      <w:proofErr w:type="spellStart"/>
      <w:r w:rsidRPr="000B3998">
        <w:t>Energy</w:t>
      </w:r>
      <w:proofErr w:type="spellEnd"/>
      <w:r w:rsidRPr="000B3998">
        <w:t>”)</w:t>
      </w:r>
      <w:bookmarkEnd w:id="1"/>
    </w:p>
    <w:p w:rsidR="00075872" w:rsidRPr="000B3998" w:rsidRDefault="00075872" w:rsidP="00075872">
      <w:pPr>
        <w:rPr>
          <w:i/>
          <w:vanish/>
        </w:rPr>
      </w:pPr>
      <w:r w:rsidRPr="000B3998">
        <w:rPr>
          <w:i/>
        </w:rPr>
        <w:fldChar w:fldCharType="begin"/>
      </w:r>
      <w:r w:rsidRPr="000B3998">
        <w:rPr>
          <w:i/>
        </w:rPr>
        <w:instrText xml:space="preserve"> TC"(</w:instrText>
      </w:r>
      <w:bookmarkStart w:id="2" w:name="DocNumber"/>
      <w:r w:rsidRPr="000B3998">
        <w:rPr>
          <w:i/>
        </w:rPr>
        <w:instrText>A9-0090/2024</w:instrText>
      </w:r>
      <w:bookmarkEnd w:id="2"/>
      <w:r w:rsidRPr="000B3998">
        <w:rPr>
          <w:i/>
        </w:rPr>
        <w:instrText xml:space="preserve"> - Referents: Michal Wiezik)"\l3 \n&gt; \* MERGEFORMAT </w:instrText>
      </w:r>
      <w:r w:rsidRPr="000B3998">
        <w:rPr>
          <w:i/>
        </w:rPr>
        <w:fldChar w:fldCharType="end"/>
      </w:r>
    </w:p>
    <w:p w:rsidR="00075872" w:rsidRPr="000B3998" w:rsidRDefault="00075872" w:rsidP="00075872">
      <w:pPr>
        <w:rPr>
          <w:vanish/>
        </w:rPr>
      </w:pPr>
      <w:bookmarkStart w:id="3" w:name="Commission"/>
      <w:r w:rsidRPr="000B3998">
        <w:rPr>
          <w:vanish/>
        </w:rPr>
        <w:t>Budžeta kontroles komiteja</w:t>
      </w:r>
      <w:bookmarkEnd w:id="3"/>
    </w:p>
    <w:p w:rsidR="00075872" w:rsidRPr="000B3998" w:rsidRDefault="00075872" w:rsidP="00075872">
      <w:pPr>
        <w:rPr>
          <w:vanish/>
        </w:rPr>
      </w:pPr>
      <w:bookmarkStart w:id="4" w:name="PE"/>
      <w:r w:rsidRPr="000B3998">
        <w:rPr>
          <w:vanish/>
        </w:rPr>
        <w:t>PE753.493</w:t>
      </w:r>
      <w:bookmarkEnd w:id="4"/>
    </w:p>
    <w:p w:rsidR="00075872" w:rsidRPr="000B3998" w:rsidRDefault="0047598E" w:rsidP="00075872">
      <w:pPr>
        <w:pStyle w:val="ATHeading3"/>
      </w:pPr>
      <w:bookmarkStart w:id="5" w:name="Sujet"/>
      <w:r w:rsidRPr="000B3998">
        <w:t>1. E</w:t>
      </w:r>
      <w:r w:rsidR="00075872" w:rsidRPr="000B3998">
        <w:t xml:space="preserve">iropas Parlamenta 2024. gada </w:t>
      </w:r>
      <w:r w:rsidRPr="000B3998">
        <w:t>11. aprīļa</w:t>
      </w:r>
      <w:r w:rsidR="00075872" w:rsidRPr="000B3998">
        <w:t xml:space="preserve"> lēmums par </w:t>
      </w:r>
      <w:r w:rsidR="00075872" w:rsidRPr="000B3998">
        <w:rPr>
          <w:i/>
        </w:rPr>
        <w:t>ITER</w:t>
      </w:r>
      <w:r w:rsidR="00075872" w:rsidRPr="000B3998">
        <w:t xml:space="preserve"> un kodolsintēzes enerģētikas attīstības vajadzībām izveidotā Eiropas kopuzņēmuma (kopuzņēmums “</w:t>
      </w:r>
      <w:proofErr w:type="spellStart"/>
      <w:r w:rsidR="00075872" w:rsidRPr="000B3998">
        <w:t>Fusion</w:t>
      </w:r>
      <w:proofErr w:type="spellEnd"/>
      <w:r w:rsidR="00075872" w:rsidRPr="000B3998">
        <w:t xml:space="preserve"> </w:t>
      </w:r>
      <w:proofErr w:type="spellStart"/>
      <w:r w:rsidR="00075872" w:rsidRPr="000B3998">
        <w:t>for</w:t>
      </w:r>
      <w:proofErr w:type="spellEnd"/>
      <w:r w:rsidR="00075872" w:rsidRPr="000B3998">
        <w:t xml:space="preserve"> </w:t>
      </w:r>
      <w:proofErr w:type="spellStart"/>
      <w:r w:rsidR="00075872" w:rsidRPr="000B3998">
        <w:t>Energy</w:t>
      </w:r>
      <w:proofErr w:type="spellEnd"/>
      <w:r w:rsidR="00075872" w:rsidRPr="000B3998">
        <w:t>”) 2022. finanšu gada budžeta izpildes apstiprināšanu</w:t>
      </w:r>
      <w:bookmarkEnd w:id="5"/>
      <w:r w:rsidR="00075872" w:rsidRPr="000B3998">
        <w:t xml:space="preserve"> </w:t>
      </w:r>
      <w:bookmarkStart w:id="6" w:name="References"/>
      <w:r w:rsidR="00075872" w:rsidRPr="000B3998">
        <w:t>(2023/2178(DEC))</w:t>
      </w:r>
      <w:bookmarkEnd w:id="6"/>
    </w:p>
    <w:p w:rsidR="00075872" w:rsidRPr="000B3998" w:rsidRDefault="00075872" w:rsidP="00075872"/>
    <w:p w:rsidR="00000CDF" w:rsidRPr="000B3998" w:rsidRDefault="00000CDF" w:rsidP="00000CDF">
      <w:pPr>
        <w:pStyle w:val="EPComma"/>
      </w:pPr>
      <w:bookmarkStart w:id="7" w:name="TextBodyBegin"/>
      <w:bookmarkEnd w:id="7"/>
      <w:r w:rsidRPr="000B3998">
        <w:rPr>
          <w:i/>
          <w:iCs/>
        </w:rPr>
        <w:t>Eiropas Parlaments</w:t>
      </w:r>
      <w:r w:rsidRPr="000B3998">
        <w:t>,</w:t>
      </w:r>
    </w:p>
    <w:p w:rsidR="00000CDF" w:rsidRPr="000B3998" w:rsidRDefault="00000CDF" w:rsidP="00000CDF">
      <w:pPr>
        <w:pStyle w:val="NormalHanging12a"/>
      </w:pPr>
      <w:r w:rsidRPr="000B3998">
        <w:t>–</w:t>
      </w:r>
      <w:r w:rsidRPr="000B3998">
        <w:tab/>
        <w:t xml:space="preserve">ņemot vērā </w:t>
      </w:r>
      <w:r w:rsidRPr="000B3998">
        <w:rPr>
          <w:i/>
          <w:iCs/>
        </w:rPr>
        <w:t>ITER</w:t>
      </w:r>
      <w:r w:rsidRPr="000B3998">
        <w:t xml:space="preserve"> un kodolsintēzes enerģētikas attīstības vajadzībām izveidotā Eiropas kopuzņēmuma (kopuzņēmums “</w:t>
      </w:r>
      <w:proofErr w:type="spellStart"/>
      <w:r w:rsidRPr="000B3998">
        <w:t>Fusion</w:t>
      </w:r>
      <w:proofErr w:type="spellEnd"/>
      <w:r w:rsidRPr="000B3998">
        <w:t xml:space="preserve"> </w:t>
      </w:r>
      <w:proofErr w:type="spellStart"/>
      <w:r w:rsidRPr="000B3998">
        <w:t>for</w:t>
      </w:r>
      <w:proofErr w:type="spellEnd"/>
      <w:r w:rsidRPr="000B3998">
        <w:t xml:space="preserve"> </w:t>
      </w:r>
      <w:proofErr w:type="spellStart"/>
      <w:r w:rsidRPr="000B3998">
        <w:t>Energy</w:t>
      </w:r>
      <w:proofErr w:type="spellEnd"/>
      <w:r w:rsidRPr="000B3998">
        <w:t>”) 2022. finanšu gada galīgos pārskatus,</w:t>
      </w:r>
    </w:p>
    <w:p w:rsidR="00000CDF" w:rsidRPr="000B3998" w:rsidRDefault="00000CDF" w:rsidP="00000CDF">
      <w:pPr>
        <w:pStyle w:val="NormalHanging12a"/>
      </w:pPr>
      <w:r w:rsidRPr="000B3998">
        <w:t>–</w:t>
      </w:r>
      <w:r w:rsidRPr="000B3998">
        <w:tab/>
        <w:t>ņemot vērā Revīzijas palātas gada ziņojumu par ES kopuzņēmumiem attiecībā uz 2022. finanšu gadu ar kopuzņēmumu atbildēm</w:t>
      </w:r>
      <w:r w:rsidRPr="000B3998">
        <w:rPr>
          <w:rStyle w:val="FootnoteReference"/>
        </w:rPr>
        <w:footnoteReference w:id="1"/>
      </w:r>
      <w:r w:rsidRPr="000B3998">
        <w:t>,</w:t>
      </w:r>
    </w:p>
    <w:p w:rsidR="00000CDF" w:rsidRPr="000B3998" w:rsidRDefault="00000CDF" w:rsidP="00000CDF">
      <w:pPr>
        <w:pStyle w:val="NormalHanging12a"/>
      </w:pPr>
      <w:r w:rsidRPr="000B3998">
        <w:t>–</w:t>
      </w:r>
      <w:r w:rsidRPr="000B3998">
        <w:tab/>
        <w:t>ņemot vērā deklarāciju</w:t>
      </w:r>
      <w:r w:rsidRPr="000B3998">
        <w:rPr>
          <w:rStyle w:val="FootnoteReference"/>
        </w:rPr>
        <w:footnoteReference w:id="2"/>
      </w:r>
      <w:r w:rsidRPr="000B3998">
        <w:t xml:space="preserve"> par pārskatu ticamību, kā arī par pakārtoto darījumu likumību un pareizību, kuru Revīzijas palāta sniegusi par 2022. finanšu gadu saskaņā ar Līguma par Eiropas Savienības darbību 287. pantu,</w:t>
      </w:r>
    </w:p>
    <w:p w:rsidR="00000CDF" w:rsidRPr="000B3998" w:rsidRDefault="00000CDF" w:rsidP="00000CDF">
      <w:pPr>
        <w:pStyle w:val="NormalHanging12a"/>
      </w:pPr>
      <w:r w:rsidRPr="000B3998">
        <w:t>–</w:t>
      </w:r>
      <w:r w:rsidRPr="000B3998">
        <w:tab/>
        <w:t>ņemot vērā Padomes 2024. gada 22. februāra ieteikumu par apstiprinājumu, ko sniedz Kopuzņēmumam par 2022. finanšu gada budžeta izpildi (</w:t>
      </w:r>
      <w:r w:rsidR="0047598E" w:rsidRPr="000B3998">
        <w:t>06182</w:t>
      </w:r>
      <w:r w:rsidRPr="000B3998">
        <w:t>/2024 – C9</w:t>
      </w:r>
      <w:r w:rsidRPr="000B3998">
        <w:noBreakHyphen/>
      </w:r>
      <w:r w:rsidR="0047598E" w:rsidRPr="000B3998">
        <w:t>0116</w:t>
      </w:r>
      <w:r w:rsidRPr="000B3998">
        <w:t>/2024),</w:t>
      </w:r>
    </w:p>
    <w:p w:rsidR="00000CDF" w:rsidRPr="000B3998" w:rsidRDefault="00000CDF" w:rsidP="00000CDF">
      <w:pPr>
        <w:pStyle w:val="NormalHanging12a"/>
      </w:pPr>
      <w:r w:rsidRPr="000B3998">
        <w:t>–</w:t>
      </w:r>
      <w:r w:rsidRPr="000B3998">
        <w:tab/>
        <w:t>ņemot vērā Līguma par Eiropas Savienības darbību 319. pantu,</w:t>
      </w:r>
    </w:p>
    <w:p w:rsidR="00000CDF" w:rsidRPr="000B3998" w:rsidRDefault="00000CDF" w:rsidP="00000CDF">
      <w:pPr>
        <w:pStyle w:val="NormalHanging12a"/>
      </w:pPr>
      <w:r w:rsidRPr="000B3998">
        <w:t>–</w:t>
      </w:r>
      <w:r w:rsidRPr="000B3998">
        <w:tab/>
        <w:t>ņemot vērā Eiropas Atomenerģijas kopienas dibināšanas līguma 106.a pantu,</w:t>
      </w:r>
    </w:p>
    <w:p w:rsidR="00000CDF" w:rsidRPr="000B3998" w:rsidRDefault="00000CDF" w:rsidP="00000CDF">
      <w:pPr>
        <w:pStyle w:val="NormalHanging12a"/>
      </w:pPr>
      <w:r w:rsidRPr="000B3998">
        <w:t>–</w:t>
      </w:r>
      <w:r w:rsidRPr="000B3998">
        <w:tab/>
        <w:t xml:space="preserve">ņemot vērā Eiropas Parlamenta un Padomes 2018. gada 18. jūlija Regulu (ES, </w:t>
      </w:r>
      <w:r w:rsidRPr="000B3998">
        <w:rPr>
          <w:i/>
          <w:iCs/>
        </w:rPr>
        <w:t>Euratom</w:t>
      </w:r>
      <w:r w:rsidRPr="000B3998">
        <w:t xml:space="preserve">) 2018/1046 par finanšu noteikumiem, ko piemēro Savienības vispārējam budžetam, ar kuru groza Regulas (ES) Nr. 1296/2013, (ES) Nr. 1301/2013, (ES) Nr. 1303/2013, (ES) </w:t>
      </w:r>
      <w:r w:rsidRPr="000B3998">
        <w:lastRenderedPageBreak/>
        <w:t xml:space="preserve">Nr. 1304/2013, (ES) Nr. 1309/2013, (ES) Nr. 1316/2013, (ES) Nr. 223/2014, (ES) Nr. 283/2014 un Lēmumu Nr. 541/2014/ES un atceļ Regulu (ES, </w:t>
      </w:r>
      <w:r w:rsidRPr="000B3998">
        <w:rPr>
          <w:i/>
          <w:iCs/>
        </w:rPr>
        <w:t>Euratom</w:t>
      </w:r>
      <w:r w:rsidRPr="000B3998">
        <w:t>) Nr. 966/2012</w:t>
      </w:r>
      <w:r w:rsidRPr="000B3998">
        <w:rPr>
          <w:rStyle w:val="FootnoteReference"/>
        </w:rPr>
        <w:footnoteReference w:id="3"/>
      </w:r>
      <w:r w:rsidRPr="000B3998">
        <w:t>, un jo īpaši tās 70. pantu,</w:t>
      </w:r>
    </w:p>
    <w:p w:rsidR="00000CDF" w:rsidRPr="000B3998" w:rsidRDefault="00000CDF" w:rsidP="00000CDF">
      <w:pPr>
        <w:pStyle w:val="NormalHanging12a"/>
      </w:pPr>
      <w:r w:rsidRPr="000B3998">
        <w:t>–</w:t>
      </w:r>
      <w:r w:rsidRPr="000B3998">
        <w:tab/>
        <w:t>ņemot vērā Padomes 2007. gada 27. marta Lēmumu 2007/198/</w:t>
      </w:r>
      <w:r w:rsidRPr="000B3998">
        <w:rPr>
          <w:i/>
          <w:iCs/>
        </w:rPr>
        <w:t>Euratom</w:t>
      </w:r>
      <w:r w:rsidRPr="000B3998">
        <w:t xml:space="preserve">, ar ko izveido Eiropas kopuzņēmumu </w:t>
      </w:r>
      <w:r w:rsidRPr="000B3998">
        <w:rPr>
          <w:i/>
          <w:iCs/>
        </w:rPr>
        <w:t>ITER</w:t>
      </w:r>
      <w:r w:rsidRPr="000B3998">
        <w:t xml:space="preserve"> un kodolsintēzes enerģētikas attīstības vajadzībām un piešķir tam priekšrocības</w:t>
      </w:r>
      <w:r w:rsidRPr="000B3998">
        <w:rPr>
          <w:rStyle w:val="FootnoteReference"/>
        </w:rPr>
        <w:footnoteReference w:id="4"/>
      </w:r>
      <w:r w:rsidRPr="000B3998">
        <w:t>, un jo īpaši tā 5. pantu,</w:t>
      </w:r>
    </w:p>
    <w:p w:rsidR="00000CDF" w:rsidRPr="000B3998" w:rsidRDefault="00000CDF" w:rsidP="00000CDF">
      <w:pPr>
        <w:pStyle w:val="NormalHanging12a"/>
      </w:pPr>
      <w:r w:rsidRPr="000B3998">
        <w:t>–</w:t>
      </w:r>
      <w:r w:rsidRPr="000B3998">
        <w:tab/>
        <w:t xml:space="preserve">ņemot vērā Komisijas 2018. gada 18. decembra Deleģēto regulu (ES) 2019/715 par finanšu </w:t>
      </w:r>
      <w:proofErr w:type="spellStart"/>
      <w:r w:rsidRPr="000B3998">
        <w:t>pamatregulu</w:t>
      </w:r>
      <w:proofErr w:type="spellEnd"/>
      <w:r w:rsidRPr="000B3998">
        <w:t xml:space="preserve"> struktūrām, kas izveidotas saskaņā ar LESD un </w:t>
      </w:r>
      <w:r w:rsidRPr="000B3998">
        <w:rPr>
          <w:i/>
          <w:iCs/>
        </w:rPr>
        <w:t>Euratom</w:t>
      </w:r>
      <w:r w:rsidRPr="000B3998">
        <w:t xml:space="preserve"> līgumu un minētas Eiropas Parlamenta un Padomes Regulas (ES, </w:t>
      </w:r>
      <w:r w:rsidRPr="000B3998">
        <w:rPr>
          <w:i/>
          <w:iCs/>
        </w:rPr>
        <w:t>Euratom</w:t>
      </w:r>
      <w:r w:rsidRPr="000B3998">
        <w:t>) 2018/1046 70. pantā</w:t>
      </w:r>
      <w:r w:rsidRPr="000B3998">
        <w:rPr>
          <w:rStyle w:val="FootnoteReference"/>
        </w:rPr>
        <w:footnoteReference w:id="5"/>
      </w:r>
      <w:r w:rsidRPr="000B3998">
        <w:t>,</w:t>
      </w:r>
    </w:p>
    <w:p w:rsidR="00000CDF" w:rsidRPr="000B3998" w:rsidRDefault="00000CDF" w:rsidP="00000CDF">
      <w:pPr>
        <w:pStyle w:val="NormalHanging12a"/>
      </w:pPr>
      <w:r w:rsidRPr="000B3998">
        <w:t>–</w:t>
      </w:r>
      <w:r w:rsidRPr="000B3998">
        <w:tab/>
        <w:t>ņemot vērā Reglamenta 100. pantu un V pielikumu,</w:t>
      </w:r>
    </w:p>
    <w:p w:rsidR="00000CDF" w:rsidRPr="000B3998" w:rsidRDefault="00000CDF" w:rsidP="00000CDF">
      <w:pPr>
        <w:pStyle w:val="NormalHanging12a"/>
      </w:pPr>
      <w:r w:rsidRPr="000B3998">
        <w:t>–</w:t>
      </w:r>
      <w:r w:rsidRPr="000B3998">
        <w:tab/>
        <w:t>ņemot vērā Budžeta kontroles komitejas ziņojumu (A9-0090/2024),</w:t>
      </w:r>
    </w:p>
    <w:p w:rsidR="00000CDF" w:rsidRPr="000B3998" w:rsidRDefault="00000CDF" w:rsidP="00000CDF">
      <w:pPr>
        <w:pStyle w:val="NormalHanging12a"/>
      </w:pPr>
      <w:r w:rsidRPr="000B3998">
        <w:t>1.</w:t>
      </w:r>
      <w:r w:rsidRPr="000B3998">
        <w:tab/>
        <w:t xml:space="preserve">sniedz </w:t>
      </w:r>
      <w:r w:rsidRPr="000B3998">
        <w:rPr>
          <w:i/>
          <w:iCs/>
        </w:rPr>
        <w:t>ITER</w:t>
      </w:r>
      <w:r w:rsidRPr="000B3998">
        <w:t xml:space="preserve"> un kodolsintēzes enerģētikas attīstības vajadzībām izveidotā Eiropas kopuzņēmuma (kopuzņēmums “</w:t>
      </w:r>
      <w:proofErr w:type="spellStart"/>
      <w:r w:rsidRPr="000B3998">
        <w:t>Fusion</w:t>
      </w:r>
      <w:proofErr w:type="spellEnd"/>
      <w:r w:rsidRPr="000B3998">
        <w:t xml:space="preserve"> </w:t>
      </w:r>
      <w:proofErr w:type="spellStart"/>
      <w:r w:rsidRPr="000B3998">
        <w:t>for</w:t>
      </w:r>
      <w:proofErr w:type="spellEnd"/>
      <w:r w:rsidRPr="000B3998">
        <w:t xml:space="preserve"> </w:t>
      </w:r>
      <w:proofErr w:type="spellStart"/>
      <w:r w:rsidRPr="000B3998">
        <w:t>Energy</w:t>
      </w:r>
      <w:proofErr w:type="spellEnd"/>
      <w:r w:rsidRPr="000B3998">
        <w:t>”) direktoram apstiprinājumu par kopuzņēmuma 2022. finanšu gada budžeta izpildi;</w:t>
      </w:r>
    </w:p>
    <w:p w:rsidR="00000CDF" w:rsidRPr="000B3998" w:rsidRDefault="00000CDF" w:rsidP="00000CDF">
      <w:pPr>
        <w:pStyle w:val="NormalHanging12a"/>
      </w:pPr>
      <w:r w:rsidRPr="000B3998">
        <w:t>2.</w:t>
      </w:r>
      <w:r w:rsidRPr="000B3998">
        <w:tab/>
        <w:t>izklāsta savus konstatējumus turpmāk tekstā iekļautajā rezolūcijā;</w:t>
      </w:r>
    </w:p>
    <w:p w:rsidR="00000CDF" w:rsidRPr="000B3998" w:rsidRDefault="00000CDF" w:rsidP="00000CDF">
      <w:pPr>
        <w:pStyle w:val="NormalHanging12a"/>
      </w:pPr>
      <w:r w:rsidRPr="000B3998">
        <w:t>3.</w:t>
      </w:r>
      <w:r w:rsidRPr="000B3998">
        <w:tab/>
        <w:t xml:space="preserve">uzdod priekšsēdētājai šo lēmumu un rezolūciju, kas ir tā neatņemama daļa, nosūtīt </w:t>
      </w:r>
      <w:r w:rsidRPr="000B3998">
        <w:rPr>
          <w:i/>
          <w:iCs/>
        </w:rPr>
        <w:t>ITER</w:t>
      </w:r>
      <w:r w:rsidRPr="000B3998">
        <w:t xml:space="preserve"> un kodolsintēzes enerģētikas attīstības vajadzībām izveidotā Eiropas kopuzņēmuma (kopuzņēmums “</w:t>
      </w:r>
      <w:proofErr w:type="spellStart"/>
      <w:r w:rsidRPr="000B3998">
        <w:t>Fusion</w:t>
      </w:r>
      <w:proofErr w:type="spellEnd"/>
      <w:r w:rsidRPr="000B3998">
        <w:t xml:space="preserve"> </w:t>
      </w:r>
      <w:proofErr w:type="spellStart"/>
      <w:r w:rsidRPr="000B3998">
        <w:t>for</w:t>
      </w:r>
      <w:proofErr w:type="spellEnd"/>
      <w:r w:rsidRPr="000B3998">
        <w:t xml:space="preserve"> </w:t>
      </w:r>
      <w:proofErr w:type="spellStart"/>
      <w:r w:rsidRPr="000B3998">
        <w:t>Energy</w:t>
      </w:r>
      <w:proofErr w:type="spellEnd"/>
      <w:r w:rsidRPr="000B3998">
        <w:t xml:space="preserve">”) direktoram, Padomei, Komisijai un Revīzijas palātai un nodrošināt to publicēšanu </w:t>
      </w:r>
      <w:r w:rsidRPr="000B3998">
        <w:rPr>
          <w:i/>
          <w:iCs/>
        </w:rPr>
        <w:t>Eiropas Savienības Oficiālajā Vēstnesī</w:t>
      </w:r>
      <w:r w:rsidRPr="000B3998">
        <w:t xml:space="preserve"> (L sērijā).</w:t>
      </w:r>
    </w:p>
    <w:p w:rsidR="00000CDF" w:rsidRPr="000B3998" w:rsidRDefault="00000CDF" w:rsidP="00000CDF">
      <w:pPr>
        <w:pStyle w:val="PageHeading"/>
        <w:sectPr w:rsidR="00000CDF" w:rsidRPr="000B3998" w:rsidSect="0058029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00CDF" w:rsidRPr="000B3998" w:rsidRDefault="0047598E" w:rsidP="00000CDF">
      <w:pPr>
        <w:pStyle w:val="NormalBold"/>
      </w:pPr>
      <w:bookmarkStart w:id="8" w:name="_Toc161841812"/>
      <w:r w:rsidRPr="000B3998">
        <w:lastRenderedPageBreak/>
        <w:t xml:space="preserve">2. Eiropas Parlamenta 2024. gada 11. aprīļa lēmums par </w:t>
      </w:r>
      <w:bookmarkEnd w:id="8"/>
      <w:r w:rsidR="00000CDF" w:rsidRPr="000B3998">
        <w:rPr>
          <w:i/>
          <w:iCs/>
        </w:rPr>
        <w:t>ITER</w:t>
      </w:r>
      <w:r w:rsidR="00000CDF" w:rsidRPr="000B3998">
        <w:t xml:space="preserve"> un kodolsintēzes enerģētikas attīstības vajadzībām izveidotā Eiropas kopuzņēmuma (kopuzņēmums “</w:t>
      </w:r>
      <w:proofErr w:type="spellStart"/>
      <w:r w:rsidR="00000CDF" w:rsidRPr="000B3998">
        <w:t>Fusion</w:t>
      </w:r>
      <w:proofErr w:type="spellEnd"/>
      <w:r w:rsidR="00000CDF" w:rsidRPr="000B3998">
        <w:t xml:space="preserve"> </w:t>
      </w:r>
      <w:proofErr w:type="spellStart"/>
      <w:r w:rsidR="00000CDF" w:rsidRPr="000B3998">
        <w:t>for</w:t>
      </w:r>
      <w:proofErr w:type="spellEnd"/>
      <w:r w:rsidR="00000CDF" w:rsidRPr="000B3998">
        <w:t xml:space="preserve"> </w:t>
      </w:r>
      <w:proofErr w:type="spellStart"/>
      <w:r w:rsidR="00000CDF" w:rsidRPr="000B3998">
        <w:t>Energy</w:t>
      </w:r>
      <w:proofErr w:type="spellEnd"/>
      <w:r w:rsidR="00000CDF" w:rsidRPr="000B3998">
        <w:t>”) 2022. finanšu gada pārskatu apstiprināšanu</w:t>
      </w:r>
      <w:r w:rsidRPr="000B3998">
        <w:t xml:space="preserve"> </w:t>
      </w:r>
      <w:r w:rsidR="00000CDF" w:rsidRPr="000B3998">
        <w:t>(2023/2178(DEC))</w:t>
      </w:r>
    </w:p>
    <w:p w:rsidR="00000CDF" w:rsidRPr="000B3998" w:rsidRDefault="00000CDF" w:rsidP="00000CDF">
      <w:pPr>
        <w:pStyle w:val="EPComma"/>
      </w:pPr>
      <w:r w:rsidRPr="000B3998">
        <w:rPr>
          <w:i/>
          <w:iCs/>
        </w:rPr>
        <w:t>Eiropas Parlaments</w:t>
      </w:r>
      <w:r w:rsidRPr="000B3998">
        <w:t>,</w:t>
      </w:r>
    </w:p>
    <w:p w:rsidR="00000CDF" w:rsidRPr="000B3998" w:rsidRDefault="00000CDF" w:rsidP="00000CDF">
      <w:pPr>
        <w:pStyle w:val="NormalHanging12a"/>
      </w:pPr>
      <w:r w:rsidRPr="000B3998">
        <w:t>–</w:t>
      </w:r>
      <w:r w:rsidRPr="000B3998">
        <w:tab/>
        <w:t xml:space="preserve">ņemot vērā </w:t>
      </w:r>
      <w:r w:rsidRPr="000B3998">
        <w:rPr>
          <w:i/>
          <w:iCs/>
        </w:rPr>
        <w:t>ITER</w:t>
      </w:r>
      <w:r w:rsidRPr="000B3998">
        <w:t xml:space="preserve"> un kodolsintēzes enerģētikas attīstības vajadzībām izveidotā Eiropas kopuzņēmuma (kopuzņēmums “</w:t>
      </w:r>
      <w:proofErr w:type="spellStart"/>
      <w:r w:rsidRPr="000B3998">
        <w:t>Fusion</w:t>
      </w:r>
      <w:proofErr w:type="spellEnd"/>
      <w:r w:rsidRPr="000B3998">
        <w:t xml:space="preserve"> </w:t>
      </w:r>
      <w:proofErr w:type="spellStart"/>
      <w:r w:rsidRPr="000B3998">
        <w:t>for</w:t>
      </w:r>
      <w:proofErr w:type="spellEnd"/>
      <w:r w:rsidRPr="000B3998">
        <w:t xml:space="preserve"> </w:t>
      </w:r>
      <w:proofErr w:type="spellStart"/>
      <w:r w:rsidRPr="000B3998">
        <w:t>Energy</w:t>
      </w:r>
      <w:proofErr w:type="spellEnd"/>
      <w:r w:rsidRPr="000B3998">
        <w:t>”) 2022. finanšu gada galīgos pārskatus,</w:t>
      </w:r>
    </w:p>
    <w:p w:rsidR="00000CDF" w:rsidRPr="000B3998" w:rsidRDefault="00000CDF" w:rsidP="00000CDF">
      <w:pPr>
        <w:pStyle w:val="NormalHanging12a"/>
      </w:pPr>
      <w:r w:rsidRPr="000B3998">
        <w:t>–</w:t>
      </w:r>
      <w:r w:rsidRPr="000B3998">
        <w:tab/>
        <w:t>ņemot vērā Revīzijas palātas gada ziņojumu par ES kopuzņēmumiem attiecībā uz 2022. finanšu gadu ar kopuzņēmumu atbildēm</w:t>
      </w:r>
      <w:r w:rsidRPr="000B3998">
        <w:rPr>
          <w:rStyle w:val="FootnoteReference"/>
        </w:rPr>
        <w:footnoteReference w:id="6"/>
      </w:r>
      <w:r w:rsidRPr="000B3998">
        <w:t>,</w:t>
      </w:r>
    </w:p>
    <w:p w:rsidR="00000CDF" w:rsidRPr="000B3998" w:rsidRDefault="00000CDF" w:rsidP="00000CDF">
      <w:pPr>
        <w:pStyle w:val="NormalHanging12a"/>
      </w:pPr>
      <w:r w:rsidRPr="000B3998">
        <w:t>–</w:t>
      </w:r>
      <w:r w:rsidRPr="000B3998">
        <w:tab/>
        <w:t>ņemot vērā deklarāciju</w:t>
      </w:r>
      <w:r w:rsidRPr="000B3998">
        <w:rPr>
          <w:rStyle w:val="FootnoteReference"/>
        </w:rPr>
        <w:footnoteReference w:id="7"/>
      </w:r>
      <w:r w:rsidRPr="000B3998">
        <w:t xml:space="preserve"> par pārskatu ticamību, kā arī par pakārtoto darījumu likumību un pareizību, kuru Re</w:t>
      </w:r>
      <w:bookmarkStart w:id="9" w:name="_GoBack"/>
      <w:bookmarkEnd w:id="9"/>
      <w:r w:rsidRPr="000B3998">
        <w:t>vīzijas palāta sniegusi par 2022. finanšu gadu saskaņā ar Līguma par Eiropas Savienības darbību 287. pantu,</w:t>
      </w:r>
    </w:p>
    <w:p w:rsidR="00000CDF" w:rsidRPr="000B3998" w:rsidRDefault="00000CDF" w:rsidP="00000CDF">
      <w:pPr>
        <w:pStyle w:val="NormalHanging12a"/>
      </w:pPr>
      <w:r w:rsidRPr="000B3998">
        <w:t>–</w:t>
      </w:r>
      <w:r w:rsidRPr="000B3998">
        <w:tab/>
        <w:t>ņemot vērā Padomes 20</w:t>
      </w:r>
      <w:r w:rsidR="00521749">
        <w:t>24</w:t>
      </w:r>
      <w:r w:rsidRPr="000B3998">
        <w:t xml:space="preserve">. gada </w:t>
      </w:r>
      <w:r w:rsidR="00521749">
        <w:t>2</w:t>
      </w:r>
      <w:r w:rsidRPr="000B3998">
        <w:t>2. </w:t>
      </w:r>
      <w:r w:rsidR="00521749">
        <w:t>februāra</w:t>
      </w:r>
      <w:r w:rsidRPr="000B3998">
        <w:t xml:space="preserve"> ieteikumu par apstiprinājumu, ko sniedz Kopuzņēmumam par 2022. finanšu gada budžeta izpildi (</w:t>
      </w:r>
      <w:r w:rsidR="0047598E" w:rsidRPr="000B3998">
        <w:t>06182</w:t>
      </w:r>
      <w:r w:rsidRPr="000B3998">
        <w:t>/2024 – C9</w:t>
      </w:r>
      <w:r w:rsidRPr="000B3998">
        <w:noBreakHyphen/>
      </w:r>
      <w:r w:rsidR="0047598E" w:rsidRPr="000B3998">
        <w:t>0116</w:t>
      </w:r>
      <w:r w:rsidRPr="000B3998">
        <w:t>/2024),</w:t>
      </w:r>
    </w:p>
    <w:p w:rsidR="00000CDF" w:rsidRPr="000B3998" w:rsidRDefault="00000CDF" w:rsidP="00000CDF">
      <w:pPr>
        <w:pStyle w:val="NormalHanging12a"/>
      </w:pPr>
      <w:r w:rsidRPr="000B3998">
        <w:t>–</w:t>
      </w:r>
      <w:r w:rsidRPr="000B3998">
        <w:tab/>
        <w:t>ņemot vērā Līguma par Eiropas Savienības darbību 319. pantu,</w:t>
      </w:r>
    </w:p>
    <w:p w:rsidR="00000CDF" w:rsidRPr="000B3998" w:rsidRDefault="00000CDF" w:rsidP="00000CDF">
      <w:pPr>
        <w:pStyle w:val="NormalHanging12a"/>
      </w:pPr>
      <w:r w:rsidRPr="000B3998">
        <w:t>–</w:t>
      </w:r>
      <w:r w:rsidRPr="000B3998">
        <w:tab/>
        <w:t>ņemot vērā Eiropas Atomenerģijas kopienas dibināšanas līguma 106.a pantu,</w:t>
      </w:r>
    </w:p>
    <w:p w:rsidR="00000CDF" w:rsidRPr="000B3998" w:rsidRDefault="00000CDF" w:rsidP="00000CDF">
      <w:pPr>
        <w:pStyle w:val="NormalHanging12a"/>
      </w:pPr>
      <w:r w:rsidRPr="000B3998">
        <w:t>–</w:t>
      </w:r>
      <w:r w:rsidRPr="000B3998">
        <w:tab/>
        <w:t xml:space="preserve">ņemot vērā Eiropas Parlamenta un Padomes 2018. gada 18. jūlija Regulu (ES, </w:t>
      </w:r>
      <w:r w:rsidRPr="000B3998">
        <w:rPr>
          <w:i/>
          <w:iCs/>
        </w:rPr>
        <w:t>Euratom</w:t>
      </w:r>
      <w:r w:rsidRPr="000B3998">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0B3998">
        <w:rPr>
          <w:i/>
          <w:iCs/>
        </w:rPr>
        <w:t>Euratom</w:t>
      </w:r>
      <w:r w:rsidRPr="000B3998">
        <w:t>) Nr. 966/2012</w:t>
      </w:r>
      <w:r w:rsidRPr="000B3998">
        <w:rPr>
          <w:rStyle w:val="FootnoteReference"/>
        </w:rPr>
        <w:footnoteReference w:id="8"/>
      </w:r>
      <w:r w:rsidRPr="000B3998">
        <w:t>, un jo īpaši tās 70. pantu,</w:t>
      </w:r>
    </w:p>
    <w:p w:rsidR="00000CDF" w:rsidRPr="000B3998" w:rsidRDefault="00000CDF" w:rsidP="00000CDF">
      <w:pPr>
        <w:pStyle w:val="NormalHanging12a"/>
      </w:pPr>
      <w:r w:rsidRPr="000B3998">
        <w:t>–</w:t>
      </w:r>
      <w:r w:rsidRPr="000B3998">
        <w:tab/>
        <w:t>ņemot vērā Padomes 2007. gada 27. marta Lēmumu 2007/198/</w:t>
      </w:r>
      <w:r w:rsidRPr="000B3998">
        <w:rPr>
          <w:i/>
          <w:iCs/>
        </w:rPr>
        <w:t>Euratom</w:t>
      </w:r>
      <w:r w:rsidRPr="000B3998">
        <w:t xml:space="preserve">, ar ko izveido Eiropas kopuzņēmumu </w:t>
      </w:r>
      <w:r w:rsidRPr="000B3998">
        <w:rPr>
          <w:i/>
          <w:iCs/>
        </w:rPr>
        <w:t>ITER</w:t>
      </w:r>
      <w:r w:rsidRPr="000B3998">
        <w:t xml:space="preserve"> un kodolsintēzes enerģētikas attīstības vajadzībām un piešķir tam priekšrocības</w:t>
      </w:r>
      <w:r w:rsidRPr="000B3998">
        <w:rPr>
          <w:rStyle w:val="FootnoteReference"/>
        </w:rPr>
        <w:footnoteReference w:id="9"/>
      </w:r>
      <w:r w:rsidRPr="000B3998">
        <w:t>, un jo īpaši tā 5. pantu,</w:t>
      </w:r>
    </w:p>
    <w:p w:rsidR="00000CDF" w:rsidRPr="000B3998" w:rsidRDefault="00000CDF" w:rsidP="00000CDF">
      <w:pPr>
        <w:pStyle w:val="NormalHanging12a"/>
      </w:pPr>
      <w:r w:rsidRPr="000B3998">
        <w:t>–</w:t>
      </w:r>
      <w:r w:rsidRPr="000B3998">
        <w:tab/>
        <w:t xml:space="preserve">ņemot vērā Komisijas 2018. gada 18. decembra Deleģēto regulu (ES) 2019/715 par finanšu </w:t>
      </w:r>
      <w:proofErr w:type="spellStart"/>
      <w:r w:rsidRPr="000B3998">
        <w:t>pamatregulu</w:t>
      </w:r>
      <w:proofErr w:type="spellEnd"/>
      <w:r w:rsidRPr="000B3998">
        <w:t xml:space="preserve"> struktūrām, kas izveidotas saskaņā ar LESD un </w:t>
      </w:r>
      <w:r w:rsidRPr="000B3998">
        <w:rPr>
          <w:i/>
          <w:iCs/>
        </w:rPr>
        <w:t>Euratom</w:t>
      </w:r>
      <w:r w:rsidRPr="000B3998">
        <w:t xml:space="preserve"> līgumu un minētas Eiropas Parlamenta un Padomes Regulas (ES, </w:t>
      </w:r>
      <w:r w:rsidRPr="000B3998">
        <w:rPr>
          <w:i/>
          <w:iCs/>
        </w:rPr>
        <w:t>Euratom</w:t>
      </w:r>
      <w:r w:rsidRPr="000B3998">
        <w:t>) 2018/1046 70. pantā</w:t>
      </w:r>
      <w:r w:rsidRPr="000B3998">
        <w:rPr>
          <w:rStyle w:val="FootnoteReference"/>
        </w:rPr>
        <w:footnoteReference w:id="10"/>
      </w:r>
      <w:r w:rsidRPr="000B3998">
        <w:t>,</w:t>
      </w:r>
    </w:p>
    <w:p w:rsidR="00000CDF" w:rsidRPr="000B3998" w:rsidRDefault="00000CDF" w:rsidP="00000CDF">
      <w:pPr>
        <w:pStyle w:val="NormalHanging12a"/>
      </w:pPr>
      <w:r w:rsidRPr="000B3998">
        <w:t>–</w:t>
      </w:r>
      <w:r w:rsidRPr="000B3998">
        <w:tab/>
        <w:t>ņemot vērā Reglamenta 100. pantu un V pielikumu,</w:t>
      </w:r>
    </w:p>
    <w:p w:rsidR="00000CDF" w:rsidRPr="000B3998" w:rsidRDefault="00000CDF" w:rsidP="00000CDF">
      <w:pPr>
        <w:pStyle w:val="NormalHanging12a"/>
      </w:pPr>
      <w:r w:rsidRPr="000B3998">
        <w:t>–</w:t>
      </w:r>
      <w:r w:rsidRPr="000B3998">
        <w:tab/>
        <w:t>ņemot vērā Budžeta kontroles komitejas ziņojumu (A9-0090/2024),</w:t>
      </w:r>
    </w:p>
    <w:p w:rsidR="00000CDF" w:rsidRPr="000B3998" w:rsidRDefault="00000CDF" w:rsidP="00000CDF">
      <w:pPr>
        <w:pStyle w:val="NormalHanging12a"/>
      </w:pPr>
      <w:r w:rsidRPr="000B3998">
        <w:t>1.</w:t>
      </w:r>
      <w:r w:rsidRPr="000B3998">
        <w:tab/>
        <w:t xml:space="preserve">pieņem </w:t>
      </w:r>
      <w:r w:rsidRPr="000B3998">
        <w:rPr>
          <w:i/>
          <w:iCs/>
        </w:rPr>
        <w:t>ITER</w:t>
      </w:r>
      <w:r w:rsidRPr="000B3998">
        <w:t xml:space="preserve"> un kodolsintēzes enerģētikas attīstības vajadzībām izveidotā Eiropas kopuzņēmuma (kopuzņēmums “</w:t>
      </w:r>
      <w:proofErr w:type="spellStart"/>
      <w:r w:rsidRPr="000B3998">
        <w:t>Fusion</w:t>
      </w:r>
      <w:proofErr w:type="spellEnd"/>
      <w:r w:rsidRPr="000B3998">
        <w:t xml:space="preserve"> </w:t>
      </w:r>
      <w:proofErr w:type="spellStart"/>
      <w:r w:rsidRPr="000B3998">
        <w:t>for</w:t>
      </w:r>
      <w:proofErr w:type="spellEnd"/>
      <w:r w:rsidRPr="000B3998">
        <w:t xml:space="preserve"> </w:t>
      </w:r>
      <w:proofErr w:type="spellStart"/>
      <w:r w:rsidRPr="000B3998">
        <w:t>Energy</w:t>
      </w:r>
      <w:proofErr w:type="spellEnd"/>
      <w:r w:rsidRPr="000B3998">
        <w:t>”) 2022. finanšu gada pārskatu apstiprināšanu;</w:t>
      </w:r>
    </w:p>
    <w:p w:rsidR="00000CDF" w:rsidRPr="000B3998" w:rsidRDefault="00000CDF" w:rsidP="00000CDF">
      <w:pPr>
        <w:pStyle w:val="NormalHanging12a"/>
      </w:pPr>
      <w:r w:rsidRPr="000B3998">
        <w:t>2.</w:t>
      </w:r>
      <w:r w:rsidRPr="000B3998">
        <w:tab/>
        <w:t xml:space="preserve">uzdod priekšsēdētājai šo lēmumu nosūtīt </w:t>
      </w:r>
      <w:r w:rsidRPr="000B3998">
        <w:rPr>
          <w:i/>
          <w:iCs/>
        </w:rPr>
        <w:t>ITER</w:t>
      </w:r>
      <w:r w:rsidRPr="000B3998">
        <w:t xml:space="preserve"> un kodolsintēzes enerģētikas attīstības vajadzībām izveidotā Eiropas kopuzņēmuma (kopuzņēmums “</w:t>
      </w:r>
      <w:proofErr w:type="spellStart"/>
      <w:r w:rsidRPr="000B3998">
        <w:t>Fusion</w:t>
      </w:r>
      <w:proofErr w:type="spellEnd"/>
      <w:r w:rsidRPr="000B3998">
        <w:t xml:space="preserve"> </w:t>
      </w:r>
      <w:proofErr w:type="spellStart"/>
      <w:r w:rsidRPr="000B3998">
        <w:t>for</w:t>
      </w:r>
      <w:proofErr w:type="spellEnd"/>
      <w:r w:rsidRPr="000B3998">
        <w:t xml:space="preserve"> </w:t>
      </w:r>
      <w:proofErr w:type="spellStart"/>
      <w:r w:rsidRPr="000B3998">
        <w:t>Energy</w:t>
      </w:r>
      <w:proofErr w:type="spellEnd"/>
      <w:r w:rsidRPr="000B3998">
        <w:t xml:space="preserve">”) direktoram, Padomei, Komisijai un Revīzijas palātai un nodrošināt tā publicēšanu </w:t>
      </w:r>
      <w:r w:rsidRPr="000B3998">
        <w:rPr>
          <w:i/>
          <w:iCs/>
        </w:rPr>
        <w:t>Eiropas Savienības Oficiālajā Vēstnesī</w:t>
      </w:r>
      <w:r w:rsidRPr="000B3998">
        <w:t xml:space="preserve"> (L sērijā).</w:t>
      </w:r>
    </w:p>
    <w:p w:rsidR="00000CDF" w:rsidRPr="000B3998" w:rsidRDefault="00000CDF" w:rsidP="00000CDF">
      <w:pPr>
        <w:pStyle w:val="PageHeading"/>
        <w:sectPr w:rsidR="00000CDF" w:rsidRPr="000B3998" w:rsidSect="0058029F">
          <w:footnotePr>
            <w:numRestart w:val="eachPage"/>
          </w:footnotePr>
          <w:endnotePr>
            <w:numFmt w:val="decimal"/>
          </w:endnotePr>
          <w:pgSz w:w="11906" w:h="16838" w:code="9"/>
          <w:pgMar w:top="1134" w:right="1418" w:bottom="1418" w:left="1418" w:header="567" w:footer="567" w:gutter="0"/>
          <w:cols w:space="720"/>
          <w:noEndnote/>
          <w:docGrid w:linePitch="326"/>
        </w:sectPr>
      </w:pPr>
    </w:p>
    <w:p w:rsidR="00000CDF" w:rsidRPr="000B3998" w:rsidRDefault="0047598E" w:rsidP="00000CDF">
      <w:pPr>
        <w:pStyle w:val="NormalBold"/>
      </w:pPr>
      <w:bookmarkStart w:id="10" w:name="_Toc161841813"/>
      <w:r w:rsidRPr="000B3998">
        <w:t xml:space="preserve">3. Eiropas Parlamenta 2024. gada 11. aprīļa rezolūcija </w:t>
      </w:r>
      <w:bookmarkEnd w:id="10"/>
      <w:r w:rsidR="00000CDF" w:rsidRPr="000B3998">
        <w:t xml:space="preserve">ar konstatējumiem, kas ir neatņemama daļa no lēmuma par </w:t>
      </w:r>
      <w:r w:rsidR="00000CDF" w:rsidRPr="000B3998">
        <w:rPr>
          <w:i/>
          <w:iCs/>
        </w:rPr>
        <w:t>ITER</w:t>
      </w:r>
      <w:r w:rsidR="00000CDF" w:rsidRPr="000B3998">
        <w:t xml:space="preserve"> un kodolsintēzes enerģētikas attīstības vajadzībām izveidotā Eiropas kopuzņēmuma (kopuzņēmums “</w:t>
      </w:r>
      <w:proofErr w:type="spellStart"/>
      <w:r w:rsidR="00000CDF" w:rsidRPr="000B3998">
        <w:t>Fusion</w:t>
      </w:r>
      <w:proofErr w:type="spellEnd"/>
      <w:r w:rsidR="00000CDF" w:rsidRPr="000B3998">
        <w:t xml:space="preserve"> </w:t>
      </w:r>
      <w:proofErr w:type="spellStart"/>
      <w:r w:rsidR="00000CDF" w:rsidRPr="000B3998">
        <w:t>for</w:t>
      </w:r>
      <w:proofErr w:type="spellEnd"/>
      <w:r w:rsidR="00000CDF" w:rsidRPr="000B3998">
        <w:t xml:space="preserve"> </w:t>
      </w:r>
      <w:proofErr w:type="spellStart"/>
      <w:r w:rsidR="00000CDF" w:rsidRPr="000B3998">
        <w:t>Energy</w:t>
      </w:r>
      <w:proofErr w:type="spellEnd"/>
      <w:r w:rsidR="00000CDF" w:rsidRPr="000B3998">
        <w:t>”) 2022. finanšu gada budžeta izpildes apstiprināšanu</w:t>
      </w:r>
      <w:r w:rsidRPr="000B3998">
        <w:t xml:space="preserve"> </w:t>
      </w:r>
      <w:r w:rsidR="00000CDF" w:rsidRPr="000B3998">
        <w:t>(2023/2178(DEC))</w:t>
      </w:r>
    </w:p>
    <w:p w:rsidR="00000CDF" w:rsidRPr="000B3998" w:rsidRDefault="00000CDF" w:rsidP="00000CDF">
      <w:pPr>
        <w:pStyle w:val="EPComma"/>
      </w:pPr>
      <w:r w:rsidRPr="000B3998">
        <w:rPr>
          <w:i/>
          <w:iCs/>
        </w:rPr>
        <w:t>Eiropas Parlaments</w:t>
      </w:r>
      <w:r w:rsidRPr="000B3998">
        <w:t>,</w:t>
      </w:r>
    </w:p>
    <w:p w:rsidR="00000CDF" w:rsidRPr="000B3998" w:rsidRDefault="00000CDF" w:rsidP="00000CDF">
      <w:pPr>
        <w:pStyle w:val="NormalHanging12a"/>
      </w:pPr>
      <w:r w:rsidRPr="000B3998">
        <w:t>–</w:t>
      </w:r>
      <w:r w:rsidRPr="000B3998">
        <w:tab/>
        <w:t xml:space="preserve">ņemot vērā lēmumu par </w:t>
      </w:r>
      <w:r w:rsidRPr="000B3998">
        <w:rPr>
          <w:i/>
          <w:iCs/>
        </w:rPr>
        <w:t>ITER</w:t>
      </w:r>
      <w:r w:rsidRPr="000B3998">
        <w:t xml:space="preserve"> un kodolsintēzes enerģētikas attīstības vajadzībām izveidotā Eiropas kopuzņēmuma 2022. finanšu gada budžeta izpildes apstiprināšanu,</w:t>
      </w:r>
    </w:p>
    <w:p w:rsidR="00000CDF" w:rsidRPr="000B3998" w:rsidRDefault="00000CDF" w:rsidP="00000CDF">
      <w:pPr>
        <w:pStyle w:val="NormalHanging12a"/>
      </w:pPr>
      <w:r w:rsidRPr="000B3998">
        <w:t>–</w:t>
      </w:r>
      <w:r w:rsidRPr="000B3998">
        <w:tab/>
        <w:t>ņemot vērā Reglamenta 100. pantu un V pielikumu,</w:t>
      </w:r>
    </w:p>
    <w:p w:rsidR="00000CDF" w:rsidRPr="000B3998" w:rsidRDefault="00000CDF" w:rsidP="00000CDF">
      <w:pPr>
        <w:pStyle w:val="NormalHanging12a"/>
      </w:pPr>
      <w:r w:rsidRPr="000B3998">
        <w:t>–</w:t>
      </w:r>
      <w:r w:rsidRPr="000B3998">
        <w:tab/>
        <w:t>ņemot vērā Rūpniecības, pētniecības un enerģētikas komitejas atzinumu,</w:t>
      </w:r>
    </w:p>
    <w:p w:rsidR="00000CDF" w:rsidRPr="000B3998" w:rsidRDefault="00000CDF" w:rsidP="00000CDF">
      <w:pPr>
        <w:pStyle w:val="NormalHanging12a"/>
      </w:pPr>
      <w:r w:rsidRPr="000B3998">
        <w:t>–</w:t>
      </w:r>
      <w:r w:rsidRPr="000B3998">
        <w:tab/>
        <w:t>ņemot vērā Budžeta kontroles komitejas ziņojumu (A9-0090/2024),</w:t>
      </w:r>
    </w:p>
    <w:p w:rsidR="00000CDF" w:rsidRPr="000B3998" w:rsidRDefault="00000CDF" w:rsidP="00000CDF">
      <w:pPr>
        <w:spacing w:after="240"/>
        <w:ind w:left="567" w:hanging="567"/>
      </w:pPr>
      <w:r w:rsidRPr="000B3998">
        <w:t>A.</w:t>
      </w:r>
      <w:r w:rsidRPr="000B3998">
        <w:tab/>
        <w:t>tā kā Eiropas kopuzņēmums starptautiskajam eksperimentālajam kodoltermiskajam reaktoram (</w:t>
      </w:r>
      <w:r w:rsidRPr="000B3998">
        <w:rPr>
          <w:i/>
          <w:iCs/>
        </w:rPr>
        <w:t>ITER</w:t>
      </w:r>
      <w:r w:rsidRPr="000B3998">
        <w:t>) un kodolsintēzes enerģētikas attīstības vajadzībām ("kopuzņēmums") tika dibināts 2007. gada aprīlī ar 2007. gada 27. marta Lēmumu 2007/198/</w:t>
      </w:r>
      <w:r w:rsidRPr="000B3998">
        <w:rPr>
          <w:i/>
          <w:iCs/>
        </w:rPr>
        <w:t>Euratom</w:t>
      </w:r>
      <w:r w:rsidRPr="000B3998">
        <w:rPr>
          <w:rStyle w:val="FootnoteReference"/>
        </w:rPr>
        <w:footnoteReference w:id="11"/>
      </w:r>
      <w:r w:rsidRPr="000B3998">
        <w:t xml:space="preserve"> uz 35 gadiem;</w:t>
      </w:r>
    </w:p>
    <w:p w:rsidR="00000CDF" w:rsidRPr="000B3998" w:rsidRDefault="00000CDF" w:rsidP="00000CDF">
      <w:pPr>
        <w:spacing w:after="240"/>
        <w:ind w:left="567" w:hanging="567"/>
      </w:pPr>
      <w:r w:rsidRPr="000B3998">
        <w:t>B.</w:t>
      </w:r>
      <w:r w:rsidRPr="000B3998">
        <w:tab/>
        <w:t>tā kā kopuzņēmuma dalībnieki ir Eiropas Atomenerģijas kopiena (</w:t>
      </w:r>
      <w:r w:rsidRPr="000B3998">
        <w:rPr>
          <w:i/>
          <w:iCs/>
        </w:rPr>
        <w:t>Euratom</w:t>
      </w:r>
      <w:r w:rsidRPr="000B3998">
        <w:t xml:space="preserve">), ko pārstāv Komisija, </w:t>
      </w:r>
      <w:r w:rsidRPr="000B3998">
        <w:rPr>
          <w:i/>
          <w:iCs/>
        </w:rPr>
        <w:t>Euratom</w:t>
      </w:r>
      <w:r w:rsidRPr="000B3998">
        <w:t xml:space="preserve"> dalībvalstis</w:t>
      </w:r>
      <w:r w:rsidRPr="000B3998">
        <w:rPr>
          <w:rStyle w:val="FootnoteReference"/>
        </w:rPr>
        <w:footnoteReference w:id="12"/>
      </w:r>
      <w:r w:rsidRPr="000B3998">
        <w:t xml:space="preserve"> un trešās valstis, kuras ar </w:t>
      </w:r>
      <w:r w:rsidRPr="000B3998">
        <w:rPr>
          <w:i/>
          <w:iCs/>
        </w:rPr>
        <w:t>Euratom</w:t>
      </w:r>
      <w:r w:rsidRPr="000B3998">
        <w:t xml:space="preserve"> ir noslēgušas sadarbības nolīgumus vadāmas kodolsintēzes jomā;</w:t>
      </w:r>
    </w:p>
    <w:p w:rsidR="00000CDF" w:rsidRPr="000B3998" w:rsidRDefault="00000CDF" w:rsidP="00000CDF">
      <w:pPr>
        <w:spacing w:after="240"/>
        <w:ind w:left="567" w:hanging="567"/>
      </w:pPr>
      <w:r w:rsidRPr="000B3998">
        <w:t>C.</w:t>
      </w:r>
      <w:r w:rsidRPr="000B3998">
        <w:tab/>
        <w:t xml:space="preserve">tā kā kopuzņēmuma mērķi ir sniegt Savienības ieguldījumu </w:t>
      </w:r>
      <w:r w:rsidRPr="000B3998">
        <w:rPr>
          <w:i/>
          <w:iCs/>
        </w:rPr>
        <w:t>ITER</w:t>
      </w:r>
      <w:r w:rsidRPr="000B3998">
        <w:t xml:space="preserve"> starptautiskajā kodolsintēzes projektā, īstenot plašākas pieejas nolīgumu starp </w:t>
      </w:r>
      <w:r w:rsidRPr="000B3998">
        <w:rPr>
          <w:i/>
          <w:iCs/>
        </w:rPr>
        <w:t>Euratom</w:t>
      </w:r>
      <w:r w:rsidRPr="000B3998">
        <w:t xml:space="preserve"> un Japānu un sagatavoties demonstrējumu kodolsintēzes reaktora un saistītu objektu būvniecībai</w:t>
      </w:r>
      <w:r w:rsidRPr="000B3998">
        <w:rPr>
          <w:rStyle w:val="FootnoteReference"/>
        </w:rPr>
        <w:footnoteReference w:id="13"/>
      </w:r>
      <w:r w:rsidRPr="000B3998">
        <w:t>;</w:t>
      </w:r>
    </w:p>
    <w:p w:rsidR="00000CDF" w:rsidRPr="000B3998" w:rsidRDefault="00000CDF" w:rsidP="00000CDF">
      <w:pPr>
        <w:spacing w:after="240"/>
        <w:ind w:left="567" w:hanging="567"/>
      </w:pPr>
      <w:r w:rsidRPr="000B3998">
        <w:t>D.</w:t>
      </w:r>
      <w:r w:rsidRPr="000B3998">
        <w:tab/>
        <w:t xml:space="preserve">tā kā </w:t>
      </w:r>
      <w:r w:rsidRPr="000B3998">
        <w:rPr>
          <w:i/>
          <w:iCs/>
        </w:rPr>
        <w:t>ITER</w:t>
      </w:r>
      <w:r w:rsidRPr="000B3998">
        <w:t xml:space="preserve"> projektā ir iesaistīti septiņi globālie partneri, proti, Savienība, ko pārstāv </w:t>
      </w:r>
      <w:r w:rsidRPr="000B3998">
        <w:rPr>
          <w:i/>
          <w:iCs/>
        </w:rPr>
        <w:t>Euratom</w:t>
      </w:r>
      <w:r w:rsidRPr="000B3998">
        <w:t>, Amerikas Savienotās Valstis, Krievija, Japāna, Ķīna, Dienvidkoreja un Indija, un Savienība tajā uzņemas vadību ar 45,4 % no būvniecības izmaksām un pārējie iesaistītie partneri katrs ar 9,1 %; šis izmaksu sadalījums mainīsies darbības kodolsintēzes testēšanas posmā, kad Savienība segs 34 % no pamatdarbības izmaksām</w:t>
      </w:r>
      <w:r w:rsidRPr="000B3998">
        <w:rPr>
          <w:rStyle w:val="FootnoteReference"/>
        </w:rPr>
        <w:footnoteReference w:id="14"/>
      </w:r>
      <w:r w:rsidRPr="000B3998">
        <w:t>;</w:t>
      </w:r>
    </w:p>
    <w:p w:rsidR="00000CDF" w:rsidRPr="000B3998" w:rsidRDefault="00000CDF" w:rsidP="00000CDF">
      <w:pPr>
        <w:spacing w:after="240"/>
        <w:ind w:left="567" w:hanging="567"/>
      </w:pPr>
      <w:r w:rsidRPr="000B3998">
        <w:t>E.</w:t>
      </w:r>
      <w:r w:rsidRPr="000B3998">
        <w:tab/>
        <w:t>tā kā pēc Komisijas pašreizējām aplēsēm kopējais</w:t>
      </w:r>
      <w:r w:rsidRPr="000B3998">
        <w:rPr>
          <w:i/>
          <w:iCs/>
        </w:rPr>
        <w:t xml:space="preserve"> Euratom</w:t>
      </w:r>
      <w:r w:rsidRPr="000B3998">
        <w:t xml:space="preserve"> budžets, kas nepieciešams kopuzņēmumam, lai finansētu Eiropas daļu </w:t>
      </w:r>
      <w:r w:rsidRPr="000B3998">
        <w:rPr>
          <w:i/>
          <w:iCs/>
        </w:rPr>
        <w:t>ITER</w:t>
      </w:r>
      <w:r w:rsidRPr="000B3998">
        <w:t xml:space="preserve"> projekta un saistīto darbību īstenošanā līdz 2035. gadam, ir aptuveni 15 miljardi EUR (pašreizējā vērtībā); tā kā </w:t>
      </w:r>
      <w:r w:rsidRPr="000B3998">
        <w:rPr>
          <w:i/>
          <w:iCs/>
        </w:rPr>
        <w:t>ITER</w:t>
      </w:r>
      <w:r w:rsidRPr="000B3998">
        <w:t xml:space="preserve"> uzņemošajai valstij (Francija) un </w:t>
      </w:r>
      <w:r w:rsidRPr="000B3998">
        <w:rPr>
          <w:i/>
          <w:iCs/>
        </w:rPr>
        <w:t>Euratom</w:t>
      </w:r>
      <w:r w:rsidRPr="000B3998">
        <w:t xml:space="preserve"> dalībvalstīm ir jāiegulda papildu 3,2 miljardi EUR (pašreizējās vērtībās)</w:t>
      </w:r>
      <w:r w:rsidRPr="000B3998">
        <w:rPr>
          <w:rStyle w:val="FootnoteReference"/>
        </w:rPr>
        <w:footnoteReference w:id="15"/>
      </w:r>
      <w:r w:rsidRPr="000B3998">
        <w:t>;</w:t>
      </w:r>
    </w:p>
    <w:p w:rsidR="00000CDF" w:rsidRPr="000B3998" w:rsidRDefault="00000CDF" w:rsidP="00000CDF">
      <w:pPr>
        <w:spacing w:after="240"/>
        <w:ind w:left="567" w:hanging="567"/>
      </w:pPr>
      <w:r w:rsidRPr="000B3998">
        <w:t>F.</w:t>
      </w:r>
      <w:r w:rsidRPr="000B3998">
        <w:tab/>
        <w:t xml:space="preserve">tā kā Apvienotā Karaliste un Šveice vairs nav saistītas ne ar kopuzņēmuma </w:t>
      </w:r>
      <w:r w:rsidRPr="000B3998">
        <w:rPr>
          <w:i/>
          <w:iCs/>
        </w:rPr>
        <w:t>ITER</w:t>
      </w:r>
      <w:r w:rsidRPr="000B3998">
        <w:t xml:space="preserve"> darbībām, ne ar kopuzņēmuma dalībniekiem</w:t>
      </w:r>
      <w:r w:rsidRPr="000B3998">
        <w:rPr>
          <w:rStyle w:val="FootnoteReference"/>
        </w:rPr>
        <w:footnoteReference w:id="16"/>
      </w:r>
      <w:r w:rsidRPr="000B3998">
        <w:t>;</w:t>
      </w:r>
    </w:p>
    <w:p w:rsidR="00000CDF" w:rsidRPr="000B3998" w:rsidRDefault="00000CDF" w:rsidP="00000CDF">
      <w:pPr>
        <w:pStyle w:val="NormalHanging12a"/>
      </w:pPr>
      <w:r w:rsidRPr="000B3998">
        <w:t>G.</w:t>
      </w:r>
      <w:r w:rsidRPr="000B3998">
        <w:tab/>
        <w:t xml:space="preserve">tā kā, lai palielinātu </w:t>
      </w:r>
      <w:proofErr w:type="spellStart"/>
      <w:r w:rsidRPr="000B3998">
        <w:t>pārredzamību</w:t>
      </w:r>
      <w:proofErr w:type="spellEnd"/>
      <w:r w:rsidRPr="000B3998">
        <w:t xml:space="preserve">, kopuzņēmumam savā gada pārskatā būtu jānorāda attiecīgā informācija par dalībnieku iemaksām programmu līmenī; tā kā par katru programmu, saskaņā ar kuru kopuzņēmums darbojas, tam līdz gada beigām jāsniedz visa attiecīgā informācija par katru dalībnieku kategoriju, tostarp attiecīgajai programmai juridiski noteiktie iemaksu </w:t>
      </w:r>
      <w:proofErr w:type="spellStart"/>
      <w:r w:rsidRPr="000B3998">
        <w:t>mērķrādītāji</w:t>
      </w:r>
      <w:proofErr w:type="spellEnd"/>
      <w:r w:rsidRPr="000B3998">
        <w:t xml:space="preserve">, saņemto iemaksu apmērs un juridisko saistību apmērs; tā kā kopuzņēmumam būtu jāturpina uzlabot </w:t>
      </w:r>
      <w:proofErr w:type="spellStart"/>
      <w:r w:rsidRPr="000B3998">
        <w:t>pārredzamību</w:t>
      </w:r>
      <w:proofErr w:type="spellEnd"/>
      <w:r w:rsidRPr="000B3998">
        <w:t>;</w:t>
      </w:r>
    </w:p>
    <w:p w:rsidR="00000CDF" w:rsidRPr="000B3998" w:rsidRDefault="00000CDF" w:rsidP="00000CDF">
      <w:pPr>
        <w:spacing w:after="240"/>
        <w:ind w:left="567" w:hanging="567"/>
        <w:rPr>
          <w:b/>
          <w:i/>
        </w:rPr>
      </w:pPr>
      <w:r w:rsidRPr="000B3998">
        <w:rPr>
          <w:b/>
          <w:i/>
        </w:rPr>
        <w:t>Vispārīgi noteikumi</w:t>
      </w:r>
    </w:p>
    <w:p w:rsidR="00000CDF" w:rsidRPr="000B3998" w:rsidRDefault="00000CDF" w:rsidP="00000CDF">
      <w:pPr>
        <w:spacing w:after="240"/>
        <w:ind w:left="573" w:hanging="573"/>
      </w:pPr>
      <w:r w:rsidRPr="000B3998">
        <w:t>1.</w:t>
      </w:r>
      <w:r w:rsidRPr="000B3998">
        <w:tab/>
        <w:t xml:space="preserve">atzīmē, ka Eiropas Revīzijas palātas ("Revīzijas palāta") ziņojumā par kopuzņēmuma 2022. finanšu gada pārskatiem ("Revīzijas palātas ziņojums") ir konstatēts, ka gada pārskati visos būtiskajos aspektos patiesi atspoguļo kopuzņēmuma </w:t>
      </w:r>
      <w:proofErr w:type="spellStart"/>
      <w:r w:rsidRPr="000B3998">
        <w:t>kopuzņēmuma</w:t>
      </w:r>
      <w:proofErr w:type="spellEnd"/>
      <w:r w:rsidRPr="000B3998">
        <w:t xml:space="preserve"> finanšu stāvokli 2022. gada 31. decembrī, kā arī darbības rezultātus, naudas plūsmas un neto aktīvu pārmaiņas 2022. finanšu gadā, kas atbilst Finanšu regulai un Komisijas grāmatveža pieņemtajiem grāmatvedības noteikumiem; turklāt norāda, ka kopuzņēmuma 2022. finanšu gada pārskatiem pakārtotie darījumi visos būtiskajos aspektos ir likumīgi un pareizi;</w:t>
      </w:r>
    </w:p>
    <w:p w:rsidR="00000CDF" w:rsidRPr="000B3998" w:rsidRDefault="00000CDF" w:rsidP="00000CDF">
      <w:pPr>
        <w:spacing w:after="240"/>
        <w:ind w:left="573" w:hanging="573"/>
      </w:pPr>
      <w:r w:rsidRPr="000B3998">
        <w:t>2.</w:t>
      </w:r>
      <w:r w:rsidRPr="000B3998">
        <w:tab/>
        <w:t xml:space="preserve">uzsver, ka Revīzijas palāta vērš uzmanību uz to, ka kopuzņēmums 2022. gada pārskatos iekļāva savu aplēsi par </w:t>
      </w:r>
      <w:r w:rsidRPr="000B3998">
        <w:rPr>
          <w:i/>
          <w:iCs/>
        </w:rPr>
        <w:t>ITER</w:t>
      </w:r>
      <w:r w:rsidRPr="000B3998">
        <w:t xml:space="preserve"> projekta izpildes saistību īstenošanas kopējām izmaksām ("Aplēse pabeigšanas brīdī") 19,1 miljarda EUR apmērā (2022. gada vērtībā), kas ietvēra kopējos veiktos maksājumus līdz 2022. gada beigām 9,2 miljardu EUR apmērā, kā arī aplēsi par turpmākiem maksājumiem 9,9 miljardu EUR apmērā (2022. gada vērtībā);</w:t>
      </w:r>
    </w:p>
    <w:p w:rsidR="00000CDF" w:rsidRPr="000B3998" w:rsidRDefault="00000CDF" w:rsidP="00000CDF">
      <w:pPr>
        <w:spacing w:after="240"/>
        <w:ind w:left="570" w:hanging="570"/>
      </w:pPr>
      <w:r w:rsidRPr="000B3998">
        <w:t>3.</w:t>
      </w:r>
      <w:r w:rsidRPr="000B3998">
        <w:tab/>
        <w:t xml:space="preserve">tomēr norāda, ka 2022. gada aplēse pabeigšanas brīdī joprojām ir balstīta uz 2016. gada atskaites punktu un izmaksu pieņēmumiem, un tā tiks būtiski pārskatīta, tiklīdz būs pabeigts jaunais </w:t>
      </w:r>
      <w:r w:rsidRPr="000B3998">
        <w:rPr>
          <w:i/>
          <w:iCs/>
        </w:rPr>
        <w:t>ITER</w:t>
      </w:r>
      <w:r w:rsidRPr="000B3998">
        <w:t xml:space="preserve"> projekta </w:t>
      </w:r>
      <w:proofErr w:type="spellStart"/>
      <w:r w:rsidRPr="000B3998">
        <w:t>pamatscenārijs</w:t>
      </w:r>
      <w:proofErr w:type="spellEnd"/>
      <w:r w:rsidRPr="000B3998">
        <w:t xml:space="preserve"> un prasības, ko apstiprinās </w:t>
      </w:r>
      <w:r w:rsidRPr="000B3998">
        <w:rPr>
          <w:i/>
          <w:iCs/>
        </w:rPr>
        <w:t>ITER</w:t>
      </w:r>
      <w:r w:rsidRPr="000B3998">
        <w:t xml:space="preserve"> padome un oficiāli paziņos kopuzņēmumam;</w:t>
      </w:r>
    </w:p>
    <w:p w:rsidR="00000CDF" w:rsidRPr="000B3998" w:rsidRDefault="00000CDF" w:rsidP="00000CDF">
      <w:pPr>
        <w:spacing w:after="240"/>
        <w:ind w:left="570" w:hanging="570"/>
      </w:pPr>
      <w:r w:rsidRPr="000B3998">
        <w:t>4.</w:t>
      </w:r>
      <w:r w:rsidRPr="000B3998">
        <w:tab/>
        <w:t xml:space="preserve">atzīst, ka 2022. gadā kopuzņēmums </w:t>
      </w:r>
      <w:proofErr w:type="spellStart"/>
      <w:r w:rsidRPr="000B3998">
        <w:t>saskārās</w:t>
      </w:r>
      <w:proofErr w:type="spellEnd"/>
      <w:r w:rsidRPr="000B3998">
        <w:t xml:space="preserve"> ar būtisku inflācijas ietekmi, ko sākotnēji veicināja Covid-19 pandēmijas izraisītās problēmas piegādes ķēdēs un pēc tam (pēc 2022. gada februāra) Krievijas agresijas karš pret Ukrainu; pauž bažas, ka to paredzamā ietekme uz kopuzņēmuma kopējo aplēsi pabeigšanas brīdī saskaņā ar jaunāko novērtējumu ir 144 miljoni EUR (2008. gada vērtībās); tāpat norāda, ka ir sagaidāms, ka šis aplēses pabeigšanas brīdī pieaugums izpaudīsies kā papildu izdevumi 2023.–2026. gadā; norāda arī, ka šī inflācijas ietekme ir skaidri redzama izejvielu cenās — gan esošajos līgumos, gan arī 2022. gadā saņemtajos piedāvājos — un, visticamāk, būs jūtama arī nākotnē atkarībā no starptautiskās situācijas izmaiņām;</w:t>
      </w:r>
    </w:p>
    <w:p w:rsidR="00000CDF" w:rsidRPr="000B3998" w:rsidRDefault="00000CDF" w:rsidP="00000CDF">
      <w:pPr>
        <w:pStyle w:val="NormalHanging12a"/>
      </w:pPr>
      <w:r w:rsidRPr="000B3998">
        <w:t>5.</w:t>
      </w:r>
      <w:r w:rsidRPr="000B3998">
        <w:tab/>
        <w:t xml:space="preserve">ar bažām norāda, ka Krievija ir </w:t>
      </w:r>
      <w:r w:rsidRPr="000B3998">
        <w:rPr>
          <w:i/>
          <w:iCs/>
        </w:rPr>
        <w:t>ITER-IO</w:t>
      </w:r>
      <w:r w:rsidRPr="000B3998">
        <w:t xml:space="preserve"> dalībniece, un tai ir pienākums piegādāt </w:t>
      </w:r>
      <w:r w:rsidRPr="000B3998">
        <w:rPr>
          <w:i/>
          <w:iCs/>
        </w:rPr>
        <w:t>ITER</w:t>
      </w:r>
      <w:r w:rsidRPr="000B3998">
        <w:t xml:space="preserve"> montāžas vietai Francijā (</w:t>
      </w:r>
      <w:proofErr w:type="spellStart"/>
      <w:r w:rsidRPr="000B3998">
        <w:t>Kadarašā</w:t>
      </w:r>
      <w:proofErr w:type="spellEnd"/>
      <w:r w:rsidRPr="000B3998">
        <w:t xml:space="preserve">) vairākus </w:t>
      </w:r>
      <w:r w:rsidRPr="000B3998">
        <w:rPr>
          <w:i/>
          <w:iCs/>
        </w:rPr>
        <w:t>ITER</w:t>
      </w:r>
      <w:r w:rsidRPr="000B3998">
        <w:t xml:space="preserve"> projekta komponentus un veikt ikgadējas iemaksas </w:t>
      </w:r>
      <w:r w:rsidRPr="000B3998">
        <w:rPr>
          <w:i/>
          <w:iCs/>
        </w:rPr>
        <w:t>ITER-IO</w:t>
      </w:r>
      <w:r w:rsidRPr="000B3998">
        <w:t xml:space="preserve">; uzsver, ka šāda situācija rada augstu kavēšanās risku un palielina </w:t>
      </w:r>
      <w:r w:rsidRPr="000B3998">
        <w:rPr>
          <w:i/>
          <w:iCs/>
        </w:rPr>
        <w:t>ITER</w:t>
      </w:r>
      <w:r w:rsidRPr="000B3998">
        <w:t xml:space="preserve"> projekta izmaksas; uzstāj, ka ir jāizstrādā risinājumi, lai pienācīgi mazinātu šos riskus; uzskata, ka jebkuram pieņemtajam lēmumam būtu jāaizsargā Savienības stratēģiskās intereses un politikas prioritātes;</w:t>
      </w:r>
    </w:p>
    <w:p w:rsidR="00000CDF" w:rsidRPr="000B3998" w:rsidRDefault="00000CDF" w:rsidP="00000CDF">
      <w:pPr>
        <w:spacing w:after="240"/>
        <w:ind w:left="570" w:hanging="570"/>
      </w:pPr>
      <w:r w:rsidRPr="000B3998">
        <w:t>6.</w:t>
      </w:r>
      <w:r w:rsidRPr="000B3998">
        <w:tab/>
        <w:t xml:space="preserve">apzinās, ka </w:t>
      </w:r>
      <w:r w:rsidRPr="000B3998">
        <w:rPr>
          <w:i/>
          <w:iCs/>
        </w:rPr>
        <w:t>ITER</w:t>
      </w:r>
      <w:r w:rsidRPr="000B3998">
        <w:t xml:space="preserve"> padomes 31. </w:t>
      </w:r>
      <w:proofErr w:type="spellStart"/>
      <w:r w:rsidRPr="000B3998">
        <w:t>sasaukums</w:t>
      </w:r>
      <w:proofErr w:type="spellEnd"/>
      <w:r w:rsidRPr="000B3998">
        <w:rPr>
          <w:rStyle w:val="FootnoteReference"/>
        </w:rPr>
        <w:footnoteReference w:id="17"/>
      </w:r>
      <w:r w:rsidRPr="000B3998">
        <w:t xml:space="preserve"> 2022. gada novembrī vienojās par </w:t>
      </w:r>
      <w:proofErr w:type="spellStart"/>
      <w:r w:rsidRPr="000B3998">
        <w:t>pamatscenārija</w:t>
      </w:r>
      <w:proofErr w:type="spellEnd"/>
      <w:r w:rsidRPr="000B3998">
        <w:t xml:space="preserve"> atjaunināšanu un savā 32. sanāksmē, kas notika 2023. gada 21.–22. jūnijā</w:t>
      </w:r>
      <w:r w:rsidRPr="000B3998">
        <w:rPr>
          <w:rStyle w:val="FootnoteReference"/>
        </w:rPr>
        <w:footnoteReference w:id="18"/>
      </w:r>
      <w:r w:rsidRPr="000B3998">
        <w:t xml:space="preserve">, tas uzdeva </w:t>
      </w:r>
      <w:r w:rsidRPr="000B3998">
        <w:rPr>
          <w:i/>
          <w:iCs/>
        </w:rPr>
        <w:t>ITER</w:t>
      </w:r>
      <w:r w:rsidRPr="000B3998">
        <w:t xml:space="preserve"> ģenerāldirektoram iesniegt atjauninātā </w:t>
      </w:r>
      <w:r w:rsidRPr="000B3998">
        <w:rPr>
          <w:i/>
          <w:iCs/>
        </w:rPr>
        <w:t>ITER</w:t>
      </w:r>
      <w:r w:rsidRPr="000B3998">
        <w:t xml:space="preserve"> </w:t>
      </w:r>
      <w:proofErr w:type="spellStart"/>
      <w:r w:rsidRPr="000B3998">
        <w:t>pamatscenārija</w:t>
      </w:r>
      <w:proofErr w:type="spellEnd"/>
      <w:r w:rsidRPr="000B3998">
        <w:t xml:space="preserve"> priekšlikumu, lai to varētu izskatīt un apstiprināt 2024. gadā;</w:t>
      </w:r>
    </w:p>
    <w:p w:rsidR="00000CDF" w:rsidRPr="000B3998" w:rsidRDefault="00000CDF" w:rsidP="00000CDF">
      <w:pPr>
        <w:spacing w:after="240"/>
        <w:ind w:left="570" w:hanging="570"/>
      </w:pPr>
      <w:r w:rsidRPr="000B3998">
        <w:t>7.</w:t>
      </w:r>
      <w:r w:rsidRPr="000B3998">
        <w:tab/>
        <w:t xml:space="preserve">ar bažām norāda, ka budžeta pārvaldības risks kopuzņēmumam tika novērtēts kā vidējs, jo pastāvēja jauni </w:t>
      </w:r>
      <w:r w:rsidRPr="000B3998">
        <w:rPr>
          <w:i/>
          <w:iCs/>
        </w:rPr>
        <w:t>ITER</w:t>
      </w:r>
      <w:r w:rsidRPr="000B3998">
        <w:t xml:space="preserve"> projekta turpmākas kavēšanās un izmaksu pieauguma riski saistībā ar plānoto jauno </w:t>
      </w:r>
      <w:proofErr w:type="spellStart"/>
      <w:r w:rsidRPr="000B3998">
        <w:t>pamatscenāriju</w:t>
      </w:r>
      <w:proofErr w:type="spellEnd"/>
      <w:r w:rsidRPr="000B3998">
        <w:t>, piegādes problēmām, kas saistītas ar sankcijām pret Krieviju, un Francijas Kodoldrošības iestādes</w:t>
      </w:r>
      <w:r w:rsidRPr="000B3998">
        <w:rPr>
          <w:rStyle w:val="FootnoteReference"/>
        </w:rPr>
        <w:footnoteReference w:id="19"/>
      </w:r>
      <w:r w:rsidRPr="000B3998">
        <w:t xml:space="preserve"> kavēšanos apstiprināt konstrukcijas izmaiņas montāžas procesā;</w:t>
      </w:r>
    </w:p>
    <w:p w:rsidR="00000CDF" w:rsidRPr="000B3998" w:rsidRDefault="00000CDF" w:rsidP="00000CDF">
      <w:pPr>
        <w:spacing w:after="240"/>
      </w:pPr>
      <w:r w:rsidRPr="000B3998">
        <w:rPr>
          <w:b/>
          <w:i/>
        </w:rPr>
        <w:t>Budžeta un finanšu pārvaldība</w:t>
      </w:r>
    </w:p>
    <w:p w:rsidR="00000CDF" w:rsidRPr="000B3998" w:rsidRDefault="00000CDF" w:rsidP="00000CDF">
      <w:pPr>
        <w:pStyle w:val="NormalHanging12a"/>
      </w:pPr>
      <w:r w:rsidRPr="000B3998">
        <w:t>8.</w:t>
      </w:r>
      <w:r w:rsidRPr="000B3998">
        <w:tab/>
        <w:t>atzinīgi vērtē to, ka Savienības budžeta 2014.–2020. gada periodam saistību apropriācijas 2020. gada beigās bija pilnībā izpildītas; norāda arī, ka maksājumu plāns neizpildītajām saistībām ir saskaņots ar projekta īstenošanas plānu — 232,2 miljoni EUR 2022. gadā, 150 miljoni EUR 2023. gadā un pārējie maksājumi turpmākajos gados</w:t>
      </w:r>
      <w:r w:rsidRPr="000B3998">
        <w:rPr>
          <w:vertAlign w:val="superscript"/>
        </w:rPr>
        <w:footnoteReference w:id="20"/>
      </w:r>
      <w:r w:rsidRPr="000B3998">
        <w:t>;</w:t>
      </w:r>
    </w:p>
    <w:p w:rsidR="00000CDF" w:rsidRPr="000B3998" w:rsidRDefault="00000CDF" w:rsidP="00000CDF">
      <w:pPr>
        <w:spacing w:after="240"/>
        <w:ind w:left="570" w:hanging="570"/>
      </w:pPr>
      <w:r w:rsidRPr="000B3998">
        <w:t>9.</w:t>
      </w:r>
      <w:r w:rsidRPr="000B3998">
        <w:tab/>
        <w:t xml:space="preserve">norāda, ka Eiropadome ir vienojusies, ka nākamajā daudzgadu finanšu shēmas periodā 2021.–2027. gadam </w:t>
      </w:r>
      <w:r w:rsidRPr="000B3998">
        <w:rPr>
          <w:i/>
          <w:iCs/>
        </w:rPr>
        <w:t>Euratom</w:t>
      </w:r>
      <w:r w:rsidRPr="000B3998">
        <w:t xml:space="preserve"> kopējais ieguldījums </w:t>
      </w:r>
      <w:r w:rsidRPr="000B3998">
        <w:rPr>
          <w:i/>
          <w:iCs/>
        </w:rPr>
        <w:t>ITER</w:t>
      </w:r>
      <w:r w:rsidRPr="000B3998">
        <w:t xml:space="preserve"> būs 5614 miljoni EUR (pašreizējā vērtībā), no kuriem 5560 miljoni EUR (pašreizējā vērtībā) būs tiešs ieguldījums šajā projektā; norāda arī, ka </w:t>
      </w:r>
      <w:r w:rsidRPr="000B3998">
        <w:rPr>
          <w:i/>
          <w:iCs/>
        </w:rPr>
        <w:t>ITER</w:t>
      </w:r>
      <w:r w:rsidRPr="000B3998">
        <w:t xml:space="preserve"> </w:t>
      </w:r>
      <w:proofErr w:type="spellStart"/>
      <w:r w:rsidRPr="000B3998">
        <w:t>uzņēmējvalsts</w:t>
      </w:r>
      <w:proofErr w:type="spellEnd"/>
      <w:r w:rsidRPr="000B3998">
        <w:t xml:space="preserve"> un dalībnieku iemaksas tiks pieskaitītas šai summai saskaņā ar attiecīgo budžeta lēmējinstitūciju galīgo lēmumu;</w:t>
      </w:r>
    </w:p>
    <w:p w:rsidR="00000CDF" w:rsidRPr="000B3998" w:rsidRDefault="00000CDF" w:rsidP="00000CDF">
      <w:pPr>
        <w:spacing w:after="240"/>
        <w:ind w:left="570" w:hanging="570"/>
      </w:pPr>
      <w:r w:rsidRPr="000B3998">
        <w:t>10.</w:t>
      </w:r>
      <w:r w:rsidRPr="000B3998">
        <w:tab/>
        <w:t>norāda, ka kopuzņēmuma Valde sākotnēji pieņēma kopuzņēmuma 2022. gada budžetu 854,49 miljonu EUR apmērā saistību apropriācijās un 845,45 miljonu EUR apmērā maksājumu apropriācijās un ka tas tika grozīts ar diviem grozījumiem Valdes sanāksmēs 2022. gada jūlijā un decembrī;</w:t>
      </w:r>
    </w:p>
    <w:p w:rsidR="00000CDF" w:rsidRPr="000B3998" w:rsidRDefault="00000CDF" w:rsidP="00000CDF">
      <w:pPr>
        <w:spacing w:after="240"/>
        <w:ind w:left="570" w:hanging="570"/>
      </w:pPr>
      <w:r w:rsidRPr="000B3998">
        <w:t>11.</w:t>
      </w:r>
      <w:r w:rsidRPr="000B3998">
        <w:tab/>
        <w:t>norāda, ka galīgās pieejamās apropriācijas, tostarp no iepriekšējā gada pārnestās apropriācijas, sasniedza 981,18 miljonus EUR saistību apropriācijās (salīdzinājumā ar 1069,9 miljoniem EUR 2021. gadā) un 844,02 miljonus EUR maksājumu apropriācijās (salīdzinājumā ar 764,8 miljoniem EUR 2021. gadā);</w:t>
      </w:r>
    </w:p>
    <w:p w:rsidR="00000CDF" w:rsidRPr="000B3998" w:rsidRDefault="00000CDF" w:rsidP="00000CDF">
      <w:pPr>
        <w:pStyle w:val="NormalHanging12a"/>
      </w:pPr>
      <w:r w:rsidRPr="000B3998">
        <w:t>12.</w:t>
      </w:r>
      <w:r w:rsidRPr="000B3998">
        <w:tab/>
        <w:t xml:space="preserve">norāda, ka kopuzņēmuma galīgā pieejamā budžeta izpildes līmenis bija 72 % saistību apropriācijās un 91 % maksājumu apropriācijās (salīdzinājumā ar attiecīgi 99,7 % un 97,4 % 2021. gadā); atzīmē, ka zemos izpildes rādītājus izraisīja pamatdarbību palēnināšanās gan </w:t>
      </w:r>
      <w:r w:rsidRPr="000B3998">
        <w:rPr>
          <w:i/>
          <w:iCs/>
        </w:rPr>
        <w:t>ITER-IO</w:t>
      </w:r>
      <w:r w:rsidRPr="000B3998">
        <w:t xml:space="preserve">, gan kopuzņēmuma līmenī galvenokārt saistībā ar Covid-19 pandēmijas sekām, Krievijas agresijas karu pret Ukrainu un nesenajām tehniskās izstrādes problēmām </w:t>
      </w:r>
      <w:r w:rsidRPr="000B3998">
        <w:rPr>
          <w:i/>
          <w:iCs/>
        </w:rPr>
        <w:t>ITER</w:t>
      </w:r>
      <w:r w:rsidRPr="000B3998">
        <w:t xml:space="preserve"> projekta pašreizējā montāžas posmā;</w:t>
      </w:r>
    </w:p>
    <w:p w:rsidR="00000CDF" w:rsidRPr="000B3998" w:rsidRDefault="00000CDF" w:rsidP="00000CDF">
      <w:pPr>
        <w:spacing w:after="240"/>
        <w:ind w:left="570" w:hanging="570"/>
      </w:pPr>
      <w:r w:rsidRPr="000B3998">
        <w:t>13.</w:t>
      </w:r>
      <w:r w:rsidRPr="000B3998">
        <w:tab/>
        <w:t>tomēr norāda, ka kopuzņēmums ar budžeta grozījumu samazināja pamatdarbības maksājumu budžetu par 92 miljoniem EUR un papildus pārvietoja 9,5 miljonus EUR no pamatdarbības maksājumu budžeta uz administratīvo budžetu (algām), lai finansētu kopuzņēmuma pensiju fonda saistības pret Komisiju;</w:t>
      </w:r>
    </w:p>
    <w:p w:rsidR="00000CDF" w:rsidRPr="000B3998" w:rsidRDefault="00000CDF" w:rsidP="00000CDF">
      <w:pPr>
        <w:spacing w:after="240"/>
        <w:ind w:left="570" w:hanging="570"/>
      </w:pPr>
      <w:r w:rsidRPr="000B3998">
        <w:t>14.</w:t>
      </w:r>
      <w:r w:rsidRPr="000B3998">
        <w:tab/>
        <w:t>uzsver, ka Revīzijas palāta uzskatīja, ka pastāv trūkumi kopuzņēmuma administratīvā budžeta izpildē, jo šis budžets ir izveidots kā nesadalītās apropriācijas; norāda, ka līdz ar to administratīvās saistības, kuru pamatā ir administratīvie līgumi un saistības, par kurām gada beigās nav veikti maksājumi, var pārnest uz nākamā gada maksājumiem;</w:t>
      </w:r>
    </w:p>
    <w:p w:rsidR="00000CDF" w:rsidRPr="000B3998" w:rsidRDefault="00000CDF" w:rsidP="00000CDF">
      <w:pPr>
        <w:spacing w:after="240"/>
        <w:ind w:left="570" w:hanging="570"/>
      </w:pPr>
      <w:r w:rsidRPr="000B3998">
        <w:t>15.</w:t>
      </w:r>
      <w:r w:rsidRPr="000B3998">
        <w:tab/>
        <w:t>ar bažām norāda, ka 2022. gada beigās 2. sadaļā "Infrastruktūras un pamatdarbības izdevumi" izpildes līmenis bija 63 %, ņemot vērā tikai jauno 2022. gada administratīvo maksājumu budžetu, un 69 %, ņemot vērā arī iepriekšējo gadu neizmantoto administratīvo maksājumu budžetu, kas 2022. gadā atkārtoti aktivizēts īstenošanai, savukārt no iepriekšējā gada pārnesto saistību atcelšanas līmenis bija augsts, un tā vidējais rādītājs bija 20 %;</w:t>
      </w:r>
    </w:p>
    <w:p w:rsidR="00000CDF" w:rsidRPr="000B3998" w:rsidRDefault="00000CDF" w:rsidP="00000CDF">
      <w:pPr>
        <w:spacing w:after="240"/>
      </w:pPr>
      <w:r w:rsidRPr="000B3998">
        <w:rPr>
          <w:b/>
          <w:i/>
        </w:rPr>
        <w:t>Personāls un darbā pieņemšana</w:t>
      </w:r>
    </w:p>
    <w:p w:rsidR="00000CDF" w:rsidRPr="000B3998" w:rsidRDefault="00000CDF" w:rsidP="00000CDF">
      <w:pPr>
        <w:spacing w:after="240"/>
        <w:ind w:left="570" w:hanging="570"/>
      </w:pPr>
      <w:r w:rsidRPr="000B3998">
        <w:t>16.</w:t>
      </w:r>
      <w:r w:rsidRPr="000B3998">
        <w:tab/>
        <w:t>norāda, ka no 2022. gada 31. decembra aizpildītās kopuzņēmuma štata vietas ietvēra 46 ierēdņus, 224 pagaidu darbiniekus un 164 līgumdarbiniekus; tāpat norāda, ka kopuzņēmums izmantoja atbalstu, ko sniedza 12,5 pagaidu darbinieki (</w:t>
      </w:r>
      <w:proofErr w:type="spellStart"/>
      <w:r w:rsidRPr="000B3998">
        <w:t>pilnslodzes</w:t>
      </w:r>
      <w:proofErr w:type="spellEnd"/>
      <w:r w:rsidRPr="000B3998">
        <w:t xml:space="preserve"> ekvivalentos) un trīs norīkotie valsts eksperti;</w:t>
      </w:r>
    </w:p>
    <w:p w:rsidR="00000CDF" w:rsidRPr="000B3998" w:rsidRDefault="00000CDF" w:rsidP="00000CDF">
      <w:pPr>
        <w:spacing w:after="240"/>
        <w:ind w:left="570" w:hanging="570"/>
      </w:pPr>
      <w:r w:rsidRPr="000B3998">
        <w:t>17.</w:t>
      </w:r>
      <w:r w:rsidRPr="000B3998">
        <w:tab/>
        <w:t>norāda arī, ka 11 </w:t>
      </w:r>
      <w:proofErr w:type="spellStart"/>
      <w:r w:rsidRPr="000B3998">
        <w:t>jaunpienācēji</w:t>
      </w:r>
      <w:proofErr w:type="spellEnd"/>
      <w:r w:rsidRPr="000B3998">
        <w:t xml:space="preserve"> (seši pagaidu darbinieki, četri līgumdarbinieki un viens norīkotais valsts eksperts) sāka pildīt pienākumus 2022. gadā un četri darbinieki (visi līgumdarbinieki) kļuva par pagaidu darbiniekiem, pamatojoties uz atlases procedūrām;</w:t>
      </w:r>
    </w:p>
    <w:p w:rsidR="00000CDF" w:rsidRPr="000B3998" w:rsidRDefault="00000CDF" w:rsidP="00000CDF">
      <w:pPr>
        <w:pStyle w:val="NormalHanging12a"/>
      </w:pPr>
      <w:r w:rsidRPr="000B3998">
        <w:t>18.</w:t>
      </w:r>
      <w:r w:rsidRPr="000B3998">
        <w:tab/>
        <w:t>norāda, ka kopuzņēmums ir nedaudz samazinājis dzimumu nelīdzsvarotību; no konsolidētā gada darbības pārskata attiecībā uz dzimumu līdzsvaru konstatē, ka aptuveni 38 % kopuzņēmuma darbinieku bija sievietes un 62 % — vīrieši; mudina kopuzņēmumu turpināt mazināt dzimumu nelīdzsvarotību un šajā ziņā censties panākt vienlīdzīgu ģeogrāfisko līdzsvaru;</w:t>
      </w:r>
    </w:p>
    <w:p w:rsidR="00000CDF" w:rsidRPr="000B3998" w:rsidRDefault="00000CDF" w:rsidP="00000CDF">
      <w:pPr>
        <w:spacing w:after="240"/>
        <w:ind w:left="570" w:hanging="570"/>
      </w:pPr>
      <w:r w:rsidRPr="000B3998">
        <w:t>19.</w:t>
      </w:r>
      <w:r w:rsidRPr="000B3998">
        <w:tab/>
        <w:t xml:space="preserve">uzsver, ka Revīzijas palāta uzskatīja, ka 2022. gada beigās kopuzņēmuma augstākās vadības situācija ir saglabājusies nestabila un ir pakļauta būtiskām pārmaiņām, jo 2022. gada jūnijā darbu atstāja direktors un Plašākas pieejas departamenta vadītājs 2022. gada septembrī tika iecelts par </w:t>
      </w:r>
      <w:r w:rsidRPr="000B3998">
        <w:rPr>
          <w:i/>
          <w:iCs/>
        </w:rPr>
        <w:t>ITER-IO</w:t>
      </w:r>
      <w:r w:rsidRPr="000B3998">
        <w:t xml:space="preserve"> ģenerāldirektoru, kā rezultātā personāla maiņa skāra četrus no kopuzņēmuma septiņiem augstākā līmeņa vadītāju amatiem;</w:t>
      </w:r>
    </w:p>
    <w:p w:rsidR="00000CDF" w:rsidRPr="000B3998" w:rsidRDefault="00000CDF" w:rsidP="00000CDF">
      <w:pPr>
        <w:spacing w:after="240"/>
        <w:ind w:left="570" w:hanging="570"/>
      </w:pPr>
      <w:r w:rsidRPr="000B3998">
        <w:t>20.</w:t>
      </w:r>
      <w:r w:rsidRPr="000B3998">
        <w:tab/>
        <w:t xml:space="preserve">piekrīt Revīzijas palātas paustajai </w:t>
      </w:r>
      <w:proofErr w:type="spellStart"/>
      <w:r w:rsidRPr="000B3998">
        <w:t>nostājai</w:t>
      </w:r>
      <w:proofErr w:type="spellEnd"/>
      <w:r w:rsidRPr="000B3998">
        <w:t xml:space="preserve">, ka šī situācija rada risku kopuzņēmuma pareizai pārvaldībai un nepārtrauktībai laikā, kad pieredzējušiem augstākā līmeņa vadītājiem būs jāīsteno jaunie </w:t>
      </w:r>
      <w:r w:rsidRPr="000B3998">
        <w:rPr>
          <w:i/>
          <w:iCs/>
        </w:rPr>
        <w:t>ITER</w:t>
      </w:r>
      <w:r w:rsidRPr="000B3998">
        <w:t xml:space="preserve"> </w:t>
      </w:r>
      <w:proofErr w:type="spellStart"/>
      <w:r w:rsidRPr="000B3998">
        <w:t>pamatscenāriji</w:t>
      </w:r>
      <w:proofErr w:type="spellEnd"/>
      <w:r w:rsidRPr="000B3998">
        <w:t>, kuriem ir nozīmīga ietekme uz kopuzņēmuma darbībām;</w:t>
      </w:r>
    </w:p>
    <w:p w:rsidR="00000CDF" w:rsidRPr="000B3998" w:rsidRDefault="00000CDF" w:rsidP="00000CDF">
      <w:pPr>
        <w:spacing w:after="240"/>
        <w:ind w:left="570" w:hanging="570"/>
      </w:pPr>
      <w:r w:rsidRPr="000B3998">
        <w:t>21.</w:t>
      </w:r>
      <w:r w:rsidRPr="000B3998">
        <w:tab/>
        <w:t>ar bažām norāda uz arodbiedrību 2022. gada sākumā Komisijai adresēto vēstuli</w:t>
      </w:r>
      <w:r w:rsidRPr="000B3998">
        <w:rPr>
          <w:rStyle w:val="FootnoteReference"/>
        </w:rPr>
        <w:footnoteReference w:id="21"/>
      </w:r>
      <w:r w:rsidRPr="000B3998">
        <w:t xml:space="preserve">, kurā aprakstīti vadības un cilvēkresursu jautājumi un Komisija brīdināta par situācijas radītajiem riskiem kopuzņēmuma pienācīgai darbībai, tā darbinieku labklājībai un Savienības reputācijai saistībā ar </w:t>
      </w:r>
      <w:r w:rsidRPr="000B3998">
        <w:rPr>
          <w:i/>
          <w:iCs/>
        </w:rPr>
        <w:t>ITER</w:t>
      </w:r>
      <w:r w:rsidRPr="000B3998">
        <w:t xml:space="preserve"> projektu;</w:t>
      </w:r>
    </w:p>
    <w:p w:rsidR="00000CDF" w:rsidRPr="000B3998" w:rsidRDefault="00000CDF" w:rsidP="00000CDF">
      <w:pPr>
        <w:spacing w:after="240"/>
        <w:rPr>
          <w:b/>
          <w:i/>
        </w:rPr>
      </w:pPr>
      <w:r w:rsidRPr="000B3998">
        <w:rPr>
          <w:b/>
          <w:i/>
        </w:rPr>
        <w:t>Krāpšanas un interešu konfliktu novēršana</w:t>
      </w:r>
    </w:p>
    <w:p w:rsidR="00000CDF" w:rsidRPr="000B3998" w:rsidRDefault="00000CDF" w:rsidP="00000CDF">
      <w:pPr>
        <w:spacing w:after="240"/>
        <w:ind w:left="570" w:hanging="570"/>
      </w:pPr>
      <w:r w:rsidRPr="000B3998">
        <w:t>22.</w:t>
      </w:r>
      <w:r w:rsidRPr="000B3998">
        <w:tab/>
        <w:t>norāda, ka saskaņā ar konsolidēto 2022. gada darbības pārskatu Krāpšanas apkarošanas rīcības plānā paredzēto darbību īstenošana ir sistemātiski uzraudzīta, izmantojot īpašu datubāzi (</w:t>
      </w:r>
      <w:r w:rsidRPr="000B3998">
        <w:rPr>
          <w:i/>
          <w:iCs/>
        </w:rPr>
        <w:t>RAPID</w:t>
      </w:r>
      <w:r w:rsidRPr="000B3998">
        <w:t>), kurā dokumentēts turpmākais progress attiecībā uz krāpšanas apkarošanas pasākumu īstenošanu 2022. gadā;</w:t>
      </w:r>
    </w:p>
    <w:p w:rsidR="00000CDF" w:rsidRPr="000B3998" w:rsidRDefault="00000CDF" w:rsidP="00000CDF">
      <w:pPr>
        <w:spacing w:after="240"/>
        <w:ind w:left="570" w:hanging="570"/>
      </w:pPr>
      <w:r w:rsidRPr="000B3998">
        <w:t>23.</w:t>
      </w:r>
      <w:r w:rsidRPr="000B3998">
        <w:tab/>
        <w:t xml:space="preserve">ar gandarījumu norāda, ka visa gada garumā par krāpšanas apkarošanu un ētikas jautājumiem atbildīgais darbinieks sniedza informāciju un atbalstu krāpšanas novēršanas jautājumos darbiniekiem, kas iesaistīti iepirkumos, līgumu pārvaldībā un finanšu un cilvēkresursu pārvaldībā, un ka kopuzņēmuma darbiniekiem un vadībai tika organizēti izpratnes par krāpšanas apkarošanu veicināšanas pasākumi, tostarp apmācības </w:t>
      </w:r>
      <w:proofErr w:type="spellStart"/>
      <w:r w:rsidRPr="000B3998">
        <w:t>jaunpienācējiem</w:t>
      </w:r>
      <w:proofErr w:type="spellEnd"/>
      <w:r w:rsidRPr="000B3998">
        <w:t>; norāda, ka par īstenošanas statusu tika ziņots Revīzijas komitejas sanāksmēs, turklāt kopuzņēmuma iekšējais krāpšanas apkarošanas korespondentu tīkls tika informēts atsevišķi, kā arī saistībā ar regulārajām Apliecinājuma tīkla sanāksmēm;</w:t>
      </w:r>
    </w:p>
    <w:p w:rsidR="00000CDF" w:rsidRPr="000B3998" w:rsidRDefault="00000CDF" w:rsidP="00000CDF">
      <w:pPr>
        <w:spacing w:after="240"/>
        <w:ind w:left="570" w:hanging="570"/>
      </w:pPr>
      <w:r w:rsidRPr="000B3998">
        <w:t>24.</w:t>
      </w:r>
      <w:r w:rsidRPr="000B3998">
        <w:tab/>
        <w:t xml:space="preserve">ar gandarījumu atzīmē, ka darbiniekiem tika darīti zināmi noteikumi, procedūras, procesi un </w:t>
      </w:r>
      <w:proofErr w:type="spellStart"/>
      <w:r w:rsidRPr="000B3998">
        <w:t>paraugprakse</w:t>
      </w:r>
      <w:proofErr w:type="spellEnd"/>
      <w:r w:rsidRPr="000B3998">
        <w:t xml:space="preserve"> saistībā ar ētiku un interešu konfliktu novēršanu un pārvaldību, jo īpaši izmantojot kopuzņēmuma rokasgrāmatu par kopuzņēmuma iekštīklu;</w:t>
      </w:r>
    </w:p>
    <w:p w:rsidR="00000CDF" w:rsidRPr="000B3998" w:rsidRDefault="00000CDF" w:rsidP="00000CDF">
      <w:pPr>
        <w:spacing w:after="240"/>
        <w:ind w:left="570" w:hanging="570"/>
      </w:pPr>
      <w:r w:rsidRPr="000B3998">
        <w:t>25.</w:t>
      </w:r>
      <w:r w:rsidRPr="000B3998">
        <w:tab/>
        <w:t xml:space="preserve">atzinīgi vērtē to, ka no 2022. gada visiem kopuzņēmuma darbiniekiem katru gadu ir pienākums sniegt vispārēju interešu deklarāciju; norāda, ka deklarāciju iesniegšana un izvērtēšana patlaban tiek pārvaldīta, izmantojot </w:t>
      </w:r>
      <w:proofErr w:type="spellStart"/>
      <w:r w:rsidRPr="000B3998">
        <w:t>jaunizveidoto</w:t>
      </w:r>
      <w:proofErr w:type="spellEnd"/>
      <w:r w:rsidRPr="000B3998">
        <w:t xml:space="preserve"> </w:t>
      </w:r>
      <w:proofErr w:type="spellStart"/>
      <w:r w:rsidRPr="000B3998">
        <w:t>digitalizēto</w:t>
      </w:r>
      <w:proofErr w:type="spellEnd"/>
      <w:r w:rsidRPr="000B3998">
        <w:t xml:space="preserve"> kopuzņēmuma interešu konflikta reģistru, kas uzlabo pēcpārbaudi un izsekojamību un tādējādi arī interešu konfliktu novēršanu un pārvaldību;</w:t>
      </w:r>
    </w:p>
    <w:p w:rsidR="00000CDF" w:rsidRPr="000B3998" w:rsidRDefault="00000CDF" w:rsidP="00000CDF">
      <w:pPr>
        <w:spacing w:after="240"/>
      </w:pPr>
      <w:r w:rsidRPr="000B3998">
        <w:rPr>
          <w:b/>
          <w:i/>
        </w:rPr>
        <w:t>Pārvaldības un kontroles sistēmas</w:t>
      </w:r>
    </w:p>
    <w:p w:rsidR="00000CDF" w:rsidRPr="000B3998" w:rsidRDefault="00000CDF" w:rsidP="00000CDF">
      <w:pPr>
        <w:spacing w:after="240"/>
        <w:ind w:left="570" w:hanging="570"/>
      </w:pPr>
      <w:r w:rsidRPr="000B3998">
        <w:t>26.</w:t>
      </w:r>
      <w:r w:rsidRPr="000B3998">
        <w:tab/>
        <w:t xml:space="preserve">ar bažām norāda, ka Revīzijas palāta uzskata, ka kopuzņēmuma līgumu pārvaldībā ir nepilnības, kas ir nopietni ietekmējušas līgumu mērķu sasniegšanu, un, ja tās netiks novērstas, var ietekmēt arī citas kopuzņēmuma pamatdarbības, ņemot vērā būtiskos grozījumus spēkā esošajos sarežģītajos līgumos, kas var būt nepieciešami saistībā ar </w:t>
      </w:r>
      <w:r w:rsidRPr="000B3998">
        <w:rPr>
          <w:i/>
          <w:iCs/>
        </w:rPr>
        <w:t>ITER</w:t>
      </w:r>
      <w:r w:rsidRPr="000B3998">
        <w:t xml:space="preserve"> projekta atjaunināto </w:t>
      </w:r>
      <w:proofErr w:type="spellStart"/>
      <w:r w:rsidRPr="000B3998">
        <w:t>pamatscenāriju</w:t>
      </w:r>
      <w:proofErr w:type="spellEnd"/>
      <w:r w:rsidRPr="000B3998">
        <w:t>;</w:t>
      </w:r>
    </w:p>
    <w:p w:rsidR="00000CDF" w:rsidRPr="000B3998" w:rsidRDefault="00000CDF" w:rsidP="00000CDF">
      <w:pPr>
        <w:spacing w:after="240"/>
        <w:ind w:left="570" w:hanging="570"/>
      </w:pPr>
      <w:r w:rsidRPr="000B3998">
        <w:t>27.</w:t>
      </w:r>
      <w:r w:rsidRPr="000B3998">
        <w:tab/>
        <w:t xml:space="preserve">īpaši atzīmē, ka 2013. gadā kopuzņēmums noslēdza 500 miljonu EUR vērtu līgumu par </w:t>
      </w:r>
      <w:r w:rsidRPr="000B3998">
        <w:rPr>
          <w:i/>
          <w:iCs/>
        </w:rPr>
        <w:t>ITER</w:t>
      </w:r>
      <w:r w:rsidRPr="000B3998">
        <w:t xml:space="preserve"> </w:t>
      </w:r>
      <w:proofErr w:type="spellStart"/>
      <w:r w:rsidRPr="000B3998">
        <w:t>kodolbūvju</w:t>
      </w:r>
      <w:proofErr w:type="spellEnd"/>
      <w:r w:rsidRPr="000B3998">
        <w:t xml:space="preserve"> un ar kodolenerģiju nesaistītu ēku projektēšanu, aprīkošanu un uzstādīšanu; norāda, ka kopuzņēmums un </w:t>
      </w:r>
      <w:r w:rsidRPr="000B3998">
        <w:rPr>
          <w:i/>
          <w:iCs/>
        </w:rPr>
        <w:t>ITER-IO</w:t>
      </w:r>
      <w:r w:rsidRPr="000B3998">
        <w:t xml:space="preserve"> 2020. gada decembrī, reaģējot uz bažām un neapmierinātību ar darbuzņēmēja progresu un efektivitāti saistībā ar joprojām veicamo darbu ēkās, kas nav saistītas ar kodolenerģiju, ar ārējo juridisko ekspertu palīdzību novērtēja iespējamās sekas, ko varētu radīt alternatīvas iepirkuma stratēģijas, piemēram, atkārtota iepirkuma procedūra aprīkošanas pakalpojumiem vai atlikušā darba nodošana citiem darbuzņēmējiem; norāda, ka darbuzņēmējs 2021. gada februārī iesniedza izmaksu deklarāciju 150 miljonu EUR apmērā par </w:t>
      </w:r>
      <w:proofErr w:type="spellStart"/>
      <w:r w:rsidRPr="000B3998">
        <w:t>kodolbūvju</w:t>
      </w:r>
      <w:proofErr w:type="spellEnd"/>
      <w:r w:rsidRPr="000B3998">
        <w:t xml:space="preserve"> projektēšanas un aprīkošanas pakalpojumiem, bet 2021. gada septembrī — vēl vienu izmaksu deklarāciju 30 miljonu EUR apmērā par atlikušo darbu ēkās, kas nav saistītas ar kodolenerģiju; norāda arī, ka, pamatojoties uz juridisko ekspertu riska analīzi un atsauksmēm, kopuzņēmuma direktors panāca vienošanos ar darbuzņēmēju tikai par pirmo izmaksu deklarāciju par 75 miljoniem EUR, un darbuzņēmējs apstrīdēja nesamaksāto otro izmaksu deklarāciju;</w:t>
      </w:r>
    </w:p>
    <w:p w:rsidR="00000CDF" w:rsidRPr="000B3998" w:rsidRDefault="00000CDF" w:rsidP="00000CDF">
      <w:pPr>
        <w:spacing w:after="240"/>
        <w:ind w:left="570" w:hanging="570"/>
      </w:pPr>
      <w:r w:rsidRPr="000B3998">
        <w:t>28.</w:t>
      </w:r>
      <w:r w:rsidRPr="000B3998">
        <w:tab/>
        <w:t>norāda, ka saskaņā ar Revīzijas palātas sniegto informāciju, analizējot līguma izpildes dokumentāciju, atklājās trūkumi kopuzņēmuma veiktajā šā līguma pārvaldībā, un Revīzijas palāta īpaši uzsvēra to, ka kopuzņēmums nebija ziņojis par būtisku neatbilstību darbuzņēmēja plānošanā, kas noveda pie atšķirīgas pušu interpretācijas un domstarpībām par darbu apjomu, termiņiem un projekta prasībām; turklāt juridiskie eksperti secināja, ka, ņemot vērā attiecīgo noteikumu formulējumu, kopuzņēmums nevarēja izbeigt līgumu, lai pats veiktu no darba apjoma izslēgto darbu vai tā veikšanu uzticētu citiem darbuzņēmējiem; pauž nožēlu, ka kopuzņēmuma projekta dokumentācijas trūkuma dēļ kopuzņēmums nevarēja skaidri noteikt darbuzņēmēja saistības;</w:t>
      </w:r>
    </w:p>
    <w:p w:rsidR="00000CDF" w:rsidRPr="000B3998" w:rsidRDefault="00000CDF" w:rsidP="00000CDF">
      <w:pPr>
        <w:spacing w:after="240"/>
        <w:ind w:left="570" w:hanging="570"/>
      </w:pPr>
      <w:r w:rsidRPr="000B3998">
        <w:t>29.</w:t>
      </w:r>
      <w:r w:rsidRPr="000B3998">
        <w:tab/>
        <w:t>konstatē, ka 2022. gada konsolidētajā darbības pārskatā ir norādīts, ka kopuzņēmums turpina ieviest atzītu, pārbaudītu un labi funkcionējošu iekšējās kontroles sistēmu; tomēr atzīmē, ka kopuzņēmums atzīst, ka augstākās vadības (direktora un augstākā līmeņa vadītāju) izmaiņas kopš 2022. gada vidus ir tieši ietekmējušas dažu darbību īstenošanu, kā arī kopuzņēmuma organizācijas kultūru un ka var paiet zināms laiks, līdz būs redzami iniciatīvu pilnīgas īstenošanas rezultāti;</w:t>
      </w:r>
    </w:p>
    <w:p w:rsidR="00000CDF" w:rsidRPr="000B3998" w:rsidRDefault="00000CDF" w:rsidP="00000CDF">
      <w:pPr>
        <w:spacing w:after="240"/>
        <w:ind w:left="570" w:hanging="570"/>
      </w:pPr>
      <w:r w:rsidRPr="000B3998">
        <w:t>30.</w:t>
      </w:r>
      <w:r w:rsidRPr="000B3998">
        <w:tab/>
        <w:t xml:space="preserve">atzīst, ka, piemērojot piesardzības principu, kopuzņēmums divas nepilnības saistībā ar ārējo pakalpojumu sniedzējiem (cilvēkresursi, kompetence un </w:t>
      </w:r>
      <w:proofErr w:type="spellStart"/>
      <w:r w:rsidRPr="000B3998">
        <w:t>turpināmība</w:t>
      </w:r>
      <w:proofErr w:type="spellEnd"/>
      <w:r w:rsidRPr="000B3998">
        <w:t xml:space="preserve">) un personāla darba slodzi un </w:t>
      </w:r>
      <w:proofErr w:type="spellStart"/>
      <w:r w:rsidRPr="000B3998">
        <w:t>labbūtību</w:t>
      </w:r>
      <w:proofErr w:type="spellEnd"/>
      <w:r w:rsidRPr="000B3998">
        <w:t xml:space="preserve"> ir atzinis par būtiskām;</w:t>
      </w:r>
    </w:p>
    <w:p w:rsidR="00000CDF" w:rsidRPr="000B3998" w:rsidRDefault="00000CDF" w:rsidP="00000CDF">
      <w:pPr>
        <w:spacing w:after="240"/>
        <w:ind w:left="570" w:hanging="570"/>
      </w:pPr>
      <w:r w:rsidRPr="000B3998">
        <w:t>31.</w:t>
      </w:r>
      <w:r w:rsidRPr="000B3998">
        <w:tab/>
        <w:t>tāpat norāda, ka kopuzņēmuma augstākā vadība pastāvīgi uzrauga darbības, kas uzsāktas jomās, kurās konstatēti būtiski trūkumi, un uzskata, ka kopuzņēmums ir ievērojami mazinājis saistītos riskus un sagatavojis konkrētus rīcības plānus, lai risinātu neatrisinātās problēmas, tādējādi attaisnojot atrunas par 2021. gadu atcelšanu 2022. gadā;</w:t>
      </w:r>
    </w:p>
    <w:p w:rsidR="00000CDF" w:rsidRPr="000B3998" w:rsidRDefault="00000CDF" w:rsidP="00000CDF">
      <w:pPr>
        <w:spacing w:after="240"/>
      </w:pPr>
      <w:r w:rsidRPr="000B3998">
        <w:rPr>
          <w:b/>
          <w:i/>
        </w:rPr>
        <w:t>Iepriekšējos gados formulēto apsvērumu pēcpārbaude</w:t>
      </w:r>
    </w:p>
    <w:p w:rsidR="00000CDF" w:rsidRPr="000B3998" w:rsidRDefault="00000CDF" w:rsidP="00000CDF">
      <w:pPr>
        <w:spacing w:after="240"/>
        <w:ind w:left="570" w:hanging="570"/>
      </w:pPr>
      <w:r w:rsidRPr="000B3998">
        <w:t>32.</w:t>
      </w:r>
      <w:r w:rsidRPr="000B3998">
        <w:tab/>
        <w:t xml:space="preserve">norāda, ka "apsvērumi" kopuzņēmumu īpašajos gada ziņojumos faktiski ir Revīzijas palātas "ieteikumi bez izpildes termiņa"; atzīmē, ka Revīzijas palāta ik gadu seko līdzi šiem apsvērumiem, novērtējot to statusu kā "atvērtu" vai "slēgtu"; </w:t>
      </w:r>
    </w:p>
    <w:p w:rsidR="00000CDF" w:rsidRPr="000B3998" w:rsidRDefault="00000CDF" w:rsidP="00000CDF">
      <w:pPr>
        <w:spacing w:after="240"/>
        <w:ind w:left="570" w:hanging="570"/>
      </w:pPr>
      <w:r w:rsidRPr="000B3998">
        <w:t>33.</w:t>
      </w:r>
      <w:r w:rsidRPr="000B3998">
        <w:tab/>
        <w:t>norāda, ka no pieciem Revīzijas palātas apsvērumiem par 2019. un 2021. gadu tikai divi ir slēgti;</w:t>
      </w:r>
    </w:p>
    <w:p w:rsidR="00000CDF" w:rsidRPr="000B3998" w:rsidRDefault="00000CDF" w:rsidP="00000CDF">
      <w:pPr>
        <w:spacing w:after="240"/>
        <w:ind w:left="570" w:hanging="570"/>
      </w:pPr>
      <w:r w:rsidRPr="000B3998">
        <w:t>34.</w:t>
      </w:r>
      <w:r w:rsidRPr="000B3998">
        <w:tab/>
        <w:t xml:space="preserve">norāda, ka atvērtais apsvērums par 2019. gadu ir saistīts ar resursu, par kuriem noslēgti piegādes līgumi vai ārpakalpojumu līgumi, pārmērīgu izmantošanu (aptuveni 62 % 2019. gadā), kas rada būtiskus riskus kopuzņēmumam saistībā ar būtisku kompetenču saglabāšanu, neskaidru </w:t>
      </w:r>
      <w:proofErr w:type="spellStart"/>
      <w:r w:rsidRPr="000B3998">
        <w:t>pārskatatbildību</w:t>
      </w:r>
      <w:proofErr w:type="spellEnd"/>
      <w:r w:rsidRPr="000B3998">
        <w:t>, iespējamiem juridiskiem strīdiem un zemāku personāla efektivitāti decentralizētas pārvaldības dēļ;</w:t>
      </w:r>
    </w:p>
    <w:p w:rsidR="00000CDF" w:rsidRPr="000B3998" w:rsidRDefault="00000CDF" w:rsidP="00000CDF">
      <w:pPr>
        <w:spacing w:after="240"/>
        <w:ind w:left="570" w:hanging="570"/>
      </w:pPr>
      <w:r w:rsidRPr="000B3998">
        <w:t>35.</w:t>
      </w:r>
      <w:r w:rsidRPr="000B3998">
        <w:tab/>
        <w:t xml:space="preserve">atzīmē, ka 2022. gadā kopuzņēmums izveidoja darba grupu, lai tā izvērtētu ārējo resursu plašo izmantošanu, jo šāds </w:t>
      </w:r>
      <w:proofErr w:type="spellStart"/>
      <w:r w:rsidRPr="000B3998">
        <w:t>izvērtējums</w:t>
      </w:r>
      <w:proofErr w:type="spellEnd"/>
      <w:r w:rsidRPr="000B3998">
        <w:t xml:space="preserve"> palīdzētu labāk plānot ārējos resursus un pamatot vajadzību pēc tiem;</w:t>
      </w:r>
    </w:p>
    <w:p w:rsidR="00000CDF" w:rsidRPr="000B3998" w:rsidRDefault="00000CDF" w:rsidP="00000CDF">
      <w:pPr>
        <w:spacing w:after="240"/>
        <w:ind w:left="570" w:hanging="570"/>
      </w:pPr>
      <w:r w:rsidRPr="000B3998">
        <w:t>36.</w:t>
      </w:r>
      <w:r w:rsidRPr="000B3998">
        <w:tab/>
        <w:t>norāda, ka atvērtie apsvērumi par 2021. gadu ir saistīti ar i) pierādījumu trūkumu par ārējo ekspertu un intensīvu iekšējo revīziju, kas aptver lielāko daļu no kopuzņēmuma kritiski svarīgām darbības jomām un kas palielināja administratīvo slogu, efektivitāti un pozitīvo ietekmi uz regulāru ikgadēju novērtējumu sistēmu, kā arī ar ii) darba vides pasliktināšanos kopuzņēmumā</w:t>
      </w:r>
      <w:r w:rsidRPr="000B3998">
        <w:rPr>
          <w:rStyle w:val="FootnoteReference"/>
        </w:rPr>
        <w:footnoteReference w:id="22"/>
      </w:r>
      <w:r w:rsidRPr="000B3998">
        <w:t xml:space="preserve"> un ārējo personāla resursu nesamērīgu izmantošanu, palielinot problēmas un riskus darba vidē;</w:t>
      </w:r>
    </w:p>
    <w:p w:rsidR="00000CDF" w:rsidRPr="000B3998" w:rsidRDefault="00000CDF" w:rsidP="00000CDF">
      <w:pPr>
        <w:spacing w:after="240"/>
        <w:ind w:left="570" w:hanging="570"/>
      </w:pPr>
      <w:r w:rsidRPr="000B3998">
        <w:t>37.</w:t>
      </w:r>
      <w:r w:rsidRPr="000B3998">
        <w:tab/>
        <w:t>norāda, ka 2022. gadā, ņemot vērā divus ieteikumus, kas bija sniegti 10. ikgadējā novērtējuma ziņojumā</w:t>
      </w:r>
      <w:r w:rsidRPr="000B3998">
        <w:rPr>
          <w:rStyle w:val="FootnoteReference"/>
        </w:rPr>
        <w:footnoteReference w:id="23"/>
      </w:r>
      <w:r w:rsidRPr="000B3998">
        <w:t xml:space="preserve"> par cilvēkresursu pārvaldību, Valde apstiprināja rīcības plānu to īstenošanai.</w:t>
      </w:r>
    </w:p>
    <w:p w:rsidR="00E365E1" w:rsidRPr="000B3998" w:rsidRDefault="00E365E1" w:rsidP="00075872">
      <w:bookmarkStart w:id="11" w:name="TextBodyEnd"/>
      <w:bookmarkEnd w:id="11"/>
    </w:p>
    <w:sectPr w:rsidR="00E365E1" w:rsidRPr="000B3998" w:rsidSect="0058029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872" w:rsidRPr="0058029F" w:rsidRDefault="00075872">
      <w:r w:rsidRPr="0058029F">
        <w:separator/>
      </w:r>
    </w:p>
  </w:endnote>
  <w:endnote w:type="continuationSeparator" w:id="0">
    <w:p w:rsidR="00075872" w:rsidRPr="0058029F" w:rsidRDefault="00075872">
      <w:r w:rsidRPr="005802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DF" w:rsidRPr="0058029F" w:rsidRDefault="00000CDF" w:rsidP="00D45CF1">
    <w:pPr>
      <w:pStyle w:val="EPFooter"/>
    </w:pPr>
    <w:r w:rsidRPr="0058029F">
      <w:t>PE</w:t>
    </w:r>
    <w:r w:rsidRPr="0058029F">
      <w:rPr>
        <w:rStyle w:val="HideTWBExt"/>
      </w:rPr>
      <w:t>&lt;NoPE&gt;</w:t>
    </w:r>
    <w:r w:rsidRPr="0058029F">
      <w:t>753.493</w:t>
    </w:r>
    <w:r w:rsidRPr="0058029F">
      <w:rPr>
        <w:rStyle w:val="HideTWBExt"/>
      </w:rPr>
      <w:t>&lt;/NoPE&gt;&lt;Version&gt;</w:t>
    </w:r>
    <w:r w:rsidRPr="0058029F">
      <w:t>v02-00</w:t>
    </w:r>
    <w:r w:rsidRPr="0058029F">
      <w:rPr>
        <w:rStyle w:val="HideTWBExt"/>
      </w:rPr>
      <w:t>&lt;/Version&gt;</w:t>
    </w:r>
    <w:r w:rsidRPr="0058029F">
      <w:tab/>
    </w:r>
    <w:r w:rsidRPr="0058029F">
      <w:fldChar w:fldCharType="begin"/>
    </w:r>
    <w:r w:rsidRPr="0058029F">
      <w:instrText xml:space="preserve"> PAGE  \* MERGEFORMAT </w:instrText>
    </w:r>
    <w:r w:rsidRPr="0058029F">
      <w:fldChar w:fldCharType="separate"/>
    </w:r>
    <w:r w:rsidRPr="0058029F">
      <w:rPr>
        <w:noProof/>
      </w:rPr>
      <w:t>4</w:t>
    </w:r>
    <w:r w:rsidRPr="0058029F">
      <w:fldChar w:fldCharType="end"/>
    </w:r>
    <w:r w:rsidRPr="0058029F">
      <w:t>/</w:t>
    </w:r>
    <w:r w:rsidR="00521749">
      <w:fldChar w:fldCharType="begin"/>
    </w:r>
    <w:r w:rsidR="00521749">
      <w:instrText xml:space="preserve"> NUMPAGES  \* MERGEFORMAT </w:instrText>
    </w:r>
    <w:r w:rsidR="00521749">
      <w:fldChar w:fldCharType="separate"/>
    </w:r>
    <w:r w:rsidRPr="0058029F">
      <w:rPr>
        <w:noProof/>
      </w:rPr>
      <w:t>4</w:t>
    </w:r>
    <w:r w:rsidR="00521749">
      <w:rPr>
        <w:noProof/>
      </w:rPr>
      <w:fldChar w:fldCharType="end"/>
    </w:r>
    <w:r w:rsidRPr="0058029F">
      <w:tab/>
    </w:r>
    <w:r w:rsidRPr="0058029F">
      <w:rPr>
        <w:rStyle w:val="HideTWBExt"/>
      </w:rPr>
      <w:t>&lt;PathFdR&gt;</w:t>
    </w:r>
    <w:r w:rsidRPr="0058029F">
      <w:t>RR\1298723LV.docx</w:t>
    </w:r>
    <w:r w:rsidRPr="0058029F">
      <w:rPr>
        <w:rStyle w:val="HideTWBExt"/>
      </w:rPr>
      <w:t>&lt;/PathFdR&gt;</w:t>
    </w:r>
  </w:p>
  <w:p w:rsidR="00000CDF" w:rsidRPr="0058029F" w:rsidRDefault="00000CDF" w:rsidP="00D45CF1">
    <w:pPr>
      <w:pStyle w:val="EPFooter2"/>
    </w:pPr>
    <w:r w:rsidRPr="0058029F">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DF" w:rsidRPr="0058029F" w:rsidRDefault="00000CDF" w:rsidP="00D45CF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DF" w:rsidRPr="0058029F" w:rsidRDefault="00000CDF" w:rsidP="00D45CF1">
    <w:pPr>
      <w:pStyle w:val="EPFooter"/>
    </w:pPr>
    <w:r w:rsidRPr="0058029F">
      <w:rPr>
        <w:rStyle w:val="HideTWBExt"/>
      </w:rPr>
      <w:t>&lt;PathFdR&gt;</w:t>
    </w:r>
    <w:r w:rsidRPr="0058029F">
      <w:t>RR\1298723LV.docx</w:t>
    </w:r>
    <w:r w:rsidRPr="0058029F">
      <w:rPr>
        <w:rStyle w:val="HideTWBExt"/>
      </w:rPr>
      <w:t>&lt;/PathFdR&gt;</w:t>
    </w:r>
    <w:r w:rsidRPr="0058029F">
      <w:tab/>
    </w:r>
    <w:r w:rsidRPr="0058029F">
      <w:tab/>
      <w:t>PE</w:t>
    </w:r>
    <w:r w:rsidRPr="0058029F">
      <w:rPr>
        <w:rStyle w:val="HideTWBExt"/>
      </w:rPr>
      <w:t>&lt;NoPE&gt;</w:t>
    </w:r>
    <w:r w:rsidRPr="0058029F">
      <w:t>753.493</w:t>
    </w:r>
    <w:r w:rsidRPr="0058029F">
      <w:rPr>
        <w:rStyle w:val="HideTWBExt"/>
      </w:rPr>
      <w:t>&lt;/NoPE&gt;&lt;Version&gt;</w:t>
    </w:r>
    <w:r w:rsidRPr="0058029F">
      <w:t>v02-00</w:t>
    </w:r>
    <w:r w:rsidRPr="0058029F">
      <w:rPr>
        <w:rStyle w:val="HideTWBExt"/>
      </w:rPr>
      <w:t>&lt;/Version&gt;</w:t>
    </w:r>
  </w:p>
  <w:p w:rsidR="00000CDF" w:rsidRPr="0058029F" w:rsidRDefault="00000CDF" w:rsidP="00D45CF1">
    <w:pPr>
      <w:pStyle w:val="EPFooter2"/>
    </w:pPr>
    <w:r w:rsidRPr="0058029F">
      <w:t>LV</w:t>
    </w:r>
    <w:r w:rsidRPr="0058029F">
      <w:tab/>
    </w:r>
    <w:r w:rsidRPr="0058029F">
      <w:rPr>
        <w:b w:val="0"/>
        <w:i/>
        <w:color w:val="C0C0C0"/>
        <w:sz w:val="22"/>
      </w:rPr>
      <w:t>Vienoti daudzveidībā</w:t>
    </w:r>
    <w:r w:rsidRPr="0058029F">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029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029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02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872" w:rsidRPr="0058029F" w:rsidRDefault="00075872">
      <w:r w:rsidRPr="0058029F">
        <w:separator/>
      </w:r>
    </w:p>
  </w:footnote>
  <w:footnote w:type="continuationSeparator" w:id="0">
    <w:p w:rsidR="00075872" w:rsidRPr="0058029F" w:rsidRDefault="00075872">
      <w:r w:rsidRPr="0058029F">
        <w:continuationSeparator/>
      </w:r>
    </w:p>
  </w:footnote>
  <w:footnote w:id="1">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r w:rsidRPr="0058029F">
        <w:rPr>
          <w:sz w:val="24"/>
          <w:lang w:val="lv-LV"/>
        </w:rPr>
        <w:t>OV C, C/2023/1025, 16.11.2023.</w:t>
      </w:r>
    </w:p>
  </w:footnote>
  <w:footnote w:id="2">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r w:rsidRPr="0058029F">
        <w:rPr>
          <w:sz w:val="24"/>
          <w:lang w:val="lv-LV"/>
        </w:rPr>
        <w:t>OV C, C/2023/112, 12.10.2023.</w:t>
      </w:r>
    </w:p>
  </w:footnote>
  <w:footnote w:id="3">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r w:rsidRPr="0058029F">
        <w:rPr>
          <w:sz w:val="24"/>
          <w:lang w:val="lv-LV"/>
        </w:rPr>
        <w:t>OV L 193, 30.7.2018., 1. lpp.</w:t>
      </w:r>
    </w:p>
  </w:footnote>
  <w:footnote w:id="4">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r w:rsidRPr="0058029F">
        <w:rPr>
          <w:sz w:val="24"/>
          <w:lang w:val="lv-LV"/>
        </w:rPr>
        <w:t>OV L 90, 30.3.2007., 58. lpp.</w:t>
      </w:r>
    </w:p>
  </w:footnote>
  <w:footnote w:id="5">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r w:rsidRPr="0058029F">
        <w:rPr>
          <w:sz w:val="24"/>
          <w:lang w:val="lv-LV"/>
        </w:rPr>
        <w:t>OV L 122, 10.5.2019., 1. lpp.</w:t>
      </w:r>
    </w:p>
  </w:footnote>
  <w:footnote w:id="6">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r w:rsidRPr="0058029F">
        <w:rPr>
          <w:sz w:val="24"/>
          <w:lang w:val="lv-LV"/>
        </w:rPr>
        <w:t>OV C, C/2023/1025, 16.11.2023.</w:t>
      </w:r>
    </w:p>
  </w:footnote>
  <w:footnote w:id="7">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r w:rsidRPr="0058029F">
        <w:rPr>
          <w:sz w:val="24"/>
          <w:lang w:val="lv-LV"/>
        </w:rPr>
        <w:t>OV C, C/2023/112, 12.10.2023.</w:t>
      </w:r>
    </w:p>
  </w:footnote>
  <w:footnote w:id="8">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r w:rsidRPr="0058029F">
        <w:rPr>
          <w:sz w:val="24"/>
          <w:lang w:val="lv-LV"/>
        </w:rPr>
        <w:t>OV L 193, 30.7.2018., 1. lpp.</w:t>
      </w:r>
    </w:p>
  </w:footnote>
  <w:footnote w:id="9">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r w:rsidRPr="0058029F">
        <w:rPr>
          <w:sz w:val="24"/>
          <w:lang w:val="lv-LV"/>
        </w:rPr>
        <w:t>OV L 90, 30.3.2007., 58. lpp.</w:t>
      </w:r>
    </w:p>
  </w:footnote>
  <w:footnote w:id="10">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r w:rsidRPr="0058029F">
        <w:rPr>
          <w:sz w:val="24"/>
          <w:lang w:val="lv-LV"/>
        </w:rPr>
        <w:t>OV L 122, 10.5.2019., 1. lpp.</w:t>
      </w:r>
    </w:p>
  </w:footnote>
  <w:footnote w:id="11">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r w:rsidRPr="0058029F">
        <w:rPr>
          <w:sz w:val="24"/>
          <w:lang w:val="lv-LV"/>
        </w:rPr>
        <w:t>OV L 90, 30.3.2007., 58. lpp.</w:t>
      </w:r>
    </w:p>
  </w:footnote>
  <w:footnote w:id="12">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i/>
          <w:iCs/>
          <w:sz w:val="24"/>
          <w:lang w:val="lv-LV"/>
        </w:rPr>
        <w:t xml:space="preserve"> </w:t>
      </w:r>
      <w:r w:rsidR="0058029F" w:rsidRPr="0058029F">
        <w:rPr>
          <w:i/>
          <w:iCs/>
          <w:sz w:val="24"/>
          <w:lang w:val="lv-LV"/>
        </w:rPr>
        <w:tab/>
      </w:r>
      <w:r w:rsidRPr="0058029F">
        <w:rPr>
          <w:i/>
          <w:iCs/>
          <w:sz w:val="24"/>
          <w:lang w:val="lv-LV"/>
        </w:rPr>
        <w:t>Euratom</w:t>
      </w:r>
      <w:r w:rsidRPr="0058029F">
        <w:rPr>
          <w:sz w:val="24"/>
          <w:lang w:val="lv-LV"/>
        </w:rPr>
        <w:t> dalībnieki ir ES dalībvalstis un tās asociētās valstis Šveice un Apvienotā Karaliste (līdz 2020. gadam).</w:t>
      </w:r>
    </w:p>
  </w:footnote>
  <w:footnote w:id="13">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r w:rsidRPr="0058029F">
        <w:rPr>
          <w:sz w:val="24"/>
          <w:lang w:val="lv-LV"/>
        </w:rPr>
        <w:t xml:space="preserve">Galvenās kodolsintēzei paredzētās iekārtas ir izveidotas </w:t>
      </w:r>
      <w:proofErr w:type="spellStart"/>
      <w:r w:rsidRPr="0058029F">
        <w:rPr>
          <w:sz w:val="24"/>
          <w:lang w:val="lv-LV"/>
        </w:rPr>
        <w:t>Kadarašā</w:t>
      </w:r>
      <w:proofErr w:type="spellEnd"/>
      <w:r w:rsidRPr="0058029F">
        <w:rPr>
          <w:sz w:val="24"/>
          <w:lang w:val="lv-LV"/>
        </w:rPr>
        <w:t>, Francijā, bet kopuzņēmums atrodas Barselonā.</w:t>
      </w:r>
    </w:p>
  </w:footnote>
  <w:footnote w:id="14">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i/>
          <w:iCs/>
          <w:sz w:val="24"/>
          <w:lang w:val="lv-LV"/>
        </w:rPr>
        <w:t xml:space="preserve"> </w:t>
      </w:r>
      <w:r w:rsidR="0058029F" w:rsidRPr="0058029F">
        <w:rPr>
          <w:i/>
          <w:iCs/>
          <w:sz w:val="24"/>
          <w:lang w:val="lv-LV"/>
        </w:rPr>
        <w:tab/>
      </w:r>
      <w:r w:rsidRPr="0058029F">
        <w:rPr>
          <w:i/>
          <w:iCs/>
          <w:sz w:val="24"/>
          <w:lang w:val="lv-LV"/>
        </w:rPr>
        <w:t>ITER</w:t>
      </w:r>
      <w:r w:rsidRPr="0058029F">
        <w:rPr>
          <w:sz w:val="24"/>
          <w:lang w:val="lv-LV"/>
        </w:rPr>
        <w:t xml:space="preserve"> dokumenti "</w:t>
      </w:r>
      <w:proofErr w:type="spellStart"/>
      <w:r w:rsidRPr="0058029F">
        <w:rPr>
          <w:i/>
          <w:iCs/>
          <w:sz w:val="24"/>
          <w:lang w:val="lv-LV"/>
        </w:rPr>
        <w:t>Value</w:t>
      </w:r>
      <w:proofErr w:type="spellEnd"/>
      <w:r w:rsidRPr="0058029F">
        <w:rPr>
          <w:i/>
          <w:iCs/>
          <w:sz w:val="24"/>
          <w:lang w:val="lv-LV"/>
        </w:rPr>
        <w:t xml:space="preserve"> </w:t>
      </w:r>
      <w:proofErr w:type="spellStart"/>
      <w:r w:rsidRPr="0058029F">
        <w:rPr>
          <w:i/>
          <w:iCs/>
          <w:sz w:val="24"/>
          <w:lang w:val="lv-LV"/>
        </w:rPr>
        <w:t>estimates</w:t>
      </w:r>
      <w:proofErr w:type="spellEnd"/>
      <w:r w:rsidRPr="0058029F">
        <w:rPr>
          <w:i/>
          <w:iCs/>
          <w:sz w:val="24"/>
          <w:lang w:val="lv-LV"/>
        </w:rPr>
        <w:t xml:space="preserve"> </w:t>
      </w:r>
      <w:proofErr w:type="spellStart"/>
      <w:r w:rsidRPr="0058029F">
        <w:rPr>
          <w:i/>
          <w:iCs/>
          <w:sz w:val="24"/>
          <w:lang w:val="lv-LV"/>
        </w:rPr>
        <w:t>for</w:t>
      </w:r>
      <w:proofErr w:type="spellEnd"/>
      <w:r w:rsidRPr="0058029F">
        <w:rPr>
          <w:i/>
          <w:iCs/>
          <w:sz w:val="24"/>
          <w:lang w:val="lv-LV"/>
        </w:rPr>
        <w:t xml:space="preserve"> ITER </w:t>
      </w:r>
      <w:proofErr w:type="spellStart"/>
      <w:r w:rsidRPr="0058029F">
        <w:rPr>
          <w:i/>
          <w:iCs/>
          <w:sz w:val="24"/>
          <w:lang w:val="lv-LV"/>
        </w:rPr>
        <w:t>Phases</w:t>
      </w:r>
      <w:proofErr w:type="spellEnd"/>
      <w:r w:rsidRPr="0058029F">
        <w:rPr>
          <w:i/>
          <w:iCs/>
          <w:sz w:val="24"/>
          <w:lang w:val="lv-LV"/>
        </w:rPr>
        <w:t xml:space="preserve"> of Construction, </w:t>
      </w:r>
      <w:proofErr w:type="spellStart"/>
      <w:r w:rsidRPr="0058029F">
        <w:rPr>
          <w:i/>
          <w:iCs/>
          <w:sz w:val="24"/>
          <w:lang w:val="lv-LV"/>
        </w:rPr>
        <w:t>Operation</w:t>
      </w:r>
      <w:proofErr w:type="spellEnd"/>
      <w:r w:rsidRPr="0058029F">
        <w:rPr>
          <w:i/>
          <w:iCs/>
          <w:sz w:val="24"/>
          <w:lang w:val="lv-LV"/>
        </w:rPr>
        <w:t xml:space="preserve">, </w:t>
      </w:r>
      <w:proofErr w:type="spellStart"/>
      <w:r w:rsidRPr="0058029F">
        <w:rPr>
          <w:i/>
          <w:iCs/>
          <w:sz w:val="24"/>
          <w:lang w:val="lv-LV"/>
        </w:rPr>
        <w:t>Deactivation</w:t>
      </w:r>
      <w:proofErr w:type="spellEnd"/>
      <w:r w:rsidRPr="0058029F">
        <w:rPr>
          <w:i/>
          <w:iCs/>
          <w:sz w:val="24"/>
          <w:lang w:val="lv-LV"/>
        </w:rPr>
        <w:t xml:space="preserve"> </w:t>
      </w:r>
      <w:proofErr w:type="spellStart"/>
      <w:r w:rsidRPr="0058029F">
        <w:rPr>
          <w:i/>
          <w:iCs/>
          <w:sz w:val="24"/>
          <w:lang w:val="lv-LV"/>
        </w:rPr>
        <w:t>and</w:t>
      </w:r>
      <w:proofErr w:type="spellEnd"/>
      <w:r w:rsidRPr="0058029F">
        <w:rPr>
          <w:i/>
          <w:iCs/>
          <w:sz w:val="24"/>
          <w:lang w:val="lv-LV"/>
        </w:rPr>
        <w:t xml:space="preserve"> </w:t>
      </w:r>
      <w:proofErr w:type="spellStart"/>
      <w:r w:rsidRPr="0058029F">
        <w:rPr>
          <w:i/>
          <w:iCs/>
          <w:sz w:val="24"/>
          <w:lang w:val="lv-LV"/>
        </w:rPr>
        <w:t>Decommissioning</w:t>
      </w:r>
      <w:proofErr w:type="spellEnd"/>
      <w:r w:rsidRPr="0058029F">
        <w:rPr>
          <w:i/>
          <w:iCs/>
          <w:sz w:val="24"/>
          <w:lang w:val="lv-LV"/>
        </w:rPr>
        <w:t xml:space="preserve"> </w:t>
      </w:r>
      <w:proofErr w:type="spellStart"/>
      <w:r w:rsidRPr="0058029F">
        <w:rPr>
          <w:i/>
          <w:iCs/>
          <w:sz w:val="24"/>
          <w:lang w:val="lv-LV"/>
        </w:rPr>
        <w:t>and</w:t>
      </w:r>
      <w:proofErr w:type="spellEnd"/>
      <w:r w:rsidRPr="0058029F">
        <w:rPr>
          <w:i/>
          <w:iCs/>
          <w:sz w:val="24"/>
          <w:lang w:val="lv-LV"/>
        </w:rPr>
        <w:t xml:space="preserve"> </w:t>
      </w:r>
      <w:proofErr w:type="spellStart"/>
      <w:r w:rsidRPr="0058029F">
        <w:rPr>
          <w:i/>
          <w:iCs/>
          <w:sz w:val="24"/>
          <w:lang w:val="lv-LV"/>
        </w:rPr>
        <w:t>Form</w:t>
      </w:r>
      <w:proofErr w:type="spellEnd"/>
      <w:r w:rsidRPr="0058029F">
        <w:rPr>
          <w:i/>
          <w:iCs/>
          <w:sz w:val="24"/>
          <w:lang w:val="lv-LV"/>
        </w:rPr>
        <w:t xml:space="preserve"> of </w:t>
      </w:r>
      <w:proofErr w:type="spellStart"/>
      <w:r w:rsidRPr="0058029F">
        <w:rPr>
          <w:i/>
          <w:iCs/>
          <w:sz w:val="24"/>
          <w:lang w:val="lv-LV"/>
        </w:rPr>
        <w:t>Party</w:t>
      </w:r>
      <w:proofErr w:type="spellEnd"/>
      <w:r w:rsidRPr="0058029F">
        <w:rPr>
          <w:i/>
          <w:iCs/>
          <w:sz w:val="24"/>
          <w:lang w:val="lv-LV"/>
        </w:rPr>
        <w:t xml:space="preserve"> </w:t>
      </w:r>
      <w:proofErr w:type="spellStart"/>
      <w:r w:rsidRPr="0058029F">
        <w:rPr>
          <w:i/>
          <w:iCs/>
          <w:sz w:val="24"/>
          <w:lang w:val="lv-LV"/>
        </w:rPr>
        <w:t>Contributions</w:t>
      </w:r>
      <w:proofErr w:type="spellEnd"/>
      <w:r w:rsidRPr="0058029F">
        <w:rPr>
          <w:sz w:val="24"/>
          <w:lang w:val="lv-LV"/>
        </w:rPr>
        <w:t>" un "</w:t>
      </w:r>
      <w:proofErr w:type="spellStart"/>
      <w:r w:rsidRPr="0058029F">
        <w:rPr>
          <w:i/>
          <w:iCs/>
          <w:sz w:val="24"/>
          <w:lang w:val="lv-LV"/>
        </w:rPr>
        <w:t>Cost</w:t>
      </w:r>
      <w:proofErr w:type="spellEnd"/>
      <w:r w:rsidRPr="0058029F">
        <w:rPr>
          <w:i/>
          <w:iCs/>
          <w:sz w:val="24"/>
          <w:lang w:val="lv-LV"/>
        </w:rPr>
        <w:t xml:space="preserve"> </w:t>
      </w:r>
      <w:proofErr w:type="spellStart"/>
      <w:r w:rsidRPr="0058029F">
        <w:rPr>
          <w:i/>
          <w:iCs/>
          <w:sz w:val="24"/>
          <w:lang w:val="lv-LV"/>
        </w:rPr>
        <w:t>Sharing</w:t>
      </w:r>
      <w:proofErr w:type="spellEnd"/>
      <w:r w:rsidRPr="0058029F">
        <w:rPr>
          <w:i/>
          <w:iCs/>
          <w:sz w:val="24"/>
          <w:lang w:val="lv-LV"/>
        </w:rPr>
        <w:t xml:space="preserve"> </w:t>
      </w:r>
      <w:proofErr w:type="spellStart"/>
      <w:r w:rsidRPr="0058029F">
        <w:rPr>
          <w:i/>
          <w:iCs/>
          <w:sz w:val="24"/>
          <w:lang w:val="lv-LV"/>
        </w:rPr>
        <w:t>for</w:t>
      </w:r>
      <w:proofErr w:type="spellEnd"/>
      <w:r w:rsidRPr="0058029F">
        <w:rPr>
          <w:i/>
          <w:iCs/>
          <w:sz w:val="24"/>
          <w:lang w:val="lv-LV"/>
        </w:rPr>
        <w:t xml:space="preserve"> </w:t>
      </w:r>
      <w:proofErr w:type="spellStart"/>
      <w:r w:rsidRPr="0058029F">
        <w:rPr>
          <w:i/>
          <w:iCs/>
          <w:sz w:val="24"/>
          <w:lang w:val="lv-LV"/>
        </w:rPr>
        <w:t>all</w:t>
      </w:r>
      <w:proofErr w:type="spellEnd"/>
      <w:r w:rsidRPr="0058029F">
        <w:rPr>
          <w:i/>
          <w:iCs/>
          <w:sz w:val="24"/>
          <w:lang w:val="lv-LV"/>
        </w:rPr>
        <w:t xml:space="preserve"> </w:t>
      </w:r>
      <w:proofErr w:type="spellStart"/>
      <w:r w:rsidRPr="0058029F">
        <w:rPr>
          <w:i/>
          <w:iCs/>
          <w:sz w:val="24"/>
          <w:lang w:val="lv-LV"/>
        </w:rPr>
        <w:t>Phases</w:t>
      </w:r>
      <w:proofErr w:type="spellEnd"/>
      <w:r w:rsidRPr="0058029F">
        <w:rPr>
          <w:i/>
          <w:iCs/>
          <w:sz w:val="24"/>
          <w:lang w:val="lv-LV"/>
        </w:rPr>
        <w:t xml:space="preserve"> of </w:t>
      </w:r>
      <w:proofErr w:type="spellStart"/>
      <w:r w:rsidRPr="0058029F">
        <w:rPr>
          <w:i/>
          <w:iCs/>
          <w:sz w:val="24"/>
          <w:lang w:val="lv-LV"/>
        </w:rPr>
        <w:t>the</w:t>
      </w:r>
      <w:proofErr w:type="spellEnd"/>
      <w:r w:rsidRPr="0058029F">
        <w:rPr>
          <w:i/>
          <w:iCs/>
          <w:sz w:val="24"/>
          <w:lang w:val="lv-LV"/>
        </w:rPr>
        <w:t xml:space="preserve"> ITER Project</w:t>
      </w:r>
      <w:r w:rsidRPr="0058029F">
        <w:rPr>
          <w:sz w:val="24"/>
          <w:lang w:val="lv-LV"/>
        </w:rPr>
        <w:t xml:space="preserve">". </w:t>
      </w:r>
    </w:p>
  </w:footnote>
  <w:footnote w:id="15">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r w:rsidRPr="0058029F">
        <w:rPr>
          <w:sz w:val="24"/>
          <w:lang w:val="lv-LV"/>
        </w:rPr>
        <w:t>Aplēses balstās uz</w:t>
      </w:r>
      <w:r w:rsidR="00521749">
        <w:rPr>
          <w:sz w:val="24"/>
          <w:lang w:val="lv-LV"/>
        </w:rPr>
        <w:t xml:space="preserve"> Komisijas paziņojumu COM(2017)0</w:t>
      </w:r>
      <w:r w:rsidRPr="0058029F">
        <w:rPr>
          <w:sz w:val="24"/>
          <w:lang w:val="lv-LV"/>
        </w:rPr>
        <w:t>319 un attiecīgo die</w:t>
      </w:r>
      <w:r w:rsidR="00521749">
        <w:rPr>
          <w:sz w:val="24"/>
          <w:lang w:val="lv-LV"/>
        </w:rPr>
        <w:t>nestu darba dokumentu SWD(2017)0</w:t>
      </w:r>
      <w:r w:rsidRPr="0058029F">
        <w:rPr>
          <w:sz w:val="24"/>
          <w:lang w:val="lv-LV"/>
        </w:rPr>
        <w:t>232, 4. tabula.</w:t>
      </w:r>
    </w:p>
  </w:footnote>
  <w:footnote w:id="16">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r w:rsidRPr="0058029F">
        <w:rPr>
          <w:sz w:val="24"/>
          <w:lang w:val="lv-LV"/>
        </w:rPr>
        <w:t xml:space="preserve">Apvienotā Karaliste izstājās no ES un </w:t>
      </w:r>
      <w:r w:rsidRPr="0058029F">
        <w:rPr>
          <w:i/>
          <w:iCs/>
          <w:sz w:val="24"/>
          <w:lang w:val="lv-LV"/>
        </w:rPr>
        <w:t>Euratom</w:t>
      </w:r>
      <w:r w:rsidRPr="0058029F">
        <w:rPr>
          <w:sz w:val="24"/>
          <w:lang w:val="lv-LV"/>
        </w:rPr>
        <w:t xml:space="preserve"> 2020. gada 31. janvārī. Tirdzniecības un sadarbības nolīgums starp ES (</w:t>
      </w:r>
      <w:r w:rsidRPr="0058029F">
        <w:rPr>
          <w:i/>
          <w:iCs/>
          <w:sz w:val="24"/>
          <w:lang w:val="lv-LV"/>
        </w:rPr>
        <w:t>Euratom</w:t>
      </w:r>
      <w:r w:rsidRPr="0058029F">
        <w:rPr>
          <w:sz w:val="24"/>
          <w:lang w:val="lv-LV"/>
        </w:rPr>
        <w:t xml:space="preserve">) un Apvienoto Karalisti tika noslēgts 2020. gada 30. decembrī. Šajā nolīgumā noteikts, ka Apvienotā Karaliste piedalās un iegulda I protokolā uzskaitītajās Savienības programmās, tostarp </w:t>
      </w:r>
      <w:r w:rsidRPr="0058029F">
        <w:rPr>
          <w:i/>
          <w:iCs/>
          <w:sz w:val="24"/>
          <w:lang w:val="lv-LV"/>
        </w:rPr>
        <w:t>Euratom</w:t>
      </w:r>
      <w:r w:rsidRPr="0058029F">
        <w:rPr>
          <w:sz w:val="24"/>
          <w:lang w:val="lv-LV"/>
        </w:rPr>
        <w:t xml:space="preserve"> pētniecības un mācību programmā un kopuzņēmuma </w:t>
      </w:r>
      <w:r w:rsidRPr="0058029F">
        <w:rPr>
          <w:i/>
          <w:iCs/>
          <w:sz w:val="24"/>
          <w:lang w:val="lv-LV"/>
        </w:rPr>
        <w:t>ITER</w:t>
      </w:r>
      <w:r w:rsidRPr="0058029F">
        <w:rPr>
          <w:sz w:val="24"/>
          <w:lang w:val="lv-LV"/>
        </w:rPr>
        <w:t xml:space="preserve"> darbībās. Tomēr, kamēr puses nevienojas par protokolu, Apvienotā Karaliste nedz ir saistīta ar kopuzņēmuma </w:t>
      </w:r>
      <w:r w:rsidRPr="0058029F">
        <w:rPr>
          <w:i/>
          <w:iCs/>
          <w:sz w:val="24"/>
          <w:lang w:val="lv-LV"/>
        </w:rPr>
        <w:t>ITER</w:t>
      </w:r>
      <w:r w:rsidRPr="0058029F">
        <w:rPr>
          <w:sz w:val="24"/>
          <w:lang w:val="lv-LV"/>
        </w:rPr>
        <w:t xml:space="preserve"> darbībām, nedz ir kopuzņēmuma dalībniece. Attiecībā uz Šveici nolīgums netika automātiski pagarināts, un tāpēc tā termiņš beidzās 2020. gadā.</w:t>
      </w:r>
    </w:p>
  </w:footnote>
  <w:footnote w:id="17">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hyperlink r:id="rId1" w:history="1">
        <w:r w:rsidRPr="0058029F">
          <w:rPr>
            <w:rStyle w:val="Hyperlink"/>
            <w:sz w:val="24"/>
            <w:lang w:val="lv-LV"/>
          </w:rPr>
          <w:t>https://www.iter.org/doc/www/content/com/Lists/list_items/Attachments/1061/2022_11_IC-31.pdf</w:t>
        </w:r>
      </w:hyperlink>
      <w:r w:rsidRPr="0058029F">
        <w:rPr>
          <w:sz w:val="24"/>
          <w:lang w:val="lv-LV"/>
        </w:rPr>
        <w:t xml:space="preserve">. </w:t>
      </w:r>
    </w:p>
  </w:footnote>
  <w:footnote w:id="18">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hyperlink r:id="rId2" w:history="1">
        <w:r w:rsidRPr="0058029F">
          <w:rPr>
            <w:rStyle w:val="Hyperlink"/>
            <w:sz w:val="24"/>
            <w:lang w:val="lv-LV"/>
          </w:rPr>
          <w:t>https://www.iter.org/doc/www/content/com/Lists/list_items/Attachments/1115/2023_06_IC-32.pdf</w:t>
        </w:r>
      </w:hyperlink>
      <w:r w:rsidRPr="0058029F">
        <w:rPr>
          <w:sz w:val="24"/>
          <w:lang w:val="lv-LV"/>
        </w:rPr>
        <w:t xml:space="preserve">. </w:t>
      </w:r>
    </w:p>
  </w:footnote>
  <w:footnote w:id="19">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r w:rsidRPr="0058029F">
        <w:rPr>
          <w:sz w:val="24"/>
          <w:lang w:val="lv-LV"/>
        </w:rPr>
        <w:t>Francijas Kodoldrošības iestāde (</w:t>
      </w:r>
      <w:r w:rsidRPr="0058029F">
        <w:rPr>
          <w:i/>
          <w:iCs/>
          <w:sz w:val="24"/>
          <w:lang w:val="lv-LV"/>
        </w:rPr>
        <w:t>ASN</w:t>
      </w:r>
      <w:r w:rsidRPr="0058029F">
        <w:rPr>
          <w:sz w:val="24"/>
          <w:lang w:val="lv-LV"/>
        </w:rPr>
        <w:t xml:space="preserve">) ir galīgā </w:t>
      </w:r>
      <w:proofErr w:type="spellStart"/>
      <w:r w:rsidRPr="0058029F">
        <w:rPr>
          <w:sz w:val="24"/>
          <w:lang w:val="lv-LV"/>
        </w:rPr>
        <w:t>lēmējiestāde</w:t>
      </w:r>
      <w:proofErr w:type="spellEnd"/>
      <w:r w:rsidRPr="0058029F">
        <w:rPr>
          <w:sz w:val="24"/>
          <w:lang w:val="lv-LV"/>
        </w:rPr>
        <w:t xml:space="preserve">, un tā sadarbojas tikai ar </w:t>
      </w:r>
      <w:r w:rsidRPr="0058029F">
        <w:rPr>
          <w:i/>
          <w:iCs/>
          <w:sz w:val="24"/>
          <w:lang w:val="lv-LV"/>
        </w:rPr>
        <w:t>ITER</w:t>
      </w:r>
      <w:r w:rsidRPr="0058029F">
        <w:rPr>
          <w:sz w:val="24"/>
          <w:lang w:val="lv-LV"/>
        </w:rPr>
        <w:t xml:space="preserve"> starptautisko kodolsintēzes enerģijas organizāciju (</w:t>
      </w:r>
      <w:r w:rsidRPr="0058029F">
        <w:rPr>
          <w:i/>
          <w:iCs/>
          <w:sz w:val="24"/>
          <w:lang w:val="lv-LV"/>
        </w:rPr>
        <w:t>ITER-IO</w:t>
      </w:r>
      <w:r w:rsidRPr="0058029F">
        <w:rPr>
          <w:sz w:val="24"/>
          <w:lang w:val="lv-LV"/>
        </w:rPr>
        <w:t xml:space="preserve">), un jebkādas nepieciešamās turpmākās izmaiņas var būt saistītas ar lielām izmaksām. </w:t>
      </w:r>
      <w:r w:rsidRPr="0058029F">
        <w:rPr>
          <w:i/>
          <w:iCs/>
          <w:sz w:val="24"/>
          <w:lang w:val="lv-LV"/>
        </w:rPr>
        <w:t>ASN</w:t>
      </w:r>
      <w:r w:rsidRPr="0058029F">
        <w:rPr>
          <w:sz w:val="24"/>
          <w:lang w:val="lv-LV"/>
        </w:rPr>
        <w:t xml:space="preserve"> 2022. gada janvārī pilnībā apturēja </w:t>
      </w:r>
      <w:r w:rsidRPr="0058029F">
        <w:rPr>
          <w:i/>
          <w:iCs/>
          <w:sz w:val="24"/>
          <w:lang w:val="lv-LV"/>
        </w:rPr>
        <w:t>ITER</w:t>
      </w:r>
      <w:r w:rsidRPr="0058029F">
        <w:rPr>
          <w:sz w:val="24"/>
          <w:lang w:val="lv-LV"/>
        </w:rPr>
        <w:t xml:space="preserve"> montāžu, līdz </w:t>
      </w:r>
      <w:r w:rsidRPr="0058029F">
        <w:rPr>
          <w:i/>
          <w:iCs/>
          <w:sz w:val="24"/>
          <w:lang w:val="lv-LV"/>
        </w:rPr>
        <w:t>ITER</w:t>
      </w:r>
      <w:r w:rsidRPr="0058029F">
        <w:rPr>
          <w:sz w:val="24"/>
          <w:lang w:val="lv-LV"/>
        </w:rPr>
        <w:t xml:space="preserve"> varēs pierādīt, ka spēj nodrošināt personāla drošību.</w:t>
      </w:r>
    </w:p>
  </w:footnote>
  <w:footnote w:id="20">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r w:rsidRPr="0058029F">
        <w:rPr>
          <w:sz w:val="24"/>
          <w:lang w:val="lv-LV"/>
        </w:rPr>
        <w:t xml:space="preserve">Komisija, </w:t>
      </w:r>
      <w:r w:rsidRPr="0058029F">
        <w:rPr>
          <w:i/>
          <w:iCs/>
          <w:sz w:val="24"/>
          <w:lang w:val="lv-LV"/>
        </w:rPr>
        <w:t>ITER</w:t>
      </w:r>
      <w:r w:rsidRPr="0058029F">
        <w:rPr>
          <w:sz w:val="24"/>
          <w:lang w:val="lv-LV"/>
        </w:rPr>
        <w:t xml:space="preserve"> darbības rezultāti, 2023. gads.</w:t>
      </w:r>
    </w:p>
  </w:footnote>
  <w:footnote w:id="21">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hyperlink r:id="rId3" w:history="1">
        <w:r w:rsidRPr="0058029F">
          <w:rPr>
            <w:rStyle w:val="Hyperlink"/>
            <w:sz w:val="24"/>
            <w:lang w:val="lv-LV"/>
          </w:rPr>
          <w:t>https://u4unity.eu/link/Topic_91_F4E.pdf</w:t>
        </w:r>
      </w:hyperlink>
      <w:r w:rsidRPr="0058029F">
        <w:rPr>
          <w:sz w:val="24"/>
          <w:lang w:val="lv-LV"/>
        </w:rPr>
        <w:t xml:space="preserve">. </w:t>
      </w:r>
    </w:p>
  </w:footnote>
  <w:footnote w:id="22">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r w:rsidRPr="0058029F">
        <w:rPr>
          <w:sz w:val="24"/>
          <w:lang w:val="lv-LV"/>
        </w:rPr>
        <w:t xml:space="preserve">Galvenie iemesli bija trūkumi augstākās vadības darbā, piemēram, nepārredzama un </w:t>
      </w:r>
      <w:proofErr w:type="spellStart"/>
      <w:r w:rsidRPr="0058029F">
        <w:rPr>
          <w:sz w:val="24"/>
          <w:lang w:val="lv-LV"/>
        </w:rPr>
        <w:t>disfunkcionāla</w:t>
      </w:r>
      <w:proofErr w:type="spellEnd"/>
      <w:r w:rsidRPr="0058029F">
        <w:rPr>
          <w:sz w:val="24"/>
          <w:lang w:val="lv-LV"/>
        </w:rPr>
        <w:t xml:space="preserve"> lēmumu pieņemšana un sociālā dialoga trūkums.</w:t>
      </w:r>
    </w:p>
  </w:footnote>
  <w:footnote w:id="23">
    <w:p w:rsidR="00000CDF" w:rsidRPr="0058029F" w:rsidRDefault="00000CDF" w:rsidP="0058029F">
      <w:pPr>
        <w:pStyle w:val="FootnoteText"/>
        <w:ind w:left="567" w:hanging="567"/>
        <w:rPr>
          <w:sz w:val="24"/>
          <w:lang w:val="lv-LV"/>
        </w:rPr>
      </w:pPr>
      <w:r w:rsidRPr="0058029F">
        <w:rPr>
          <w:rStyle w:val="FootnoteReference"/>
          <w:sz w:val="24"/>
          <w:lang w:val="lv-LV"/>
        </w:rPr>
        <w:footnoteRef/>
      </w:r>
      <w:r w:rsidR="0058029F" w:rsidRPr="0058029F">
        <w:rPr>
          <w:sz w:val="24"/>
          <w:lang w:val="lv-LV"/>
        </w:rPr>
        <w:t xml:space="preserve"> </w:t>
      </w:r>
      <w:r w:rsidR="0058029F" w:rsidRPr="0058029F">
        <w:rPr>
          <w:sz w:val="24"/>
          <w:lang w:val="lv-LV"/>
        </w:rPr>
        <w:tab/>
      </w:r>
      <w:r w:rsidRPr="0058029F">
        <w:rPr>
          <w:sz w:val="24"/>
          <w:lang w:val="lv-LV"/>
        </w:rPr>
        <w:t>Valdes 56. sanāksme 2022. gada 7.–8. jūlijā Barselonā.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DF" w:rsidRPr="0058029F" w:rsidRDefault="00000C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DF" w:rsidRPr="0058029F" w:rsidRDefault="00000C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DF" w:rsidRPr="0058029F" w:rsidRDefault="00000CD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029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029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02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LV"/>
    <w:docVar w:name="dvnumam" w:val="0"/>
    <w:docVar w:name="dvpe" w:val="753.493"/>
    <w:docVar w:name="dvrapporteur" w:val="Referents: "/>
    <w:docVar w:name="dvtitre" w:val="Eiropas Parlamenta 2024. gada XX. XXX lēmums par ITER un kodolsintēzes enerģētikas attīstības vajadzībām izveidotā Eiropas kopuzņēmuma (kopuzņēmums “Fusion for Energy”) 2022. finanšu gada budžeta izpildes apstiprināšanu(2023/2178(DEC))"/>
  </w:docVars>
  <w:rsids>
    <w:rsidRoot w:val="00075872"/>
    <w:rsid w:val="00000CDF"/>
    <w:rsid w:val="00002272"/>
    <w:rsid w:val="00064002"/>
    <w:rsid w:val="000677B9"/>
    <w:rsid w:val="00075872"/>
    <w:rsid w:val="000831BA"/>
    <w:rsid w:val="000A42CC"/>
    <w:rsid w:val="000B3998"/>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598E"/>
    <w:rsid w:val="004867E3"/>
    <w:rsid w:val="00494A28"/>
    <w:rsid w:val="004C0004"/>
    <w:rsid w:val="004C5D52"/>
    <w:rsid w:val="0050519A"/>
    <w:rsid w:val="005072A1"/>
    <w:rsid w:val="00514517"/>
    <w:rsid w:val="00521749"/>
    <w:rsid w:val="00545827"/>
    <w:rsid w:val="00560270"/>
    <w:rsid w:val="0058029F"/>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8EDFEE"/>
  <w15:chartTrackingRefBased/>
  <w15:docId w15:val="{9B9348C3-EF05-440E-8739-1A34BA790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00CD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00CDF"/>
    <w:pPr>
      <w:spacing w:before="480" w:after="240"/>
    </w:pPr>
  </w:style>
  <w:style w:type="paragraph" w:customStyle="1" w:styleId="PageHeading">
    <w:name w:val="PageHeading"/>
    <w:basedOn w:val="Normal"/>
    <w:rsid w:val="00000CDF"/>
    <w:pPr>
      <w:keepNext/>
      <w:spacing w:after="480"/>
      <w:jc w:val="center"/>
    </w:pPr>
    <w:rPr>
      <w:rFonts w:ascii="Arial" w:hAnsi="Arial" w:cs="Arial"/>
      <w:b/>
    </w:rPr>
  </w:style>
  <w:style w:type="paragraph" w:customStyle="1" w:styleId="NormalBold">
    <w:name w:val="NormalBold"/>
    <w:basedOn w:val="Normal"/>
    <w:rsid w:val="00000CDF"/>
    <w:rPr>
      <w:b/>
    </w:rPr>
  </w:style>
  <w:style w:type="paragraph" w:customStyle="1" w:styleId="NormalHanging12a">
    <w:name w:val="NormalHanging12a"/>
    <w:basedOn w:val="Normal"/>
    <w:link w:val="NormalHanging12aChar"/>
    <w:rsid w:val="00000CDF"/>
    <w:pPr>
      <w:spacing w:after="240"/>
      <w:ind w:left="567" w:hanging="567"/>
    </w:pPr>
  </w:style>
  <w:style w:type="paragraph" w:styleId="Header">
    <w:name w:val="header"/>
    <w:basedOn w:val="Normal"/>
    <w:link w:val="HeaderChar"/>
    <w:rsid w:val="00000CDF"/>
    <w:pPr>
      <w:tabs>
        <w:tab w:val="center" w:pos="4513"/>
        <w:tab w:val="right" w:pos="9026"/>
      </w:tabs>
    </w:pPr>
  </w:style>
  <w:style w:type="character" w:customStyle="1" w:styleId="HeaderChar">
    <w:name w:val="Header Char"/>
    <w:basedOn w:val="DefaultParagraphFont"/>
    <w:link w:val="Header"/>
    <w:rsid w:val="00000CDF"/>
    <w:rPr>
      <w:sz w:val="24"/>
      <w:lang w:val="lv-LV"/>
    </w:rPr>
  </w:style>
  <w:style w:type="paragraph" w:customStyle="1" w:styleId="EPFooter">
    <w:name w:val="EPFooter"/>
    <w:basedOn w:val="Normal"/>
    <w:rsid w:val="00000CDF"/>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000CDF"/>
    <w:rPr>
      <w:color w:val="0563C1" w:themeColor="hyperlink"/>
      <w:u w:val="single"/>
    </w:rPr>
  </w:style>
  <w:style w:type="character" w:customStyle="1" w:styleId="NormalHanging12aChar">
    <w:name w:val="NormalHanging12a Char"/>
    <w:basedOn w:val="DefaultParagraphFont"/>
    <w:link w:val="NormalHanging12a"/>
    <w:rsid w:val="00000CDF"/>
    <w:rPr>
      <w:sz w:val="24"/>
      <w:lang w:val="lv-LV"/>
    </w:rPr>
  </w:style>
  <w:style w:type="paragraph" w:styleId="BalloonText">
    <w:name w:val="Balloon Text"/>
    <w:basedOn w:val="Normal"/>
    <w:link w:val="BalloonTextChar"/>
    <w:rsid w:val="0047598E"/>
    <w:rPr>
      <w:rFonts w:ascii="Segoe UI" w:hAnsi="Segoe UI" w:cs="Segoe UI"/>
      <w:sz w:val="18"/>
      <w:szCs w:val="18"/>
    </w:rPr>
  </w:style>
  <w:style w:type="character" w:customStyle="1" w:styleId="BalloonTextChar">
    <w:name w:val="Balloon Text Char"/>
    <w:basedOn w:val="DefaultParagraphFont"/>
    <w:link w:val="BalloonText"/>
    <w:rsid w:val="0047598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u4unity.eu/link/Topic_91_F4E.pdf" TargetMode="External"/><Relationship Id="rId2" Type="http://schemas.openxmlformats.org/officeDocument/2006/relationships/hyperlink" Target="https://www.iter.org/doc/www/content/com/Lists/list_items/Attachments/1115/2023_06_IC-32.pdf" TargetMode="External"/><Relationship Id="rId1" Type="http://schemas.openxmlformats.org/officeDocument/2006/relationships/hyperlink" Target="https://www.iter.org/doc/www/content/com/Lists/list_items/Attachments/1061/2022_11_IC-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E547B-4429-4381-9766-9C54A7461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3038</Words>
  <Characters>20152</Characters>
  <Application>Microsoft Office Word</Application>
  <DocSecurity>0</DocSecurity>
  <Lines>1007</Lines>
  <Paragraphs>626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2024-05-24T08:54:00Z</dcterms:created>
  <dcterms:modified xsi:type="dcterms:W3CDTF">2024-05-24T08:54:00Z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P9_TA(2024)0270_</vt:lpwstr>
  </property>
  <property fmtid="{D5CDD505-2E9C-101B-9397-08002B2CF9AE}" pid="4" name="&lt;Type&gt;">
    <vt:lpwstr>RR</vt:lpwstr>
  </property>
</Properties>
</file>