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681D" w:rsidTr="0010095E">
        <w:trPr>
          <w:trHeight w:hRule="exact" w:val="1418"/>
        </w:trPr>
        <w:tc>
          <w:tcPr>
            <w:tcW w:w="6804" w:type="dxa"/>
            <w:shd w:val="clear" w:color="auto" w:fill="auto"/>
            <w:vAlign w:val="center"/>
          </w:tcPr>
          <w:p w:rsidR="00751A4A" w:rsidRPr="0078681D" w:rsidRDefault="00DF4C55" w:rsidP="0010095E">
            <w:pPr>
              <w:pStyle w:val="EPName"/>
            </w:pPr>
            <w:r w:rsidRPr="0078681D">
              <w:t>Európsky parlament</w:t>
            </w:r>
          </w:p>
          <w:p w:rsidR="00751A4A" w:rsidRPr="0078681D" w:rsidRDefault="00817416" w:rsidP="00756632">
            <w:pPr>
              <w:pStyle w:val="EPTerm"/>
              <w:rPr>
                <w:rStyle w:val="HideTWBExt"/>
                <w:noProof w:val="0"/>
                <w:vanish w:val="0"/>
                <w:color w:val="auto"/>
              </w:rPr>
            </w:pPr>
            <w:r w:rsidRPr="0078681D">
              <w:t>2019-2024</w:t>
            </w:r>
          </w:p>
        </w:tc>
        <w:tc>
          <w:tcPr>
            <w:tcW w:w="2268" w:type="dxa"/>
            <w:shd w:val="clear" w:color="auto" w:fill="auto"/>
          </w:tcPr>
          <w:p w:rsidR="00751A4A" w:rsidRPr="0078681D" w:rsidRDefault="00187494" w:rsidP="0010095E">
            <w:pPr>
              <w:pStyle w:val="EPLogo"/>
            </w:pPr>
            <w:r w:rsidRPr="007868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681D" w:rsidRDefault="00D058B8" w:rsidP="004C5D52">
      <w:pPr>
        <w:pStyle w:val="LineTop"/>
      </w:pPr>
    </w:p>
    <w:p w:rsidR="00680577" w:rsidRPr="0078681D" w:rsidRDefault="00DF4C55" w:rsidP="00680577">
      <w:pPr>
        <w:pStyle w:val="EPBodyTA1"/>
      </w:pPr>
      <w:r w:rsidRPr="0078681D">
        <w:t>PRIJATÉ TEXTY</w:t>
      </w:r>
    </w:p>
    <w:p w:rsidR="00D058B8" w:rsidRPr="0078681D" w:rsidRDefault="00D058B8" w:rsidP="00D058B8">
      <w:pPr>
        <w:pStyle w:val="LineBottom"/>
      </w:pPr>
    </w:p>
    <w:p w:rsidR="00DF4C55" w:rsidRPr="0078681D" w:rsidRDefault="00DF4C55" w:rsidP="00DF4C55">
      <w:pPr>
        <w:pStyle w:val="ATHeading1"/>
      </w:pPr>
      <w:bookmarkStart w:id="0" w:name="TANumber"/>
      <w:r w:rsidRPr="0078681D">
        <w:t>P9_TA(2024)0</w:t>
      </w:r>
      <w:r w:rsidR="0078681D" w:rsidRPr="0078681D">
        <w:t>270</w:t>
      </w:r>
      <w:bookmarkEnd w:id="0"/>
    </w:p>
    <w:p w:rsidR="00DF4C55" w:rsidRPr="0078681D" w:rsidRDefault="00DF4C55" w:rsidP="00DF4C55">
      <w:pPr>
        <w:pStyle w:val="ATHeading2"/>
      </w:pPr>
      <w:bookmarkStart w:id="1" w:name="title"/>
      <w:r w:rsidRPr="0078681D">
        <w:t xml:space="preserve">Absolutórium za rok 2022: Európsky spoločný podnik pre ITER a rozvoj energie jadrovej syntézy (spoločný podnik </w:t>
      </w:r>
      <w:proofErr w:type="spellStart"/>
      <w:r w:rsidRPr="0078681D">
        <w:t>Fusion</w:t>
      </w:r>
      <w:proofErr w:type="spellEnd"/>
      <w:r w:rsidRPr="0078681D">
        <w:t xml:space="preserve"> </w:t>
      </w:r>
      <w:proofErr w:type="spellStart"/>
      <w:r w:rsidRPr="0078681D">
        <w:t>for</w:t>
      </w:r>
      <w:proofErr w:type="spellEnd"/>
      <w:r w:rsidRPr="0078681D">
        <w:t xml:space="preserve"> Energy)</w:t>
      </w:r>
      <w:bookmarkEnd w:id="1"/>
    </w:p>
    <w:p w:rsidR="00DF4C55" w:rsidRPr="0078681D" w:rsidRDefault="00DF4C55" w:rsidP="00DF4C55">
      <w:pPr>
        <w:rPr>
          <w:i/>
          <w:vanish/>
        </w:rPr>
      </w:pPr>
      <w:r w:rsidRPr="0078681D">
        <w:rPr>
          <w:i/>
        </w:rPr>
        <w:fldChar w:fldCharType="begin"/>
      </w:r>
      <w:r w:rsidRPr="0078681D">
        <w:rPr>
          <w:i/>
        </w:rPr>
        <w:instrText xml:space="preserve"> TC"(</w:instrText>
      </w:r>
      <w:bookmarkStart w:id="2" w:name="DocNumber"/>
      <w:r w:rsidRPr="0078681D">
        <w:rPr>
          <w:i/>
        </w:rPr>
        <w:instrText>A9-0090/2024</w:instrText>
      </w:r>
      <w:bookmarkEnd w:id="2"/>
      <w:r w:rsidRPr="0078681D">
        <w:rPr>
          <w:i/>
        </w:rPr>
        <w:instrText xml:space="preserve"> - Spravodajca: Michal Wiezik)"\l3 \n&gt; \* MERGEFORMAT </w:instrText>
      </w:r>
      <w:r w:rsidRPr="0078681D">
        <w:rPr>
          <w:i/>
        </w:rPr>
        <w:fldChar w:fldCharType="end"/>
      </w:r>
    </w:p>
    <w:p w:rsidR="00DF4C55" w:rsidRPr="0078681D" w:rsidRDefault="00DF4C55" w:rsidP="00DF4C55">
      <w:pPr>
        <w:rPr>
          <w:vanish/>
        </w:rPr>
      </w:pPr>
      <w:bookmarkStart w:id="3" w:name="Commission"/>
      <w:r w:rsidRPr="0078681D">
        <w:rPr>
          <w:vanish/>
        </w:rPr>
        <w:t>Výbor pre kontrolu rozpočtu</w:t>
      </w:r>
      <w:bookmarkEnd w:id="3"/>
    </w:p>
    <w:p w:rsidR="00DF4C55" w:rsidRPr="0078681D" w:rsidRDefault="00DF4C55" w:rsidP="00DF4C55">
      <w:pPr>
        <w:rPr>
          <w:vanish/>
        </w:rPr>
      </w:pPr>
      <w:bookmarkStart w:id="4" w:name="PE"/>
      <w:r w:rsidRPr="0078681D">
        <w:rPr>
          <w:vanish/>
        </w:rPr>
        <w:t>PE753.493</w:t>
      </w:r>
      <w:bookmarkEnd w:id="4"/>
    </w:p>
    <w:p w:rsidR="00DF4C55" w:rsidRPr="0078681D" w:rsidRDefault="008F60BD" w:rsidP="00DF4C55">
      <w:pPr>
        <w:pStyle w:val="ATHeading3"/>
      </w:pPr>
      <w:bookmarkStart w:id="5" w:name="Sujet"/>
      <w:r w:rsidRPr="0078681D">
        <w:t>1. R</w:t>
      </w:r>
      <w:r w:rsidR="00DF4C55" w:rsidRPr="0078681D">
        <w:t>ozhodnutie Európskeho parlamentu z</w:t>
      </w:r>
      <w:r w:rsidR="00C66362" w:rsidRPr="0078681D">
        <w:t> 11</w:t>
      </w:r>
      <w:r w:rsidR="00DF4C55" w:rsidRPr="0078681D">
        <w:t xml:space="preserve">. apríla 2024 o absolutóriu za plnenie rozpočtu Európskeho spoločného podniku pre ITER a rozvoj energie jadrovej syntézy (spoločný podnik </w:t>
      </w:r>
      <w:proofErr w:type="spellStart"/>
      <w:r w:rsidR="00DF4C55" w:rsidRPr="0078681D">
        <w:t>Fusion</w:t>
      </w:r>
      <w:proofErr w:type="spellEnd"/>
      <w:r w:rsidR="00DF4C55" w:rsidRPr="0078681D">
        <w:t xml:space="preserve"> </w:t>
      </w:r>
      <w:proofErr w:type="spellStart"/>
      <w:r w:rsidR="00DF4C55" w:rsidRPr="0078681D">
        <w:t>for</w:t>
      </w:r>
      <w:proofErr w:type="spellEnd"/>
      <w:r w:rsidR="00DF4C55" w:rsidRPr="0078681D">
        <w:t xml:space="preserve"> Energy) za rozpočtový rok 2022</w:t>
      </w:r>
      <w:bookmarkEnd w:id="5"/>
      <w:r w:rsidR="00DF4C55" w:rsidRPr="0078681D">
        <w:t xml:space="preserve"> </w:t>
      </w:r>
      <w:bookmarkStart w:id="6" w:name="References"/>
      <w:r w:rsidR="00DF4C55" w:rsidRPr="0078681D">
        <w:t>(2023/2178(DEC))</w:t>
      </w:r>
      <w:bookmarkEnd w:id="6"/>
    </w:p>
    <w:p w:rsidR="00E42B91" w:rsidRPr="0078681D" w:rsidRDefault="00E42B91" w:rsidP="00E42B91">
      <w:pPr>
        <w:pStyle w:val="EPComma"/>
      </w:pPr>
      <w:bookmarkStart w:id="7" w:name="TextBodyBegin"/>
      <w:bookmarkEnd w:id="7"/>
      <w:r w:rsidRPr="0078681D">
        <w:rPr>
          <w:i/>
        </w:rPr>
        <w:t>Európsky parlament</w:t>
      </w:r>
      <w:r w:rsidRPr="0078681D">
        <w:t>,</w:t>
      </w:r>
    </w:p>
    <w:p w:rsidR="00E42B91" w:rsidRPr="0078681D" w:rsidRDefault="00E42B91" w:rsidP="00E42B91">
      <w:pPr>
        <w:pStyle w:val="NormalHanging12a"/>
      </w:pPr>
      <w:r w:rsidRPr="0078681D">
        <w:t>–</w:t>
      </w:r>
      <w:r w:rsidRPr="0078681D">
        <w:tab/>
        <w:t xml:space="preserve">so zreteľom na konečnú ročnú účtovnú závierku Európskeho spoločného podniku pre ITER a rozvoj energie jadrovej syntézy (spoločný podnik </w:t>
      </w:r>
      <w:proofErr w:type="spellStart"/>
      <w:r w:rsidRPr="0078681D">
        <w:t>Fusion</w:t>
      </w:r>
      <w:proofErr w:type="spellEnd"/>
      <w:r w:rsidRPr="0078681D">
        <w:t xml:space="preserve"> </w:t>
      </w:r>
      <w:proofErr w:type="spellStart"/>
      <w:r w:rsidRPr="0078681D">
        <w:t>for</w:t>
      </w:r>
      <w:proofErr w:type="spellEnd"/>
      <w:r w:rsidRPr="0078681D">
        <w:t xml:space="preserve"> Energy) za rozpočtový rok 2022,</w:t>
      </w:r>
    </w:p>
    <w:p w:rsidR="00E42B91" w:rsidRPr="0078681D" w:rsidRDefault="00E42B91" w:rsidP="00E42B91">
      <w:pPr>
        <w:pStyle w:val="NormalHanging12a"/>
      </w:pPr>
      <w:r w:rsidRPr="0078681D">
        <w:t>–</w:t>
      </w:r>
      <w:r w:rsidRPr="0078681D">
        <w:tab/>
        <w:t>so zreteľom na výročnú správu Dvora audítorov o spoločných podnikoch EÚ za rozpočtový rok 2022 spolu s odpoveďami spoločných podnikov</w:t>
      </w:r>
      <w:r w:rsidRPr="0078681D">
        <w:rPr>
          <w:rStyle w:val="FootnoteReference"/>
        </w:rPr>
        <w:footnoteReference w:id="1"/>
      </w:r>
      <w:r w:rsidRPr="0078681D">
        <w:t>,</w:t>
      </w:r>
    </w:p>
    <w:p w:rsidR="00E42B91" w:rsidRPr="0078681D" w:rsidRDefault="00E42B91" w:rsidP="00E42B91">
      <w:pPr>
        <w:pStyle w:val="NormalHanging12a"/>
      </w:pPr>
      <w:r w:rsidRPr="0078681D">
        <w:t>–</w:t>
      </w:r>
      <w:r w:rsidRPr="0078681D">
        <w:tab/>
        <w:t>so zreteľom na vyhlásenie o vierohodnosti</w:t>
      </w:r>
      <w:r w:rsidRPr="0078681D">
        <w:rPr>
          <w:rStyle w:val="FootnoteReference"/>
        </w:rPr>
        <w:footnoteReference w:id="2"/>
      </w:r>
      <w:r w:rsidRPr="0078681D">
        <w:t xml:space="preserve"> vedenia účtov a zákonnosti a správnosti príslušných operácií, ktoré poskytol Dvor audítorov za rozpočtový rok 2022 v súlade s článkom 287 Zmluvy o fungovaní Európskej únie,</w:t>
      </w:r>
    </w:p>
    <w:p w:rsidR="00E42B91" w:rsidRPr="0078681D" w:rsidRDefault="00E42B91" w:rsidP="00E42B91">
      <w:pPr>
        <w:pStyle w:val="NormalHanging12a"/>
      </w:pPr>
      <w:r w:rsidRPr="0078681D">
        <w:t>–</w:t>
      </w:r>
      <w:r w:rsidRPr="0078681D">
        <w:tab/>
        <w:t>so zreteľom na odporúčanie Rady z 22. februára 2024 o udelení absolutória spoločnému podniku za plnenie rozpočtu za rozpočtový rok 2022 (</w:t>
      </w:r>
      <w:r w:rsidR="00C66362" w:rsidRPr="0078681D">
        <w:t>06182</w:t>
      </w:r>
      <w:r w:rsidRPr="0078681D">
        <w:t>/2024 – C9</w:t>
      </w:r>
      <w:r w:rsidRPr="0078681D">
        <w:noBreakHyphen/>
      </w:r>
      <w:r w:rsidR="00C66362" w:rsidRPr="0078681D">
        <w:t>0116</w:t>
      </w:r>
      <w:r w:rsidRPr="0078681D">
        <w:t>/2024),</w:t>
      </w:r>
    </w:p>
    <w:p w:rsidR="00E42B91" w:rsidRPr="0078681D" w:rsidRDefault="00E42B91" w:rsidP="00E42B91">
      <w:pPr>
        <w:pStyle w:val="NormalHanging12a"/>
      </w:pPr>
      <w:r w:rsidRPr="0078681D">
        <w:t>–</w:t>
      </w:r>
      <w:r w:rsidRPr="0078681D">
        <w:tab/>
        <w:t>so zreteľom na článok 319 Zmluvy o fungovaní Európskej únii,</w:t>
      </w:r>
    </w:p>
    <w:p w:rsidR="00E42B91" w:rsidRPr="0078681D" w:rsidRDefault="00E42B91" w:rsidP="00E42B91">
      <w:pPr>
        <w:pStyle w:val="NormalHanging12a"/>
      </w:pPr>
      <w:r w:rsidRPr="0078681D">
        <w:t>–</w:t>
      </w:r>
      <w:r w:rsidRPr="0078681D">
        <w:tab/>
        <w:t>so zreteľom na článok 106a Zmluvy o založení Európskeho spoločenstva pre atómovú energiu,</w:t>
      </w:r>
    </w:p>
    <w:p w:rsidR="00E42B91" w:rsidRPr="0078681D" w:rsidRDefault="00E42B91" w:rsidP="00E42B91">
      <w:pPr>
        <w:pStyle w:val="NormalHanging12a"/>
      </w:pPr>
      <w:r w:rsidRPr="0078681D">
        <w:t>–</w:t>
      </w:r>
      <w:r w:rsidRPr="0078681D">
        <w:tab/>
        <w:t xml:space="preserve">so zreteľom na nariadenie Európskeho parlamentu a Rady (EÚ, </w:t>
      </w:r>
      <w:proofErr w:type="spellStart"/>
      <w:r w:rsidRPr="0078681D">
        <w:t>Euratom</w:t>
      </w:r>
      <w:proofErr w:type="spellEnd"/>
      <w:r w:rsidRPr="0078681D">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78681D">
        <w:t>Euratom</w:t>
      </w:r>
      <w:proofErr w:type="spellEnd"/>
      <w:r w:rsidRPr="0078681D">
        <w:t xml:space="preserve">) č. </w:t>
      </w:r>
      <w:r w:rsidRPr="0078681D">
        <w:lastRenderedPageBreak/>
        <w:t>966/2012</w:t>
      </w:r>
      <w:r w:rsidRPr="0078681D">
        <w:rPr>
          <w:rStyle w:val="FootnoteReference"/>
        </w:rPr>
        <w:footnoteReference w:id="3"/>
      </w:r>
      <w:r w:rsidRPr="0078681D">
        <w:t>, a najmä na jeho článok 70,</w:t>
      </w:r>
    </w:p>
    <w:p w:rsidR="00E42B91" w:rsidRPr="0078681D" w:rsidRDefault="00E42B91" w:rsidP="00E42B91">
      <w:pPr>
        <w:pStyle w:val="NormalHanging12a"/>
      </w:pPr>
      <w:r w:rsidRPr="0078681D">
        <w:t>–</w:t>
      </w:r>
      <w:r w:rsidRPr="0078681D">
        <w:tab/>
        <w:t>so zreteľom na rozhodnutie Rady 2007/198/</w:t>
      </w:r>
      <w:proofErr w:type="spellStart"/>
      <w:r w:rsidRPr="0078681D">
        <w:t>Euratom</w:t>
      </w:r>
      <w:proofErr w:type="spellEnd"/>
      <w:r w:rsidRPr="0078681D">
        <w:t xml:space="preserve"> z 27. marca 2007, ktorým sa zriaďuje Európsky spoločný podnik pre ITER a rozvoj energie jadrovej syntézy a ktorým sa mu udeľujú výhody</w:t>
      </w:r>
      <w:r w:rsidRPr="0078681D">
        <w:rPr>
          <w:rStyle w:val="FootnoteReference"/>
        </w:rPr>
        <w:footnoteReference w:id="4"/>
      </w:r>
      <w:r w:rsidRPr="0078681D">
        <w:t>, a najmä na jeho článok 5,</w:t>
      </w:r>
    </w:p>
    <w:p w:rsidR="00E42B91" w:rsidRPr="0078681D" w:rsidRDefault="00E42B91" w:rsidP="00E42B91">
      <w:pPr>
        <w:pStyle w:val="NormalHanging12a"/>
      </w:pPr>
      <w:r w:rsidRPr="0078681D">
        <w:t>–</w:t>
      </w:r>
      <w:r w:rsidRPr="0078681D">
        <w:tab/>
        <w:t xml:space="preserve">so zreteľom na delegované nariadenie Komisie (EÚ) 2019/715 z 18. decembra 2018 o rámcovom nariadení o rozpočtových pravidlách pre subjekty zriadené podľa ZFEÚ a Zmluvy o </w:t>
      </w:r>
      <w:proofErr w:type="spellStart"/>
      <w:r w:rsidRPr="0078681D">
        <w:t>Euratome</w:t>
      </w:r>
      <w:proofErr w:type="spellEnd"/>
      <w:r w:rsidRPr="0078681D">
        <w:t xml:space="preserve"> a uvedené v článku 70 nariadenia Európskeho parlamentu a Rady (EÚ, </w:t>
      </w:r>
      <w:proofErr w:type="spellStart"/>
      <w:r w:rsidRPr="0078681D">
        <w:t>Euratom</w:t>
      </w:r>
      <w:proofErr w:type="spellEnd"/>
      <w:r w:rsidRPr="0078681D">
        <w:t>) 2018/1046</w:t>
      </w:r>
      <w:r w:rsidRPr="0078681D">
        <w:rPr>
          <w:rStyle w:val="FootnoteReference"/>
        </w:rPr>
        <w:footnoteReference w:id="5"/>
      </w:r>
      <w:r w:rsidRPr="0078681D">
        <w:t>,</w:t>
      </w:r>
    </w:p>
    <w:p w:rsidR="00E42B91" w:rsidRPr="0078681D" w:rsidRDefault="00E42B91" w:rsidP="00E42B91">
      <w:pPr>
        <w:pStyle w:val="NormalHanging12a"/>
      </w:pPr>
      <w:r w:rsidRPr="0078681D">
        <w:t>–</w:t>
      </w:r>
      <w:r w:rsidRPr="0078681D">
        <w:tab/>
        <w:t>so zreteľom na článok 100 a prílohu V k rokovaciemu poriadku,</w:t>
      </w:r>
    </w:p>
    <w:p w:rsidR="00E42B91" w:rsidRPr="0078681D" w:rsidRDefault="00E42B91" w:rsidP="00E42B91">
      <w:pPr>
        <w:pStyle w:val="NormalHanging12a"/>
      </w:pPr>
      <w:r w:rsidRPr="0078681D">
        <w:t>–</w:t>
      </w:r>
      <w:r w:rsidRPr="0078681D">
        <w:tab/>
        <w:t>so zreteľom na správu Výboru pre kontrolu rozpočtu (A9-0090/2024),</w:t>
      </w:r>
    </w:p>
    <w:p w:rsidR="00E42B91" w:rsidRPr="0078681D" w:rsidRDefault="00E42B91" w:rsidP="00E42B91">
      <w:pPr>
        <w:pStyle w:val="NormalHanging12a"/>
      </w:pPr>
      <w:r w:rsidRPr="0078681D">
        <w:t>1.</w:t>
      </w:r>
      <w:r w:rsidRPr="0078681D">
        <w:tab/>
        <w:t>udeľuje riaditeľovi Európskeho spoločného podniku pre ITER a rozvoj energie jadrovej syntézy (</w:t>
      </w:r>
      <w:proofErr w:type="spellStart"/>
      <w:r w:rsidRPr="0078681D">
        <w:t>Fusion</w:t>
      </w:r>
      <w:proofErr w:type="spellEnd"/>
      <w:r w:rsidRPr="0078681D">
        <w:t xml:space="preserve"> </w:t>
      </w:r>
      <w:proofErr w:type="spellStart"/>
      <w:r w:rsidRPr="0078681D">
        <w:t>for</w:t>
      </w:r>
      <w:proofErr w:type="spellEnd"/>
      <w:r w:rsidRPr="0078681D">
        <w:t xml:space="preserve"> Energy) absolutórium za plnenie rozpočtu spoločného podniku za rozpočtový rok 2022;</w:t>
      </w:r>
    </w:p>
    <w:p w:rsidR="00E42B91" w:rsidRPr="0078681D" w:rsidRDefault="00E42B91" w:rsidP="00E42B91">
      <w:pPr>
        <w:pStyle w:val="NormalHanging12a"/>
      </w:pPr>
      <w:r w:rsidRPr="0078681D">
        <w:t>2.</w:t>
      </w:r>
      <w:r w:rsidRPr="0078681D">
        <w:tab/>
        <w:t>uvádza svoje poznámky v priloženom uznesení;</w:t>
      </w:r>
    </w:p>
    <w:p w:rsidR="00E42B91" w:rsidRPr="0078681D" w:rsidRDefault="00E42B91" w:rsidP="00E42B91">
      <w:pPr>
        <w:pStyle w:val="NormalHanging12a"/>
      </w:pPr>
      <w:r w:rsidRPr="0078681D">
        <w:t>3.</w:t>
      </w:r>
      <w:r w:rsidRPr="0078681D">
        <w:tab/>
        <w:t xml:space="preserve">poveruje svoju predsedníčku, aby postúpila toto rozhodnutie a uznesenie, ktoré je jeho neoddeliteľnou súčasťou, riaditeľovi Európskeho spoločného podniku pre ITER a rozvoj energie jadrovej syntézy (spoločný podnik </w:t>
      </w:r>
      <w:proofErr w:type="spellStart"/>
      <w:r w:rsidRPr="0078681D">
        <w:t>Fusion</w:t>
      </w:r>
      <w:proofErr w:type="spellEnd"/>
      <w:r w:rsidRPr="0078681D">
        <w:t xml:space="preserve"> </w:t>
      </w:r>
      <w:proofErr w:type="spellStart"/>
      <w:r w:rsidRPr="0078681D">
        <w:t>for</w:t>
      </w:r>
      <w:proofErr w:type="spellEnd"/>
      <w:r w:rsidRPr="0078681D">
        <w:t xml:space="preserve"> Energy), Rade, Komisii a Dvoru audítorov a aby zabezpečila ich uverejnenie v </w:t>
      </w:r>
      <w:r w:rsidRPr="0078681D">
        <w:rPr>
          <w:i/>
        </w:rPr>
        <w:t>Úradnom vestníku Európskej únie</w:t>
      </w:r>
      <w:r w:rsidRPr="0078681D">
        <w:t xml:space="preserve"> (v sérii L).</w:t>
      </w:r>
    </w:p>
    <w:p w:rsidR="00E42B91" w:rsidRPr="0078681D" w:rsidRDefault="00E42B91" w:rsidP="00E42B91">
      <w:pPr>
        <w:pStyle w:val="PageHeading"/>
        <w:sectPr w:rsidR="00E42B91" w:rsidRPr="0078681D" w:rsidSect="00DA35E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42B91" w:rsidRPr="0078681D" w:rsidRDefault="00E42B91" w:rsidP="008F60BD">
      <w:pPr>
        <w:pStyle w:val="ATHeading3"/>
      </w:pPr>
      <w:bookmarkStart w:id="8" w:name="_Toc161397766"/>
      <w:r w:rsidRPr="0078681D">
        <w:lastRenderedPageBreak/>
        <w:t xml:space="preserve">2. </w:t>
      </w:r>
      <w:bookmarkEnd w:id="8"/>
      <w:r w:rsidR="008F60BD" w:rsidRPr="0078681D">
        <w:t>Rozhodnutie Európskeho parlamentu z</w:t>
      </w:r>
      <w:r w:rsidR="00C66362" w:rsidRPr="0078681D">
        <w:t> 11</w:t>
      </w:r>
      <w:r w:rsidR="008F60BD" w:rsidRPr="0078681D">
        <w:t xml:space="preserve">. apríla 2024 </w:t>
      </w:r>
      <w:r w:rsidRPr="0078681D">
        <w:t xml:space="preserve">o účtovnej závierke Európskeho spoločného podniku pre ITER a rozvoj energie jadrovej syntézy (spoločný podnik </w:t>
      </w:r>
      <w:proofErr w:type="spellStart"/>
      <w:r w:rsidRPr="0078681D">
        <w:t>Fusion</w:t>
      </w:r>
      <w:proofErr w:type="spellEnd"/>
      <w:r w:rsidRPr="0078681D">
        <w:t xml:space="preserve"> </w:t>
      </w:r>
      <w:proofErr w:type="spellStart"/>
      <w:r w:rsidRPr="0078681D">
        <w:t>for</w:t>
      </w:r>
      <w:proofErr w:type="spellEnd"/>
      <w:r w:rsidRPr="0078681D">
        <w:t xml:space="preserve"> Energy) za rozpočtový rok 2022</w:t>
      </w:r>
      <w:r w:rsidR="008F60BD" w:rsidRPr="0078681D">
        <w:t xml:space="preserve"> </w:t>
      </w:r>
      <w:r w:rsidRPr="0078681D">
        <w:t>(2023/2178(DEC))</w:t>
      </w:r>
    </w:p>
    <w:p w:rsidR="00E42B91" w:rsidRPr="0078681D" w:rsidRDefault="00E42B91" w:rsidP="00E42B91">
      <w:pPr>
        <w:pStyle w:val="EPComma"/>
      </w:pPr>
      <w:r w:rsidRPr="0078681D">
        <w:rPr>
          <w:i/>
        </w:rPr>
        <w:t>Európsky parlament</w:t>
      </w:r>
      <w:r w:rsidRPr="0078681D">
        <w:t>,</w:t>
      </w:r>
    </w:p>
    <w:p w:rsidR="00E42B91" w:rsidRPr="0078681D" w:rsidRDefault="00E42B91" w:rsidP="00E42B91">
      <w:pPr>
        <w:pStyle w:val="NormalHanging12a"/>
      </w:pPr>
      <w:r w:rsidRPr="0078681D">
        <w:t>–</w:t>
      </w:r>
      <w:r w:rsidRPr="0078681D">
        <w:tab/>
        <w:t xml:space="preserve">so zreteľom na konečnú ročnú účtovnú závierku Európskeho spoločného podniku pre ITER a rozvoj energie jadrovej syntézy (spoločný podnik </w:t>
      </w:r>
      <w:proofErr w:type="spellStart"/>
      <w:r w:rsidRPr="0078681D">
        <w:t>Fusion</w:t>
      </w:r>
      <w:proofErr w:type="spellEnd"/>
      <w:r w:rsidRPr="0078681D">
        <w:t xml:space="preserve"> </w:t>
      </w:r>
      <w:proofErr w:type="spellStart"/>
      <w:r w:rsidRPr="0078681D">
        <w:t>for</w:t>
      </w:r>
      <w:proofErr w:type="spellEnd"/>
      <w:r w:rsidRPr="0078681D">
        <w:t xml:space="preserve"> Energy) za rozpočtový rok 2022,</w:t>
      </w:r>
    </w:p>
    <w:p w:rsidR="00E42B91" w:rsidRPr="0078681D" w:rsidRDefault="00E42B91" w:rsidP="00E42B91">
      <w:pPr>
        <w:pStyle w:val="NormalHanging12a"/>
      </w:pPr>
      <w:r w:rsidRPr="0078681D">
        <w:t>–</w:t>
      </w:r>
      <w:r w:rsidRPr="0078681D">
        <w:tab/>
        <w:t>so zreteľom na výročnú správu Dvora audítorov o spoločných podnikoch EÚ za rozpočtový rok 2022 spolu s odpoveďami spoločných podnikov</w:t>
      </w:r>
      <w:r w:rsidRPr="0078681D">
        <w:rPr>
          <w:rStyle w:val="FootnoteReference"/>
        </w:rPr>
        <w:footnoteReference w:id="6"/>
      </w:r>
      <w:r w:rsidRPr="0078681D">
        <w:t>,</w:t>
      </w:r>
    </w:p>
    <w:p w:rsidR="00E42B91" w:rsidRPr="0078681D" w:rsidRDefault="00E42B91" w:rsidP="00E42B91">
      <w:pPr>
        <w:pStyle w:val="NormalHanging12a"/>
      </w:pPr>
      <w:r w:rsidRPr="0078681D">
        <w:t>–</w:t>
      </w:r>
      <w:r w:rsidRPr="0078681D">
        <w:tab/>
        <w:t>so zreteľom na vyhlásenie o vierohodnosti</w:t>
      </w:r>
      <w:r w:rsidRPr="0078681D">
        <w:rPr>
          <w:rStyle w:val="FootnoteReference"/>
        </w:rPr>
        <w:footnoteReference w:id="7"/>
      </w:r>
      <w:r w:rsidRPr="0078681D">
        <w:t xml:space="preserve"> vedenia účtov a zákonnosti a správnosti príslušných operácií, ktoré poskytol Dvor audítorov za rozpočtový rok 2022 v súlade s článkom 287 Zmluvy o fungovaní Európskej únie,</w:t>
      </w:r>
    </w:p>
    <w:p w:rsidR="00E42B91" w:rsidRPr="0078681D" w:rsidRDefault="00E42B91" w:rsidP="00E42B91">
      <w:pPr>
        <w:pStyle w:val="NormalHanging12a"/>
      </w:pPr>
      <w:r w:rsidRPr="0078681D">
        <w:t>–</w:t>
      </w:r>
      <w:r w:rsidRPr="0078681D">
        <w:tab/>
        <w:t>so zreteľom na odporúčanie Rady z 22. februára 2024 o udelení absolutória spoločnému podniku za plnenie rozpočtu za rozpočtový rok 2022 (</w:t>
      </w:r>
      <w:r w:rsidR="00C66362" w:rsidRPr="0078681D">
        <w:t>06182</w:t>
      </w:r>
      <w:r w:rsidRPr="0078681D">
        <w:t>/2024 – C9</w:t>
      </w:r>
      <w:r w:rsidRPr="0078681D">
        <w:noBreakHyphen/>
      </w:r>
      <w:r w:rsidR="00C66362" w:rsidRPr="0078681D">
        <w:t>0116</w:t>
      </w:r>
      <w:r w:rsidRPr="0078681D">
        <w:t>/2024),</w:t>
      </w:r>
    </w:p>
    <w:p w:rsidR="00E42B91" w:rsidRPr="0078681D" w:rsidRDefault="00E42B91" w:rsidP="00E42B91">
      <w:pPr>
        <w:pStyle w:val="NormalHanging12a"/>
      </w:pPr>
      <w:r w:rsidRPr="0078681D">
        <w:t>–</w:t>
      </w:r>
      <w:r w:rsidRPr="0078681D">
        <w:tab/>
        <w:t>so zreteľom na článok 319 Zmluvy o fungovaní Európskej únii,</w:t>
      </w:r>
    </w:p>
    <w:p w:rsidR="00E42B91" w:rsidRPr="0078681D" w:rsidRDefault="00E42B91" w:rsidP="00E42B91">
      <w:pPr>
        <w:pStyle w:val="NormalHanging12a"/>
      </w:pPr>
      <w:r w:rsidRPr="0078681D">
        <w:t>–</w:t>
      </w:r>
      <w:r w:rsidRPr="0078681D">
        <w:tab/>
        <w:t>so zreteľom na článok 106a Zmluvy o založení Európskeho spoločenstva pre atómovú energiu,</w:t>
      </w:r>
    </w:p>
    <w:p w:rsidR="00E42B91" w:rsidRPr="0078681D" w:rsidRDefault="00E42B91" w:rsidP="00E42B91">
      <w:pPr>
        <w:pStyle w:val="NormalHanging12a"/>
      </w:pPr>
      <w:r w:rsidRPr="0078681D">
        <w:t>–</w:t>
      </w:r>
      <w:r w:rsidRPr="0078681D">
        <w:tab/>
        <w:t xml:space="preserve">so zreteľom na nariadenie Európskeho parlamentu a Rady (EÚ, </w:t>
      </w:r>
      <w:proofErr w:type="spellStart"/>
      <w:r w:rsidRPr="0078681D">
        <w:t>Euratom</w:t>
      </w:r>
      <w:proofErr w:type="spellEnd"/>
      <w:r w:rsidRPr="0078681D">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78681D">
        <w:t>Euratom</w:t>
      </w:r>
      <w:proofErr w:type="spellEnd"/>
      <w:r w:rsidRPr="0078681D">
        <w:t>) č. 966/2012</w:t>
      </w:r>
      <w:r w:rsidRPr="0078681D">
        <w:rPr>
          <w:rStyle w:val="FootnoteReference"/>
        </w:rPr>
        <w:footnoteReference w:id="8"/>
      </w:r>
      <w:r w:rsidRPr="0078681D">
        <w:t>, a najmä na jeho článok 70,</w:t>
      </w:r>
    </w:p>
    <w:p w:rsidR="00E42B91" w:rsidRPr="0078681D" w:rsidRDefault="00E42B91" w:rsidP="00E42B91">
      <w:pPr>
        <w:pStyle w:val="NormalHanging12a"/>
      </w:pPr>
      <w:r w:rsidRPr="0078681D">
        <w:t>–</w:t>
      </w:r>
      <w:r w:rsidRPr="0078681D">
        <w:tab/>
        <w:t>so zreteľom na rozhodnutie Rady 2007/198/</w:t>
      </w:r>
      <w:proofErr w:type="spellStart"/>
      <w:r w:rsidRPr="0078681D">
        <w:t>Euratom</w:t>
      </w:r>
      <w:proofErr w:type="spellEnd"/>
      <w:r w:rsidRPr="0078681D">
        <w:t xml:space="preserve"> z 27. marca 2007, ktorým sa zriaďuje Európsky spoločný podnik pre ITER a rozvoj energie jadrovej syntézy a ktorým sa mu udeľujú výhody</w:t>
      </w:r>
      <w:r w:rsidRPr="0078681D">
        <w:rPr>
          <w:rStyle w:val="FootnoteReference"/>
        </w:rPr>
        <w:footnoteReference w:id="9"/>
      </w:r>
      <w:r w:rsidRPr="0078681D">
        <w:t>, a najmä na jeho článok 5,</w:t>
      </w:r>
    </w:p>
    <w:p w:rsidR="00E42B91" w:rsidRPr="0078681D" w:rsidRDefault="00E42B91" w:rsidP="00E42B91">
      <w:pPr>
        <w:pStyle w:val="NormalHanging12a"/>
      </w:pPr>
      <w:r w:rsidRPr="0078681D">
        <w:t>–</w:t>
      </w:r>
      <w:r w:rsidRPr="0078681D">
        <w:tab/>
        <w:t xml:space="preserve">so zreteľom na delegované nariadenie Komisie (EÚ) 2019/715 z 18. decembra 2018 o rámcovom nariadení o rozpočtových pravidlách pre subjekty zriadené podľa ZFEÚ a Zmluvy o </w:t>
      </w:r>
      <w:proofErr w:type="spellStart"/>
      <w:r w:rsidRPr="0078681D">
        <w:t>Euratome</w:t>
      </w:r>
      <w:proofErr w:type="spellEnd"/>
      <w:r w:rsidRPr="0078681D">
        <w:t xml:space="preserve"> a uvedené v článku 70 nariadenia Európskeho parlamentu a Rady (EÚ, </w:t>
      </w:r>
      <w:proofErr w:type="spellStart"/>
      <w:r w:rsidRPr="0078681D">
        <w:t>Euratom</w:t>
      </w:r>
      <w:proofErr w:type="spellEnd"/>
      <w:r w:rsidRPr="0078681D">
        <w:t>) 2018/1046</w:t>
      </w:r>
      <w:r w:rsidRPr="0078681D">
        <w:rPr>
          <w:rStyle w:val="FootnoteReference"/>
        </w:rPr>
        <w:footnoteReference w:id="10"/>
      </w:r>
      <w:r w:rsidRPr="0078681D">
        <w:t>,</w:t>
      </w:r>
    </w:p>
    <w:p w:rsidR="00E42B91" w:rsidRPr="0078681D" w:rsidRDefault="00E42B91" w:rsidP="00E42B91">
      <w:pPr>
        <w:pStyle w:val="NormalHanging12a"/>
      </w:pPr>
      <w:r w:rsidRPr="0078681D">
        <w:t>–</w:t>
      </w:r>
      <w:r w:rsidRPr="0078681D">
        <w:tab/>
        <w:t>so zreteľom na článok 100 a prílohu V k rokovaciemu poriadku,</w:t>
      </w:r>
    </w:p>
    <w:p w:rsidR="00E42B91" w:rsidRPr="0078681D" w:rsidRDefault="00E42B91" w:rsidP="00E42B91">
      <w:pPr>
        <w:pStyle w:val="NormalHanging12a"/>
      </w:pPr>
      <w:r w:rsidRPr="0078681D">
        <w:t>–</w:t>
      </w:r>
      <w:r w:rsidRPr="0078681D">
        <w:tab/>
        <w:t>so zreteľom na správu Výboru pre kontrolu rozpočtu (A9-0090/2024),</w:t>
      </w:r>
    </w:p>
    <w:p w:rsidR="00E42B91" w:rsidRPr="0078681D" w:rsidRDefault="00E42B91" w:rsidP="00E42B91">
      <w:pPr>
        <w:pStyle w:val="NormalHanging12a"/>
      </w:pPr>
      <w:r w:rsidRPr="0078681D">
        <w:t>1.</w:t>
      </w:r>
      <w:r w:rsidRPr="0078681D">
        <w:tab/>
        <w:t xml:space="preserve">schvaľuje účtovnú závierku Európskeho spoločného podniku pre ITER a rozvoj energie jadrovej syntézy (spoločný podnik </w:t>
      </w:r>
      <w:proofErr w:type="spellStart"/>
      <w:r w:rsidRPr="0078681D">
        <w:t>Fusion</w:t>
      </w:r>
      <w:proofErr w:type="spellEnd"/>
      <w:r w:rsidRPr="0078681D">
        <w:t xml:space="preserve"> </w:t>
      </w:r>
      <w:proofErr w:type="spellStart"/>
      <w:r w:rsidRPr="0078681D">
        <w:t>for</w:t>
      </w:r>
      <w:proofErr w:type="spellEnd"/>
      <w:r w:rsidRPr="0078681D">
        <w:t xml:space="preserve"> Energy) za rozpočtový rok 2022,</w:t>
      </w:r>
    </w:p>
    <w:p w:rsidR="00E42B91" w:rsidRPr="0078681D" w:rsidRDefault="00E42B91" w:rsidP="00E42B91">
      <w:pPr>
        <w:pStyle w:val="NormalHanging12a"/>
      </w:pPr>
      <w:r w:rsidRPr="0078681D">
        <w:t>2.</w:t>
      </w:r>
      <w:r w:rsidRPr="0078681D">
        <w:tab/>
        <w:t xml:space="preserve">poveruje svoju predsedníčku, aby postúpila toto rozhodnutie riaditeľovi Európskeho spoločného podniku pre ITER a rozvoj energie jadrovej syntézy (spoločný podnik </w:t>
      </w:r>
      <w:proofErr w:type="spellStart"/>
      <w:r w:rsidRPr="0078681D">
        <w:t>Fusion</w:t>
      </w:r>
      <w:proofErr w:type="spellEnd"/>
      <w:r w:rsidRPr="0078681D">
        <w:t xml:space="preserve"> </w:t>
      </w:r>
      <w:proofErr w:type="spellStart"/>
      <w:r w:rsidRPr="0078681D">
        <w:t>for</w:t>
      </w:r>
      <w:proofErr w:type="spellEnd"/>
      <w:r w:rsidRPr="0078681D">
        <w:t xml:space="preserve"> Energy), Rade, Komisii a Dvoru audítorov a aby zabezpečila jeho uverejnenie v </w:t>
      </w:r>
      <w:r w:rsidRPr="0078681D">
        <w:rPr>
          <w:i/>
        </w:rPr>
        <w:t>Úradnom vestníku Európskej únie</w:t>
      </w:r>
      <w:r w:rsidRPr="0078681D">
        <w:t xml:space="preserve"> (v sérii L).</w:t>
      </w:r>
    </w:p>
    <w:p w:rsidR="00E42B91" w:rsidRPr="0078681D" w:rsidRDefault="00E42B91" w:rsidP="00E42B91">
      <w:pPr>
        <w:pStyle w:val="PageHeading"/>
        <w:sectPr w:rsidR="00E42B91" w:rsidRPr="0078681D" w:rsidSect="00DA35ED">
          <w:footnotePr>
            <w:numRestart w:val="eachPage"/>
          </w:footnotePr>
          <w:endnotePr>
            <w:numFmt w:val="decimal"/>
          </w:endnotePr>
          <w:pgSz w:w="11906" w:h="16838" w:code="9"/>
          <w:pgMar w:top="1134" w:right="1418" w:bottom="1418" w:left="1418" w:header="567" w:footer="567" w:gutter="0"/>
          <w:cols w:space="720"/>
          <w:noEndnote/>
          <w:docGrid w:linePitch="326"/>
        </w:sectPr>
      </w:pPr>
    </w:p>
    <w:p w:rsidR="00E42B91" w:rsidRPr="0078681D" w:rsidRDefault="00E42B91" w:rsidP="008F60BD">
      <w:pPr>
        <w:pStyle w:val="ATHeading3"/>
      </w:pPr>
      <w:bookmarkStart w:id="9" w:name="_Toc161397767"/>
      <w:r w:rsidRPr="0078681D">
        <w:t xml:space="preserve">3. </w:t>
      </w:r>
      <w:bookmarkEnd w:id="9"/>
      <w:r w:rsidR="008F60BD" w:rsidRPr="0078681D">
        <w:t>Uznesenie Európskeho parlamentu z</w:t>
      </w:r>
      <w:r w:rsidR="00C66362" w:rsidRPr="0078681D">
        <w:t> 11</w:t>
      </w:r>
      <w:r w:rsidR="008F60BD" w:rsidRPr="0078681D">
        <w:t xml:space="preserve">. apríla 2024 </w:t>
      </w:r>
      <w:r w:rsidRPr="0078681D">
        <w:t xml:space="preserve">s poznámkami, ktoré </w:t>
      </w:r>
      <w:r w:rsidR="008F60BD" w:rsidRPr="0078681D">
        <w:t xml:space="preserve">je </w:t>
      </w:r>
      <w:r w:rsidRPr="0078681D">
        <w:t xml:space="preserve">neoddeliteľnou súčasťou rozhodnutia o absolutóriu za plnenie rozpočtu Európskeho spoločného podniku pre ITER a rozvoj energie jadrovej syntézy (spoločný podnik </w:t>
      </w:r>
      <w:proofErr w:type="spellStart"/>
      <w:r w:rsidRPr="0078681D">
        <w:t>Fusion</w:t>
      </w:r>
      <w:proofErr w:type="spellEnd"/>
      <w:r w:rsidRPr="0078681D">
        <w:t xml:space="preserve"> </w:t>
      </w:r>
      <w:proofErr w:type="spellStart"/>
      <w:r w:rsidRPr="0078681D">
        <w:t>for</w:t>
      </w:r>
      <w:proofErr w:type="spellEnd"/>
      <w:r w:rsidRPr="0078681D">
        <w:t xml:space="preserve"> Energy) za rozpočtový rok 2022</w:t>
      </w:r>
      <w:r w:rsidR="008F60BD" w:rsidRPr="0078681D">
        <w:t xml:space="preserve"> </w:t>
      </w:r>
      <w:r w:rsidRPr="0078681D">
        <w:t>(2023/2178(DEC))</w:t>
      </w:r>
    </w:p>
    <w:p w:rsidR="00E42B91" w:rsidRPr="0078681D" w:rsidRDefault="00E42B91" w:rsidP="00E42B91">
      <w:pPr>
        <w:pStyle w:val="EPComma"/>
      </w:pPr>
      <w:r w:rsidRPr="0078681D">
        <w:rPr>
          <w:i/>
        </w:rPr>
        <w:t>Európsky parlament</w:t>
      </w:r>
      <w:r w:rsidRPr="0078681D">
        <w:t>,</w:t>
      </w:r>
    </w:p>
    <w:p w:rsidR="00E42B91" w:rsidRPr="0078681D" w:rsidRDefault="00E42B91" w:rsidP="00E42B91">
      <w:pPr>
        <w:pStyle w:val="NormalHanging12a"/>
      </w:pPr>
      <w:r w:rsidRPr="0078681D">
        <w:t>–</w:t>
      </w:r>
      <w:r w:rsidRPr="0078681D">
        <w:tab/>
        <w:t>so zreteľom na svoje rozhodnutie o absolutóriu za plnenie rozpočtu Európskeho spoločného podniku pre ITER a rozvoj energie jadrovej syntézy za rozpočtový rok 2022,</w:t>
      </w:r>
    </w:p>
    <w:p w:rsidR="00E42B91" w:rsidRPr="0078681D" w:rsidRDefault="00E42B91" w:rsidP="00E42B91">
      <w:pPr>
        <w:pStyle w:val="NormalHanging12a"/>
      </w:pPr>
      <w:r w:rsidRPr="0078681D">
        <w:t>–</w:t>
      </w:r>
      <w:r w:rsidRPr="0078681D">
        <w:tab/>
        <w:t>so zreteľom na článok 100 a prílohu V k rokovaciemu poriadku,</w:t>
      </w:r>
    </w:p>
    <w:p w:rsidR="00E42B91" w:rsidRPr="0078681D" w:rsidRDefault="00E42B91" w:rsidP="00E42B91">
      <w:pPr>
        <w:pStyle w:val="NormalHanging12a"/>
      </w:pPr>
      <w:r w:rsidRPr="0078681D">
        <w:t>–</w:t>
      </w:r>
      <w:r w:rsidRPr="0078681D">
        <w:tab/>
        <w:t>so zreteľom na stanovisko Výboru pre priemysel, výskum a energetiku,</w:t>
      </w:r>
    </w:p>
    <w:p w:rsidR="00E42B91" w:rsidRPr="0078681D" w:rsidRDefault="00E42B91" w:rsidP="00E42B91">
      <w:pPr>
        <w:pStyle w:val="NormalHanging12a"/>
      </w:pPr>
      <w:r w:rsidRPr="0078681D">
        <w:t>–</w:t>
      </w:r>
      <w:r w:rsidRPr="0078681D">
        <w:tab/>
        <w:t>so zreteľom na správu Výboru pre kontrolu rozpočtu (A9-0090/2024),</w:t>
      </w:r>
    </w:p>
    <w:p w:rsidR="00E42B91" w:rsidRPr="0078681D" w:rsidRDefault="00E42B91" w:rsidP="00E42B91">
      <w:pPr>
        <w:spacing w:after="240"/>
        <w:ind w:left="567" w:hanging="567"/>
      </w:pPr>
      <w:r w:rsidRPr="0078681D">
        <w:t>A.</w:t>
      </w:r>
      <w:r w:rsidRPr="0078681D">
        <w:tab/>
        <w:t>keďže Európsky spoločný podnik pre medzinárodný termonukleárny experimentálny reaktor (ITER) a rozvoj energie jadrovej syntézy (ďalej len „spoločný podnik“) bol založený v apríli 2007 na obdobie 35 rokov na základe rozhodnutia 2007/198/</w:t>
      </w:r>
      <w:proofErr w:type="spellStart"/>
      <w:r w:rsidRPr="0078681D">
        <w:t>Euratom</w:t>
      </w:r>
      <w:proofErr w:type="spellEnd"/>
      <w:r w:rsidRPr="0078681D">
        <w:rPr>
          <w:rStyle w:val="FootnoteReference"/>
        </w:rPr>
        <w:footnoteReference w:id="11"/>
      </w:r>
      <w:r w:rsidRPr="0078681D">
        <w:t xml:space="preserve"> z 27. marca 2007;</w:t>
      </w:r>
    </w:p>
    <w:p w:rsidR="00E42B91" w:rsidRPr="0078681D" w:rsidRDefault="00E42B91" w:rsidP="00E42B91">
      <w:pPr>
        <w:spacing w:after="240"/>
        <w:ind w:left="567" w:hanging="567"/>
      </w:pPr>
      <w:r w:rsidRPr="0078681D">
        <w:t>B.</w:t>
      </w:r>
      <w:r w:rsidRPr="0078681D">
        <w:tab/>
        <w:t>keďže členmi spoločného podniku sú Európske spoločenstvo pre atómovú energiu (</w:t>
      </w:r>
      <w:proofErr w:type="spellStart"/>
      <w:r w:rsidRPr="0078681D">
        <w:t>Euratom</w:t>
      </w:r>
      <w:proofErr w:type="spellEnd"/>
      <w:r w:rsidRPr="0078681D">
        <w:t xml:space="preserve">), zastúpené Komisiou, členské štáty </w:t>
      </w:r>
      <w:proofErr w:type="spellStart"/>
      <w:r w:rsidRPr="0078681D">
        <w:t>Euratomu</w:t>
      </w:r>
      <w:proofErr w:type="spellEnd"/>
      <w:r w:rsidRPr="0078681D">
        <w:t xml:space="preserve"> a tretie krajiny, ktoré s </w:t>
      </w:r>
      <w:proofErr w:type="spellStart"/>
      <w:r w:rsidRPr="0078681D">
        <w:t>Euratomom</w:t>
      </w:r>
      <w:proofErr w:type="spellEnd"/>
      <w:r w:rsidRPr="0078681D">
        <w:rPr>
          <w:rStyle w:val="FootnoteReference"/>
        </w:rPr>
        <w:footnoteReference w:id="12"/>
      </w:r>
      <w:r w:rsidRPr="0078681D">
        <w:t xml:space="preserve"> uzavreli dohody o spolupráci v oblasti riadenej jadrovej syntézy;</w:t>
      </w:r>
    </w:p>
    <w:p w:rsidR="00E42B91" w:rsidRPr="0078681D" w:rsidRDefault="00E42B91" w:rsidP="00E42B91">
      <w:pPr>
        <w:spacing w:after="240"/>
        <w:ind w:left="567" w:hanging="567"/>
      </w:pPr>
      <w:r w:rsidRPr="0078681D">
        <w:t>C.</w:t>
      </w:r>
      <w:r w:rsidRPr="0078681D">
        <w:tab/>
        <w:t xml:space="preserve">keďže cieľom spoločného podniku je poskytnúť príspevok Únie k medzinárodnému projektu energie jadrovej syntézy ITER, vykonávať dohodu o širšom prístupe medzi </w:t>
      </w:r>
      <w:proofErr w:type="spellStart"/>
      <w:r w:rsidRPr="0078681D">
        <w:t>Euratomom</w:t>
      </w:r>
      <w:proofErr w:type="spellEnd"/>
      <w:r w:rsidRPr="0078681D">
        <w:t xml:space="preserve"> a Japonskom a pripraviť výstavbu demonštračného reaktora jadrovej syntézy a súvisiacich zariadení</w:t>
      </w:r>
      <w:r w:rsidRPr="0078681D">
        <w:rPr>
          <w:rStyle w:val="FootnoteReference"/>
        </w:rPr>
        <w:footnoteReference w:id="13"/>
      </w:r>
      <w:r w:rsidRPr="0078681D">
        <w:t>;</w:t>
      </w:r>
    </w:p>
    <w:p w:rsidR="00E42B91" w:rsidRPr="0078681D" w:rsidRDefault="00E42B91" w:rsidP="00E42B91">
      <w:pPr>
        <w:spacing w:after="240"/>
        <w:ind w:left="567" w:hanging="567"/>
      </w:pPr>
      <w:r w:rsidRPr="0078681D">
        <w:t>D.</w:t>
      </w:r>
      <w:r w:rsidRPr="0078681D">
        <w:tab/>
        <w:t xml:space="preserve">keďže na projekte ITER sa podieľa sedem svetových partnerov, a to Únia, zastúpená </w:t>
      </w:r>
      <w:proofErr w:type="spellStart"/>
      <w:r w:rsidRPr="0078681D">
        <w:t>Euratomom</w:t>
      </w:r>
      <w:proofErr w:type="spellEnd"/>
      <w:r w:rsidRPr="0078681D">
        <w:t>, Spojené štáty americké, Rusko, Japonsko, Čína, Južná Kórea a India, pričom Únia má vedúcu pozíciu s podielom 45,4 % na nákladoch na výstavbu a každý z ostatných zúčastnených partnerov prispieva podielom 9,1 %; rozdelenie nákladov sa zmení v prevádzkovej fáze testovania jadrovej syntézy, keď bude Únia znášať 34 % prevádzkových nákladov</w:t>
      </w:r>
      <w:r w:rsidRPr="0078681D">
        <w:rPr>
          <w:rStyle w:val="FootnoteReference"/>
        </w:rPr>
        <w:footnoteReference w:id="14"/>
      </w:r>
      <w:r w:rsidRPr="0078681D">
        <w:t>;</w:t>
      </w:r>
    </w:p>
    <w:p w:rsidR="00E42B91" w:rsidRPr="0078681D" w:rsidRDefault="00E42B91" w:rsidP="00E42B91">
      <w:pPr>
        <w:spacing w:after="240"/>
        <w:ind w:left="567" w:hanging="567"/>
      </w:pPr>
      <w:r w:rsidRPr="0078681D">
        <w:t>E.</w:t>
      </w:r>
      <w:r w:rsidRPr="0078681D">
        <w:tab/>
        <w:t xml:space="preserve">keďže súčasný odhad Komisie týkajúci sa celkového rozpočtu </w:t>
      </w:r>
      <w:proofErr w:type="spellStart"/>
      <w:r w:rsidRPr="0078681D">
        <w:t>Euratomu</w:t>
      </w:r>
      <w:proofErr w:type="spellEnd"/>
      <w:r w:rsidRPr="0078681D">
        <w:t xml:space="preserve">, ktorý spoločný podnik potrebuje na financovanie európskej časti realizácie projektu ITER a súvisiacich činností, predstavuje 15 miliárd EUR (v súčasných hodnotách) do roku 2035; keďže hostiteľský štát projektu ITER (Francúzsko) a členské štáty </w:t>
      </w:r>
      <w:proofErr w:type="spellStart"/>
      <w:r w:rsidRPr="0078681D">
        <w:t>Euratomu</w:t>
      </w:r>
      <w:proofErr w:type="spellEnd"/>
      <w:r w:rsidRPr="0078681D">
        <w:t xml:space="preserve"> prispejú ďalšími 3,2 miliardy EUR (v súčasných hodnotách)</w:t>
      </w:r>
      <w:r w:rsidRPr="0078681D">
        <w:rPr>
          <w:rStyle w:val="FootnoteReference"/>
        </w:rPr>
        <w:footnoteReference w:id="15"/>
      </w:r>
      <w:r w:rsidRPr="0078681D">
        <w:t>;</w:t>
      </w:r>
    </w:p>
    <w:p w:rsidR="00E42B91" w:rsidRPr="0078681D" w:rsidRDefault="00E42B91" w:rsidP="00E42B91">
      <w:pPr>
        <w:spacing w:after="240"/>
        <w:ind w:left="567" w:hanging="567"/>
      </w:pPr>
      <w:r w:rsidRPr="0078681D">
        <w:t>F.</w:t>
      </w:r>
      <w:r w:rsidRPr="0078681D">
        <w:tab/>
        <w:t>keďže Spojené kráľovstvo a Švajčiarsko už nie sú pridružené k činnostiam spoločného podniku v rámci projektu ITER, ani nie sú členmi spoločného podniku</w:t>
      </w:r>
      <w:r w:rsidRPr="0078681D">
        <w:rPr>
          <w:rStyle w:val="FootnoteReference"/>
        </w:rPr>
        <w:footnoteReference w:id="16"/>
      </w:r>
      <w:r w:rsidRPr="0078681D">
        <w:t>;</w:t>
      </w:r>
    </w:p>
    <w:p w:rsidR="00E42B91" w:rsidRPr="0078681D" w:rsidRDefault="00E42B91" w:rsidP="00E42B91">
      <w:pPr>
        <w:pStyle w:val="NormalHanging12a"/>
      </w:pPr>
      <w:r w:rsidRPr="0078681D">
        <w:t>G.</w:t>
      </w:r>
      <w:r w:rsidRPr="0078681D">
        <w:tab/>
        <w:t>keďže v záujme zvýšenia transparentnosti by spoločný podnik mal vo svojej ročnej účtovnej závierke zverejňovať náležité informácie týkajúce sa príspevkov členov na úrovni programu; keďže spoločný podnik by mal pre každý program, v rámci ktorého pôsobí, predložiť do konca roka všetky náležité informácie podľa kategórie členov vrátane cieľových hodnôt právnych príspevkov stanovených pre príslušný program, objem prijatých príspevkov a objem právnych záväzkov; keďže spoločný podnik by mal naďalej zlepšovať transparentnosť;</w:t>
      </w:r>
    </w:p>
    <w:p w:rsidR="00E42B91" w:rsidRPr="0078681D" w:rsidRDefault="00E42B91" w:rsidP="00E42B91">
      <w:pPr>
        <w:spacing w:after="240"/>
        <w:ind w:left="567" w:hanging="567"/>
        <w:rPr>
          <w:b/>
          <w:i/>
        </w:rPr>
      </w:pPr>
      <w:r w:rsidRPr="0078681D">
        <w:rPr>
          <w:b/>
          <w:i/>
        </w:rPr>
        <w:t>Všeobecne</w:t>
      </w:r>
    </w:p>
    <w:p w:rsidR="00E42B91" w:rsidRPr="0078681D" w:rsidRDefault="00E42B91" w:rsidP="00E42B91">
      <w:pPr>
        <w:spacing w:after="240"/>
        <w:ind w:left="573" w:hanging="573"/>
      </w:pPr>
      <w:r w:rsidRPr="0078681D">
        <w:t>1.</w:t>
      </w:r>
      <w:r w:rsidRPr="0078681D">
        <w:tab/>
        <w:t>konštatuje, že Dvor audítorov vo svojej správe o ročnej účtovnej závierke spoločného podniku (ďalej len „správa Dvora audítorov“) uvádza, že ročná účtovná závierka za rozpočtový rok 2022 vyjadruje verne vo všetkých významných hľadiskách finančnú situáciu spoločného podniku k 31. decembru 2022 a výsledky jeho operácií, jeho peňažné toky a zmeny v jeho čistých aktívach ku rozpočtovému roku 2022 sú v súlade s jeho nariadením o rozpočtových pravidlách a účtovnými pravidlami, ktoré schválil účtovník Komisie; okrem toho berie na vedomie, že operácie, na ktorých sa zakladá účtovná závierka za rozpočtový rok 2022, sú zo všetkých významných hľadísk zákonné a správne;</w:t>
      </w:r>
    </w:p>
    <w:p w:rsidR="00E42B91" w:rsidRPr="0078681D" w:rsidRDefault="00E42B91" w:rsidP="00E42B91">
      <w:pPr>
        <w:spacing w:after="240"/>
        <w:ind w:left="573" w:hanging="573"/>
      </w:pPr>
      <w:r w:rsidRPr="0078681D">
        <w:t>2.</w:t>
      </w:r>
      <w:r w:rsidRPr="0078681D">
        <w:tab/>
        <w:t>zdôrazňuje, že Dvor audítorov upriamuje pozornosť na skutočnosť, že spoločný podnik zverejnil v ročnej účtovnej závierke za rok 2022 svoj odhad celkových nákladov na splnenie svojich záväzkov týkajúcich sa realizácie projektu ITER (ďalej len „odhad pri dokončení“) vo výške 19,1 miliardy EUR (v hodnotách z roku 2022), ktoré tvoria celkové platby uskutočnené do konca roka 2022 vo výške 9,2 miliardy EUR a odhad budúcich platieb vo výške 9,9 miliardy EUR (v hodnotách z roku 2022);</w:t>
      </w:r>
    </w:p>
    <w:p w:rsidR="00E42B91" w:rsidRPr="0078681D" w:rsidRDefault="00E42B91" w:rsidP="00E42B91">
      <w:pPr>
        <w:spacing w:after="240"/>
        <w:ind w:left="570" w:hanging="570"/>
      </w:pPr>
      <w:r w:rsidRPr="0078681D">
        <w:t>3.</w:t>
      </w:r>
      <w:r w:rsidRPr="0078681D">
        <w:tab/>
        <w:t>konštatuje však, že odhad pri dokončení projektu ITER na rok 2022 je stále založený na míľnikoch a predpokladoch nákladov na rok 2016 a tieto odhady budú predmetom významnej revízie po dokončení nového základného scenára a požiadaviek projektu ITER, schválení Radou ITER a formálnom oznámení spoločnému podniku;</w:t>
      </w:r>
    </w:p>
    <w:p w:rsidR="00E42B91" w:rsidRPr="0078681D" w:rsidRDefault="00E42B91" w:rsidP="00E42B91">
      <w:pPr>
        <w:spacing w:after="240"/>
        <w:ind w:left="570" w:hanging="570"/>
      </w:pPr>
      <w:r w:rsidRPr="0078681D">
        <w:t>4.</w:t>
      </w:r>
      <w:r w:rsidRPr="0078681D">
        <w:tab/>
        <w:t>uznáva, že počas roka 2022 spoločný podnik čelil vplyvom výraznej inflácie, ktorú pôvodne spôsobila pandémia ochorenia COVID-19 vyvolaním problémov v dodávateľskom reťazci a potom (po februári 2022) útočná vojna Ruska proti Ukrajine; je znepokojený, že odhadovaný vplyv uvedených skutočností na celkový odhad pri dokončení spoločného podniku dosahuje 144 miliónov EUR (v hodnotách z roku 2008) podľa posledného posúdenia; okrem toho konštatuje, že sa očakáva, že tento odhad pri dokončení sa prejaví vo zvýšených výdavkoch za roky 2023 – 2026; ďalej konštatuje, že tento vplyv inflácie je zjavný v cenách za suroviny, ako v existujúcich zmluvách a ponukách prijatých v roku 2022 a je pravdepodobné, že bude pretrvávať aj v budúcnosti v závislosti od vývinu medzinárodnej situácie;</w:t>
      </w:r>
    </w:p>
    <w:p w:rsidR="00E42B91" w:rsidRPr="0078681D" w:rsidRDefault="00E42B91" w:rsidP="00E42B91">
      <w:pPr>
        <w:pStyle w:val="NormalHanging12a"/>
      </w:pPr>
      <w:r w:rsidRPr="0078681D">
        <w:t>5.</w:t>
      </w:r>
      <w:r w:rsidRPr="0078681D">
        <w:tab/>
        <w:t>so znepokojením konštatuje, že Rusko je členom organizácie ITER-IO s povinnosťou dodať niekoľko komponentov pre projekt ITER do montážneho zariadenia ITER vo Francúzsku (</w:t>
      </w:r>
      <w:proofErr w:type="spellStart"/>
      <w:r w:rsidRPr="0078681D">
        <w:t>Cadarache</w:t>
      </w:r>
      <w:proofErr w:type="spellEnd"/>
      <w:r w:rsidRPr="0078681D">
        <w:t>) a poskytovať ročné príspevky organizácii ITER-IO; zdôrazňuje, že táto situácia predstavuje pre projekt ITER riziko oneskorení a vyšších nákladov; trvá na tom, že je potrebné vypracovať riešenia s cieľom primerane zmierniť tieto riziká; domnieva sa, že každé prijaté rozhodnutie by malo chrániť strategické záujmy a politické priority Únie;</w:t>
      </w:r>
    </w:p>
    <w:p w:rsidR="00E42B91" w:rsidRPr="0078681D" w:rsidRDefault="00E42B91" w:rsidP="00E42B91">
      <w:pPr>
        <w:spacing w:after="240"/>
        <w:ind w:left="570" w:hanging="570"/>
      </w:pPr>
      <w:r w:rsidRPr="0078681D">
        <w:t>6.</w:t>
      </w:r>
      <w:r w:rsidRPr="0078681D">
        <w:tab/>
        <w:t>berie na vedomie, že v novembri 2022 sa na 31. zasadnutí rady ITER</w:t>
      </w:r>
      <w:r w:rsidRPr="0078681D">
        <w:rPr>
          <w:rStyle w:val="FootnoteReference"/>
        </w:rPr>
        <w:footnoteReference w:id="17"/>
      </w:r>
      <w:r w:rsidRPr="0078681D">
        <w:t xml:space="preserve"> odsúhlasila aktualizácia základného scenára a na jej 32. zasadnutí, ktoré sa uskutočnilo 21. až 22. júna 2023</w:t>
      </w:r>
      <w:r w:rsidRPr="0078681D">
        <w:rPr>
          <w:rStyle w:val="FootnoteReference"/>
        </w:rPr>
        <w:footnoteReference w:id="18"/>
      </w:r>
      <w:r w:rsidRPr="0078681D">
        <w:t>, sa poveril generálny riaditeľ ITER, aby v roku 2024 predložil na posúdenie a schválenie návrh na aktualizovaný základný scenár ITER;</w:t>
      </w:r>
    </w:p>
    <w:p w:rsidR="00E42B91" w:rsidRPr="0078681D" w:rsidRDefault="00E42B91" w:rsidP="00E42B91">
      <w:pPr>
        <w:spacing w:after="240"/>
        <w:ind w:left="570" w:hanging="570"/>
      </w:pPr>
      <w:r w:rsidRPr="0078681D">
        <w:t>7.</w:t>
      </w:r>
      <w:r w:rsidRPr="0078681D">
        <w:tab/>
        <w:t>s obavami konštatuje, že riziko pre rozpočtové riadenie bolo kategorizované ako stredné pre spoločný podnik z dôvodu nových rizík ďalšieho oneskorenia a zvýšenia nákladov na projekt ITER, ktoré súvisia s plánovaným novým základným scenárom, problémami s dodávkami spôsobenými sankciami voči Rusku a oneskoreniami francúzskeho úradu pre jadrovú bezpečnosť</w:t>
      </w:r>
      <w:r w:rsidRPr="0078681D">
        <w:rPr>
          <w:rStyle w:val="FootnoteReference"/>
        </w:rPr>
        <w:footnoteReference w:id="19"/>
      </w:r>
      <w:r w:rsidRPr="0078681D">
        <w:t xml:space="preserve"> pri schvaľovaní konštrukčných zmien, ku ktorým došlo počas montážneho procesu;</w:t>
      </w:r>
    </w:p>
    <w:p w:rsidR="00E42B91" w:rsidRPr="0078681D" w:rsidRDefault="00E42B91" w:rsidP="00E42B91">
      <w:pPr>
        <w:spacing w:after="240"/>
      </w:pPr>
      <w:r w:rsidRPr="0078681D">
        <w:rPr>
          <w:b/>
          <w:i/>
        </w:rPr>
        <w:t>Rozpočtové a finančné riadenie</w:t>
      </w:r>
    </w:p>
    <w:p w:rsidR="00E42B91" w:rsidRPr="0078681D" w:rsidRDefault="00E42B91" w:rsidP="00E42B91">
      <w:pPr>
        <w:pStyle w:val="NormalHanging12a"/>
      </w:pPr>
      <w:r w:rsidRPr="0078681D">
        <w:t>8.</w:t>
      </w:r>
      <w:r w:rsidRPr="0078681D">
        <w:tab/>
        <w:t>víta skutočnosť, že rozpočet Únie na obdobie 2014 – 2020 bol riadne plnený v záväzkoch na konci roku 2020; okrem toho konštatuje, že platobný plán týkajúci sa zostávajúcich záväzkov je zosúladený s plánom dodania: 232,2 milióna EUR za rok 2022 a 150 miliónov EUR za rok 2023 a ďalšie ostávajúce platby sa prejavia v budúcich rokoch</w:t>
      </w:r>
      <w:r w:rsidRPr="0078681D">
        <w:rPr>
          <w:vertAlign w:val="superscript"/>
        </w:rPr>
        <w:footnoteReference w:id="20"/>
      </w:r>
      <w:r w:rsidRPr="0078681D">
        <w:t>;</w:t>
      </w:r>
    </w:p>
    <w:p w:rsidR="00E42B91" w:rsidRPr="0078681D" w:rsidRDefault="00E42B91" w:rsidP="00E42B91">
      <w:pPr>
        <w:spacing w:after="240"/>
        <w:ind w:left="570" w:hanging="570"/>
      </w:pPr>
      <w:r w:rsidRPr="0078681D">
        <w:t>9.</w:t>
      </w:r>
      <w:r w:rsidRPr="0078681D">
        <w:tab/>
        <w:t xml:space="preserve">berie na vedomie, že na obdobie viacročného finančného rámca 2021 – 2027 Európska rada schválila rozpočet pre príspevok </w:t>
      </w:r>
      <w:proofErr w:type="spellStart"/>
      <w:r w:rsidRPr="0078681D">
        <w:t>Euratomu</w:t>
      </w:r>
      <w:proofErr w:type="spellEnd"/>
      <w:r w:rsidRPr="0078681D">
        <w:t xml:space="preserve"> na projekt ITER v celkovej hodnote 5 614 miliónov EUR (v aktuálnych hodnotách), z čoho 5 560 miliónov EUR (v aktuálnych hodnotách) predstavuje priamy príspevok na projekt; okrem toho berie na vedomie, že hostiteľský štát projektu ITER a členské príspevky budú pridané k tomuto číslu podľa konečného rozhodnutia vydaného príslušnými rozpočtovými orgánmi;</w:t>
      </w:r>
    </w:p>
    <w:p w:rsidR="00E42B91" w:rsidRPr="0078681D" w:rsidRDefault="00E42B91" w:rsidP="00E42B91">
      <w:pPr>
        <w:spacing w:after="240"/>
        <w:ind w:left="570" w:hanging="570"/>
      </w:pPr>
      <w:r w:rsidRPr="0078681D">
        <w:t>10.</w:t>
      </w:r>
      <w:r w:rsidRPr="0078681D">
        <w:tab/>
        <w:t>konštatuje, že riadiaca rada spoločného podniku pôvodne prijala rozpočet spoločného podniku na rok 2022 vo výške 854,49 milióna EUR vo viazaných rozpočtových prostriedkoch a 845,45 milióna EUR v platobných rozpočtových prostriedkoch a že bol upravený v dvoch pozmeňujúcich návrhoch počas zasadnutí riadiacej rady v júli a decembri 2022;</w:t>
      </w:r>
    </w:p>
    <w:p w:rsidR="00E42B91" w:rsidRPr="0078681D" w:rsidRDefault="00E42B91" w:rsidP="00E42B91">
      <w:pPr>
        <w:spacing w:after="240"/>
        <w:ind w:left="570" w:hanging="570"/>
      </w:pPr>
      <w:r w:rsidRPr="0078681D">
        <w:t>11.</w:t>
      </w:r>
      <w:r w:rsidRPr="0078681D">
        <w:tab/>
        <w:t>konštatuje, že konečné dostupné rozpočtové prostriedky vrátane prenesených prostriedkov z predchádzajúceho roka predstavujú 981,18 milióna EUR vo viazaných rozpočtových prostriedkoch (v porovnaní s 1 069,9 mil</w:t>
      </w:r>
      <w:r w:rsidR="00C66362" w:rsidRPr="0078681D">
        <w:t>ióna</w:t>
      </w:r>
      <w:r w:rsidRPr="0078681D">
        <w:t xml:space="preserve"> EUR v roku 2021) a 844,02 milióna EUR v platobných rozpočtových prostriedkoch (v porovnaní s 764,8 mil</w:t>
      </w:r>
      <w:r w:rsidR="00C66362" w:rsidRPr="0078681D">
        <w:t>ióna</w:t>
      </w:r>
      <w:r w:rsidRPr="0078681D">
        <w:t xml:space="preserve"> EUR v roku 2021);</w:t>
      </w:r>
    </w:p>
    <w:p w:rsidR="00E42B91" w:rsidRPr="0078681D" w:rsidRDefault="00E42B91" w:rsidP="00E42B91">
      <w:pPr>
        <w:pStyle w:val="NormalHanging12a"/>
      </w:pPr>
      <w:r w:rsidRPr="0078681D">
        <w:t>12.</w:t>
      </w:r>
      <w:r w:rsidRPr="0078681D">
        <w:tab/>
        <w:t>konštatuje, že miera plnenia konečného dostupného rozpočtu spoločného podniku bola na úrovni 72 % v záväzkoch a 91 % v platbách (v porovnaní s 99,7 % a 97,4 % v roku 2021); konštatuje, že nízka miera plnenia bola dôsledkom spomalenia operačných činností na úrovni organizácie ITER-IO aj spoločného podniku, najmä v dôsledku pandémie ochorenia COVID-19, útočnej vojny Ruska proti Ukrajine a nedávnych problémov s technickou koncepciou súvisiacich so súčasnou montážnou fázou projektu ITER;</w:t>
      </w:r>
    </w:p>
    <w:p w:rsidR="00E42B91" w:rsidRPr="0078681D" w:rsidRDefault="00E42B91" w:rsidP="00E42B91">
      <w:pPr>
        <w:spacing w:after="240"/>
        <w:ind w:left="570" w:hanging="570"/>
      </w:pPr>
      <w:r w:rsidRPr="0078681D">
        <w:t>13.</w:t>
      </w:r>
      <w:r w:rsidRPr="0078681D">
        <w:tab/>
        <w:t>okrem toho, konštatuje, že spoločný podnik však opravným rozpočtom znížil rozpočet prevádzkových platieb o 92 miliónov EUR a navyše previedol 9,5 milióna EUR zo svojho prevádzkového rozpočtu na platby do administratívneho rozpočtu (platy) na financovanie záväzkov dôchodkového fondu voči Komisii;</w:t>
      </w:r>
    </w:p>
    <w:p w:rsidR="00E42B91" w:rsidRPr="0078681D" w:rsidRDefault="00E42B91" w:rsidP="00E42B91">
      <w:pPr>
        <w:spacing w:after="240"/>
        <w:ind w:left="570" w:hanging="570"/>
      </w:pPr>
      <w:r w:rsidRPr="0078681D">
        <w:t>14.</w:t>
      </w:r>
      <w:r w:rsidRPr="0078681D">
        <w:tab/>
        <w:t>zdôrazňuje, že Dvor audítorov zvážil existenciu nedostatkov v plnení administratívneho rozpočtu spoločného podniku vzhľadom na skutočnosť, že tento rozpočet je nastavený ako nediferencované rozpočtové prostriedky; zdôrazňuje, že v dôsledku toho sa administratívne záväzky založené na administratívnych zmluvách a záväzkoch, v súvislosti s ktorými sa na konci roka nevykonali platby, môžu preniesť na platbu do nasledujúceho roka;</w:t>
      </w:r>
    </w:p>
    <w:p w:rsidR="00E42B91" w:rsidRPr="0078681D" w:rsidRDefault="00E42B91" w:rsidP="00E42B91">
      <w:pPr>
        <w:spacing w:after="240"/>
        <w:ind w:left="570" w:hanging="570"/>
      </w:pPr>
      <w:r w:rsidRPr="0078681D">
        <w:t>15.</w:t>
      </w:r>
      <w:r w:rsidRPr="0078681D">
        <w:tab/>
        <w:t>so znepokojením konštatuje, že na konci roka 2022 v prípade hlavy 2 – Výdavky na infraštruktúru a prevádzkové výdavky bola miera plnenia na úrovni 63 %, pričom sa zohľadňuje len nový rozpočet administratívnych platieb za rok 2022 a na úrovni 69 % pričom sa takisto zohľadňuje nepoužitý rozpočet administratívnych platieb za predchádzajúce roky opätovne zavedený v roku 2022 na plnenie, a miera zrušenia záväzkov vykonaných v predchádzajúcom roku bola vysoká v priemere 20 %;</w:t>
      </w:r>
    </w:p>
    <w:p w:rsidR="00E42B91" w:rsidRPr="0078681D" w:rsidRDefault="00E42B91" w:rsidP="00E42B91">
      <w:pPr>
        <w:spacing w:after="240"/>
      </w:pPr>
      <w:r w:rsidRPr="0078681D">
        <w:rPr>
          <w:b/>
          <w:i/>
        </w:rPr>
        <w:t>Zamestnanci a prijímanie zamestnancov</w:t>
      </w:r>
    </w:p>
    <w:p w:rsidR="00E42B91" w:rsidRPr="0078681D" w:rsidRDefault="00E42B91" w:rsidP="00E42B91">
      <w:pPr>
        <w:spacing w:after="240"/>
        <w:ind w:left="570" w:hanging="570"/>
      </w:pPr>
      <w:r w:rsidRPr="0078681D">
        <w:t>16.</w:t>
      </w:r>
      <w:r w:rsidRPr="0078681D">
        <w:tab/>
        <w:t>konštatuje, že od 31. decembra 2022 obsadené pracovné miesta v spoločnom podniku patrili 46 úradníkom, 224 dočasným zamestnancom a 164 zmluvným zamestnancom; okrem toho, konštatuje, že spoločný podnik sa spoliehal na podporu 12,5 dočasného agentúrneho zamestnanca (v ekvivalente plného pracovného času) a na troch vyslaných národných expertov;</w:t>
      </w:r>
    </w:p>
    <w:p w:rsidR="00E42B91" w:rsidRPr="0078681D" w:rsidRDefault="00E42B91" w:rsidP="00E42B91">
      <w:pPr>
        <w:spacing w:after="240"/>
        <w:ind w:left="570" w:hanging="570"/>
      </w:pPr>
      <w:r w:rsidRPr="0078681D">
        <w:t>17.</w:t>
      </w:r>
      <w:r w:rsidRPr="0078681D">
        <w:tab/>
        <w:t>okrem toho, konštatuje, že 11 nových zamestnancov (šesť dočasných zamestnancov a štyria zmluvní zamestnanci a jeden vyslaný národný expert) nastúpilo do pracovného pomeru v roku 2022 a že štyria zamestnanci (všetci zmluvní zamestnanci) sa stali dočasnými zamestnancami na základe výberového konania;</w:t>
      </w:r>
    </w:p>
    <w:p w:rsidR="00E42B91" w:rsidRPr="0078681D" w:rsidRDefault="00E42B91" w:rsidP="00E42B91">
      <w:pPr>
        <w:pStyle w:val="NormalHanging12a"/>
      </w:pPr>
      <w:r w:rsidRPr="0078681D">
        <w:t>18.</w:t>
      </w:r>
      <w:r w:rsidRPr="0078681D">
        <w:tab/>
        <w:t>konštatuje, že spoločný podnik mierne zlepšil rodovú nerovnováhu; na základe konsolidovanej výročnej správy o činnosti konštatuje, že pokiaľ ide o rodovú rovnováhu, približne 38 % pracovnej sily spoločného podnik tvorili ženy a 62 % muži; navrhuje, aby spoločný podnik pokračoval v zlepšovaní rodovej nerovnováhy a aby sa v tejto súvislosti snažil o vyváženú geografickú rovnováhu;</w:t>
      </w:r>
    </w:p>
    <w:p w:rsidR="00E42B91" w:rsidRPr="0078681D" w:rsidRDefault="00E42B91" w:rsidP="00E42B91">
      <w:pPr>
        <w:spacing w:after="240"/>
        <w:ind w:left="570" w:hanging="570"/>
      </w:pPr>
      <w:r w:rsidRPr="0078681D">
        <w:t>19.</w:t>
      </w:r>
      <w:r w:rsidRPr="0078681D">
        <w:tab/>
        <w:t>zdôrazňuje, že Dvor audítorov zvážil, že situácia vo vyššom manažmente spoločného podniku ostáva nestabilná a vo významnom stave prechodu na konci roka 2022, keď v júni 2022 odišiel riaditeľ a v septembri 2022 bol vedúci oddelenia širšieho prístupu vymenovaný za generálneho riaditeľa organizácie ITER-IO, čo vyústilo do personálnych zmien v prípade štyroch zo siedmich pozícii vo vyššom manažmente spoločného podniku;</w:t>
      </w:r>
    </w:p>
    <w:p w:rsidR="00E42B91" w:rsidRPr="0078681D" w:rsidRDefault="00E42B91" w:rsidP="00E42B91">
      <w:pPr>
        <w:spacing w:after="240"/>
        <w:ind w:left="570" w:hanging="570"/>
      </w:pPr>
      <w:r w:rsidRPr="0078681D">
        <w:t>20.</w:t>
      </w:r>
      <w:r w:rsidRPr="0078681D">
        <w:tab/>
        <w:t>súhlasí s obavami Dvora audítorov, že situácia predstavuje riziko z hľadiska správneho riadenia a kontinuity spoločného podniku v čase, keď budú skúsení vrcholoví riadiaci pracovníci povinní vykonávať nové základné línie projektu ITER, čo má významný vplyv na činnosti spoločného podniku;</w:t>
      </w:r>
    </w:p>
    <w:p w:rsidR="00E42B91" w:rsidRPr="0078681D" w:rsidRDefault="00E42B91" w:rsidP="00E42B91">
      <w:pPr>
        <w:spacing w:after="240"/>
        <w:ind w:left="570" w:hanging="570"/>
      </w:pPr>
      <w:r w:rsidRPr="0078681D">
        <w:t>21.</w:t>
      </w:r>
      <w:r w:rsidRPr="0078681D">
        <w:tab/>
        <w:t>so znepokojením berie na vedomie list</w:t>
      </w:r>
      <w:r w:rsidRPr="0078681D">
        <w:rPr>
          <w:rStyle w:val="FootnoteReference"/>
        </w:rPr>
        <w:footnoteReference w:id="21"/>
      </w:r>
      <w:r w:rsidRPr="0078681D">
        <w:t>, ktorý adresovali odborové zväzy na začiatku roka 2022 Komisii, v ktorom opisujú problémy súvisiace s riadením a ľudskými zdrojmi a v ktorom upozorňujú Komisiu na riziká týkajúce sa situácie v súvislosti so správnym fungovaním spoločného podniku, dobrými podmienkami pre zamestnancov a povesťou Únie v rámci projektu ITER;</w:t>
      </w:r>
    </w:p>
    <w:p w:rsidR="00E42B91" w:rsidRPr="0078681D" w:rsidRDefault="00E42B91" w:rsidP="00E42B91">
      <w:pPr>
        <w:spacing w:after="240"/>
        <w:rPr>
          <w:b/>
          <w:i/>
        </w:rPr>
      </w:pPr>
      <w:r w:rsidRPr="0078681D">
        <w:rPr>
          <w:b/>
          <w:i/>
        </w:rPr>
        <w:t>Predchádzanie podvodom a konfliktom záujmov</w:t>
      </w:r>
    </w:p>
    <w:p w:rsidR="00E42B91" w:rsidRPr="0078681D" w:rsidRDefault="00E42B91" w:rsidP="00E42B91">
      <w:pPr>
        <w:spacing w:after="240"/>
        <w:ind w:left="570" w:hanging="570"/>
      </w:pPr>
      <w:r w:rsidRPr="0078681D">
        <w:t>22.</w:t>
      </w:r>
      <w:r w:rsidRPr="0078681D">
        <w:tab/>
        <w:t>všíma si, na základe konsolidovanej výročnej správy o činnosti za rok 2022, že vykonávanie činností v akčnom pláne na boj proti podvodom sa systematicky riadilo podľa príslušnej databázy (RAPID), čím sa zaznamenáva ďalší pokrok, pokiaľ ide o vykonávanie činnosti na boj proti podvodom v roku 2022;</w:t>
      </w:r>
    </w:p>
    <w:p w:rsidR="00E42B91" w:rsidRPr="0078681D" w:rsidRDefault="00E42B91" w:rsidP="00E42B91">
      <w:pPr>
        <w:spacing w:after="240"/>
        <w:ind w:left="570" w:hanging="570"/>
      </w:pPr>
      <w:r w:rsidRPr="0078681D">
        <w:t>23.</w:t>
      </w:r>
      <w:r w:rsidRPr="0078681D">
        <w:tab/>
        <w:t>s potešením konštatuje, že počas celého roka úradník pre boj proti podvodom a etiku poskytoval informácie a pomoc v oblasti záležitostí týkajúcich sa predchádzaniu podvodom zamestnancom zapojeným do verejného obstarávania, riadenia zmlúv a riadenia ľudských zdrojov a že boli organizované podujatia zamerané na zvyšovanie povedomia o boji proti podvodom pre zamestnancov a riadiacich pracovníkov spoločného podniku vrátane odborných školení; všíma si, že stav vykonávania projektu bol oznámený počas stretnutí výboru pre kontrolu a okrem toho interná sieť korešpondentov spoločného podniku pre otázky podvodov bola neustále informovaná individuálne a v rámci pravidelných stretnutí siete pre uisťovanie;</w:t>
      </w:r>
    </w:p>
    <w:p w:rsidR="00E42B91" w:rsidRPr="0078681D" w:rsidRDefault="00E42B91" w:rsidP="00E42B91">
      <w:pPr>
        <w:spacing w:after="240"/>
        <w:ind w:left="570" w:hanging="570"/>
      </w:pPr>
      <w:r w:rsidRPr="0078681D">
        <w:t>24.</w:t>
      </w:r>
      <w:r w:rsidRPr="0078681D">
        <w:tab/>
        <w:t>s uznaním konštatuje, že pravidlá, postupy, procesy a najlepšie postupy týkajúce sa riadenia etiky a konfliktu záujmov a ich predchádzania boli oznámené zamestnancom predovšetkým prostredníctvom príručky spoločného podniku na intranete spoločného podniku;</w:t>
      </w:r>
    </w:p>
    <w:p w:rsidR="00E42B91" w:rsidRPr="0078681D" w:rsidRDefault="00E42B91" w:rsidP="00E42B91">
      <w:pPr>
        <w:spacing w:after="240"/>
        <w:ind w:left="570" w:hanging="570"/>
      </w:pPr>
      <w:r w:rsidRPr="0078681D">
        <w:t>25.</w:t>
      </w:r>
      <w:r w:rsidRPr="0078681D">
        <w:tab/>
        <w:t xml:space="preserve">víta, že od roku 2022 sú všetci zamestnanci spoločného podniku povinní vydávať každý rok všeobecné vyhlásenie o záujmoch; vydávanie a posúdenie vyhlásení sa teraz riadi cez novovytvorený digitálny register konfliktu záujmov spoločného podniku, čím sa zlepšujú následné opatrenia a </w:t>
      </w:r>
      <w:proofErr w:type="spellStart"/>
      <w:r w:rsidRPr="0078681D">
        <w:t>vysledovateľnosť</w:t>
      </w:r>
      <w:proofErr w:type="spellEnd"/>
      <w:r w:rsidRPr="0078681D">
        <w:t>, a tým prevencia a riadenie konfliktov záujmov v spoločnom podniku;</w:t>
      </w:r>
    </w:p>
    <w:p w:rsidR="00E42B91" w:rsidRPr="0078681D" w:rsidRDefault="00E42B91" w:rsidP="00E42B91">
      <w:pPr>
        <w:spacing w:after="240"/>
      </w:pPr>
      <w:r w:rsidRPr="0078681D">
        <w:rPr>
          <w:b/>
          <w:i/>
        </w:rPr>
        <w:t>Systémy riadenia a kontroly</w:t>
      </w:r>
    </w:p>
    <w:p w:rsidR="00E42B91" w:rsidRPr="0078681D" w:rsidRDefault="00E42B91" w:rsidP="00E42B91">
      <w:pPr>
        <w:spacing w:after="240"/>
        <w:ind w:left="570" w:hanging="570"/>
      </w:pPr>
      <w:r w:rsidRPr="0078681D">
        <w:t>26.</w:t>
      </w:r>
      <w:r w:rsidRPr="0078681D">
        <w:tab/>
        <w:t>so znepokojením konštatuje, že Dvor audítorov sa domnieva, že riadenie zmlúv spoločného podniku má nedostatky, ktoré vážne ovplyvnili dosiahnutie cieľov zmluvy, a ak sa nevyriešia, môžu takisto ovplyvniť ďalšie prevádzkové činnosti spoločného podniku, pričom sa zvažuje, že môžu byť potrebné významné pozmeňujúce návrhy týkajúce sa aktuálnych komplexných zmlúv, ktoré budú vyplývať z aktualizovaného základného scenára pre projekt ITER;</w:t>
      </w:r>
    </w:p>
    <w:p w:rsidR="00E42B91" w:rsidRPr="0078681D" w:rsidRDefault="00E42B91" w:rsidP="00E42B91">
      <w:pPr>
        <w:spacing w:after="240"/>
        <w:ind w:left="570" w:hanging="570"/>
      </w:pPr>
      <w:r w:rsidRPr="0078681D">
        <w:t>27.</w:t>
      </w:r>
      <w:r w:rsidRPr="0078681D">
        <w:tab/>
        <w:t>berie na vedomie najmä zmluvu uzavretú v roku 2013 vo výške 500 miliónov EUR na projektovanie, zariadenie a inštaláciu budov ITER pre jadrové a nejadrové zariadenia; v decembri 2020 a organizácia ITER z dôvodu obáv a nespokojnosti s pokrokom a efektívnosťou dodávateľa v súvislosti so zostávajúcimi prácami na budovách pre nejadrové zariadenia a s pomocou externých právnych odborníkov posúdili možné dôsledky alternatívnych stratégií verejného obstarávania, ako napríklad opätovné verejné obstarávanie alebo prevod zostávajúcich prác na iných dodávateľov; konštatuje, že vo februári 2021 predložil dodávateľ žiadosť o úhradu nákladov v celkovej výške 150 miliónov EUR na služby jadrového projektu a zariadenie a v septembri 2021 ďalšiu žiadosť o úhradu nákladov vo výške 30 miliónov EUR na zostávajúce práce na budovách pre nejadrové zariadenia; na základe analýzy rizík a spätnej väzby právnych expertov sa riaditeľ spoločného podniku s dodávateľom dohodol na vyrovnaní len prvej žiadosti o úhradu nákladov vo výške 75 miliónov EUR a dodávateľ otvoril spor týkajúci sa nevyrovnanej druhej žiadosti o úhradu nákladov;</w:t>
      </w:r>
    </w:p>
    <w:p w:rsidR="00E42B91" w:rsidRPr="0078681D" w:rsidRDefault="00E42B91" w:rsidP="00E42B91">
      <w:pPr>
        <w:spacing w:after="240"/>
        <w:ind w:left="570" w:hanging="570"/>
      </w:pPr>
      <w:r w:rsidRPr="0078681D">
        <w:t>28.</w:t>
      </w:r>
      <w:r w:rsidRPr="0078681D">
        <w:tab/>
        <w:t>poukazuje na to, že podľa Dvora audítorov sa v analýze dokumentácie súvisiacej s vykonávaním zmluvy odhalili nedostatky v riadení tejto zmluvy zo strany spoločného podniku, a najmä Dvor audítorov zdôraznil, že spoločný podnik nedokáže oznámiť závažné nesúlady s programom zhotoviteľa, čo vedie k rôznym výkladom a nesúhlasu medzi stranami, pokiaľ ide o rozsah práce, časové rámce a požiadavky vyplývajúce z projektu; právni experti okrem toho dospeli k záveru, že vzhľadom na spôsob, akým boli formulované príslušné ustanovenia, spoločný podnik nemohol zákazku ukončiť a vykonať práce, ktoré sú vyňaté z rozsahu pôsobnosti, sám alebo zabezpečiť, aby ju vykonávali iní dodávatelia; vyjadruje poľutovanie, že vzhľadom na neexistenciu záznamov o projekte spoločný podnik nemôže jasne stanoviť povinnosti zhotoviteľa;</w:t>
      </w:r>
    </w:p>
    <w:p w:rsidR="00E42B91" w:rsidRPr="0078681D" w:rsidRDefault="00E42B91" w:rsidP="00E42B91">
      <w:pPr>
        <w:spacing w:after="240"/>
        <w:ind w:left="570" w:hanging="570"/>
      </w:pPr>
      <w:r w:rsidRPr="0078681D">
        <w:t>29.</w:t>
      </w:r>
      <w:r w:rsidRPr="0078681D">
        <w:tab/>
        <w:t>všíma si, že v konsolidovanej výročnej správe o činnosti za rok 2022 sa uvádza, že spoločný podnik naďalej vykonáva uznaný, uvážený a dobre fungujúci systém vnútornej kontroly; všíma si však, že spoločný podnik uznáva, že zmeny vo vrcholovom manažmente (riaditeľ a vyšší manažéri), ktoré sa uskutočňujú od polovice roka 2022, majú priamy vplyv na vykonávanie niektorých činností, ako aj na organizačnú kultúru spoločného podniku a že hmatateľnosť riadneho vykonávania iniciatív si môže vyžadovať určitý čas;</w:t>
      </w:r>
    </w:p>
    <w:p w:rsidR="00E42B91" w:rsidRPr="0078681D" w:rsidRDefault="00E42B91" w:rsidP="00E42B91">
      <w:pPr>
        <w:spacing w:after="240"/>
        <w:ind w:left="570" w:hanging="570"/>
      </w:pPr>
      <w:r w:rsidRPr="0078681D">
        <w:t>30.</w:t>
      </w:r>
      <w:r w:rsidRPr="0078681D">
        <w:tab/>
        <w:t>uznáva, že pri uplatňovaní zásady obozretnosti boli zo strany spoločného podniku klasifikované ako významné dva nedostatky vo vzťahu k poskytovateľom externých služieb (ľudské zdroje, právomoci a kontinuita) a pracovné zaťaženie a dobré podmienky pre zamestnancov;</w:t>
      </w:r>
    </w:p>
    <w:p w:rsidR="00E42B91" w:rsidRPr="0078681D" w:rsidRDefault="00E42B91" w:rsidP="00E42B91">
      <w:pPr>
        <w:spacing w:after="240"/>
        <w:ind w:left="570" w:hanging="570"/>
      </w:pPr>
      <w:r w:rsidRPr="0078681D">
        <w:t>31.</w:t>
      </w:r>
      <w:r w:rsidRPr="0078681D">
        <w:tab/>
        <w:t>okrem toho si všíma, že vyšší manažment spoločného podniku nepretržite monitoruje činnosti, ktoré sa začali v oblastiach identifikovaných ako oblasti s hlavnými nedostatkami, a domnieva sa, že spoločný podnik značne zmiernil súvisiace riziká a vypracoval konkrétne akčné plány s cieľom riešiť pretrvávajúce obavy, čím sa odôvodňuje odstránenie rezervy z roku 2021 v roku 2022;</w:t>
      </w:r>
    </w:p>
    <w:p w:rsidR="00E42B91" w:rsidRPr="0078681D" w:rsidRDefault="00E42B91" w:rsidP="00E42B91">
      <w:pPr>
        <w:spacing w:after="240"/>
      </w:pPr>
      <w:r w:rsidRPr="0078681D">
        <w:rPr>
          <w:b/>
          <w:i/>
        </w:rPr>
        <w:t>Kontrola prijatia opatrení na základe pripomienok z predchádzajúcich rokov</w:t>
      </w:r>
    </w:p>
    <w:p w:rsidR="00E42B91" w:rsidRPr="0078681D" w:rsidRDefault="00E42B91" w:rsidP="00E42B91">
      <w:pPr>
        <w:spacing w:after="240"/>
        <w:ind w:left="570" w:hanging="570"/>
      </w:pPr>
      <w:r w:rsidRPr="0078681D">
        <w:t>32.</w:t>
      </w:r>
      <w:r w:rsidRPr="0078681D">
        <w:tab/>
        <w:t xml:space="preserve">všíma si, že „pripomienky“ v špecifických ročných správach spoločných podnikov sú v skutočnosti „časovo neohraničené odporúčania“ zo strany Dvora audítorov; konštatuje, že Dvor audítorov každoročne tieto pripomienky kontroluje a posudzuje ich stav ako „otvorené“ alebo „uzavreté“; </w:t>
      </w:r>
    </w:p>
    <w:p w:rsidR="00E42B91" w:rsidRPr="0078681D" w:rsidRDefault="00E42B91" w:rsidP="00E42B91">
      <w:pPr>
        <w:spacing w:after="240"/>
        <w:ind w:left="570" w:hanging="570"/>
      </w:pPr>
      <w:r w:rsidRPr="0078681D">
        <w:t>33.</w:t>
      </w:r>
      <w:r w:rsidRPr="0078681D">
        <w:tab/>
        <w:t>všíma si, že z piatich pripomienok vydaných Dvorom audítorov v roku 2019 a v roku 2021 sú len dve pripomienky uzavreté;</w:t>
      </w:r>
    </w:p>
    <w:p w:rsidR="00E42B91" w:rsidRPr="0078681D" w:rsidRDefault="00E42B91" w:rsidP="00E42B91">
      <w:pPr>
        <w:spacing w:after="240"/>
        <w:ind w:left="570" w:hanging="570"/>
      </w:pPr>
      <w:r w:rsidRPr="0078681D">
        <w:t>34.</w:t>
      </w:r>
      <w:r w:rsidRPr="0078681D">
        <w:tab/>
        <w:t>všíma si, že otvorená pripomienka za rok 2019 sa týka nadmerného využívania zmluvných alebo interne zabezpečených zdrojov (približne 62 % v roku 2019), čo predstavuje významné riziká pre spoločný podnik, pokiaľ ide o zachovanie kľúčových kompetencií, nejasnú zodpovednosť, možné súdne spory a nižšiu efektívnosť personálu z dôvodu decentralizovaného riadenia;</w:t>
      </w:r>
    </w:p>
    <w:p w:rsidR="00E42B91" w:rsidRPr="0078681D" w:rsidRDefault="00E42B91" w:rsidP="00E42B91">
      <w:pPr>
        <w:spacing w:after="240"/>
        <w:ind w:left="570" w:hanging="570"/>
      </w:pPr>
      <w:r w:rsidRPr="0078681D">
        <w:t>35.</w:t>
      </w:r>
      <w:r w:rsidRPr="0078681D">
        <w:tab/>
        <w:t>všíma si, že v roku 2022 spoločný podnik vytvoril pracovnú skupinu s cieľom posúdiť vysokú mieru využívania vonkajších zdrojov na lepšie plánovanie a odôvodnenie ich potreby;</w:t>
      </w:r>
    </w:p>
    <w:p w:rsidR="00E42B91" w:rsidRPr="0078681D" w:rsidRDefault="00E42B91" w:rsidP="00E42B91">
      <w:pPr>
        <w:spacing w:after="240"/>
        <w:ind w:left="570" w:hanging="570"/>
      </w:pPr>
      <w:r w:rsidRPr="0078681D">
        <w:t>36.</w:t>
      </w:r>
      <w:r w:rsidRPr="0078681D">
        <w:tab/>
        <w:t>všíma si, že v prípade roku 2021 sa otvorené pripomienky týkajú i) chýbajúcich dôkazov o účinnosti a pozitívnom vplyve na systém pravidelných ročných posúdení externými odborníkmi a intenzívne interné audity, ktoré sa týkali väčšiny kritických oblastí činností spoločného podniku; čo malo za následok zvýšenie administratívnej záťaže a ii) zhoršenie pracovného prostredia v spoločnom podniku</w:t>
      </w:r>
      <w:r w:rsidRPr="0078681D">
        <w:rPr>
          <w:rStyle w:val="FootnoteReference"/>
        </w:rPr>
        <w:footnoteReference w:id="22"/>
      </w:r>
      <w:r w:rsidRPr="0078681D">
        <w:t xml:space="preserve"> a neúmerné využívanie externých pracovníkov, čím narástli výzvy a riziká v oblasti pracovného prostredia;</w:t>
      </w:r>
    </w:p>
    <w:p w:rsidR="00E42B91" w:rsidRPr="0078681D" w:rsidRDefault="00E42B91" w:rsidP="00E42B91">
      <w:pPr>
        <w:spacing w:after="240"/>
        <w:ind w:left="570" w:hanging="570"/>
      </w:pPr>
      <w:r w:rsidRPr="0078681D">
        <w:t>37.</w:t>
      </w:r>
      <w:r w:rsidRPr="0078681D">
        <w:tab/>
        <w:t>všíma si, že v roku 2022 po dvoch odporúčaniach z 10. správy o ročnom posúdení</w:t>
      </w:r>
      <w:r w:rsidRPr="0078681D">
        <w:rPr>
          <w:rStyle w:val="FootnoteReference"/>
        </w:rPr>
        <w:footnoteReference w:id="23"/>
      </w:r>
      <w:r w:rsidRPr="0078681D">
        <w:t xml:space="preserve"> týkajúcej sa riadenia ľudských zdrojov riadiaca rada schválila akčný plán na ich vykonávanie.</w:t>
      </w:r>
    </w:p>
    <w:sectPr w:rsidR="00E42B91" w:rsidRPr="0078681D" w:rsidSect="00DA35E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C55" w:rsidRPr="00DA35ED" w:rsidRDefault="00DF4C55">
      <w:r w:rsidRPr="00DA35ED">
        <w:separator/>
      </w:r>
    </w:p>
  </w:endnote>
  <w:endnote w:type="continuationSeparator" w:id="0">
    <w:p w:rsidR="00DF4C55" w:rsidRPr="00DA35ED" w:rsidRDefault="00DF4C55">
      <w:r w:rsidRPr="00DA35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B91" w:rsidRPr="00DA35ED" w:rsidRDefault="00E42B91" w:rsidP="00833EA4">
    <w:pPr>
      <w:pStyle w:val="EPFooter"/>
    </w:pPr>
    <w:r w:rsidRPr="00DA35ED">
      <w:t>PE</w:t>
    </w:r>
    <w:r w:rsidRPr="00DA35ED">
      <w:rPr>
        <w:rStyle w:val="HideTWBExt"/>
      </w:rPr>
      <w:t>&lt;NoPE&gt;</w:t>
    </w:r>
    <w:r w:rsidRPr="00DA35ED">
      <w:t>753.493</w:t>
    </w:r>
    <w:r w:rsidRPr="00DA35ED">
      <w:rPr>
        <w:rStyle w:val="HideTWBExt"/>
      </w:rPr>
      <w:t>&lt;/NoPE&gt;&lt;Version&gt;</w:t>
    </w:r>
    <w:r w:rsidRPr="00DA35ED">
      <w:t>v02-00</w:t>
    </w:r>
    <w:r w:rsidRPr="00DA35ED">
      <w:rPr>
        <w:rStyle w:val="HideTWBExt"/>
      </w:rPr>
      <w:t>&lt;/Version&gt;</w:t>
    </w:r>
    <w:r w:rsidRPr="00DA35ED">
      <w:tab/>
    </w:r>
    <w:r w:rsidRPr="00DA35ED">
      <w:fldChar w:fldCharType="begin"/>
    </w:r>
    <w:r w:rsidRPr="00DA35ED">
      <w:instrText xml:space="preserve"> PAGE  \* MERGEFORMAT </w:instrText>
    </w:r>
    <w:r w:rsidRPr="00DA35ED">
      <w:fldChar w:fldCharType="separate"/>
    </w:r>
    <w:r w:rsidR="00DA35ED" w:rsidRPr="00DA35ED">
      <w:rPr>
        <w:noProof/>
      </w:rPr>
      <w:t>2</w:t>
    </w:r>
    <w:r w:rsidRPr="00DA35ED">
      <w:fldChar w:fldCharType="end"/>
    </w:r>
    <w:r w:rsidRPr="00DA35ED">
      <w:t>/</w:t>
    </w:r>
    <w:fldSimple w:instr=" NUMPAGES  \* MERGEFORMAT ">
      <w:r w:rsidR="00DA35ED" w:rsidRPr="00DA35ED">
        <w:rPr>
          <w:noProof/>
        </w:rPr>
        <w:t>4</w:t>
      </w:r>
    </w:fldSimple>
    <w:r w:rsidRPr="00DA35ED">
      <w:tab/>
    </w:r>
    <w:r w:rsidRPr="00DA35ED">
      <w:rPr>
        <w:rStyle w:val="HideTWBExt"/>
      </w:rPr>
      <w:t>&lt;PathFdR&gt;</w:t>
    </w:r>
    <w:r w:rsidRPr="00DA35ED">
      <w:t>RR\1298723SK.docx</w:t>
    </w:r>
    <w:r w:rsidRPr="00DA35ED">
      <w:rPr>
        <w:rStyle w:val="HideTWBExt"/>
      </w:rPr>
      <w:t>&lt;/PathFdR&gt;</w:t>
    </w:r>
  </w:p>
  <w:p w:rsidR="00E42B91" w:rsidRPr="00DA35ED" w:rsidRDefault="00E42B91" w:rsidP="00833EA4">
    <w:pPr>
      <w:pStyle w:val="EPFooter2"/>
    </w:pPr>
    <w:r w:rsidRPr="00DA35ED">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B91" w:rsidRPr="00DA35ED" w:rsidRDefault="00E42B91" w:rsidP="00833EA4">
    <w:pPr>
      <w:pStyle w:val="EPFooter"/>
    </w:pPr>
    <w:r w:rsidRPr="00DA35ED">
      <w:rPr>
        <w:rStyle w:val="HideTWBExt"/>
      </w:rPr>
      <w:t>&lt;PathFdR&gt;</w:t>
    </w:r>
    <w:r w:rsidRPr="00DA35ED">
      <w:t>RR\1298723SK.docx</w:t>
    </w:r>
    <w:r w:rsidRPr="00DA35ED">
      <w:rPr>
        <w:rStyle w:val="HideTWBExt"/>
      </w:rPr>
      <w:t>&lt;/PathFdR&gt;</w:t>
    </w:r>
    <w:r w:rsidRPr="00DA35ED">
      <w:tab/>
    </w:r>
    <w:r w:rsidRPr="00DA35ED">
      <w:tab/>
      <w:t>PE</w:t>
    </w:r>
    <w:r w:rsidRPr="00DA35ED">
      <w:rPr>
        <w:rStyle w:val="HideTWBExt"/>
      </w:rPr>
      <w:t>&lt;NoPE&gt;</w:t>
    </w:r>
    <w:r w:rsidRPr="00DA35ED">
      <w:t>753.493</w:t>
    </w:r>
    <w:r w:rsidRPr="00DA35ED">
      <w:rPr>
        <w:rStyle w:val="HideTWBExt"/>
      </w:rPr>
      <w:t>&lt;/NoPE&gt;&lt;Version&gt;</w:t>
    </w:r>
    <w:r w:rsidRPr="00DA35ED">
      <w:t>v02-00</w:t>
    </w:r>
    <w:r w:rsidRPr="00DA35ED">
      <w:rPr>
        <w:rStyle w:val="HideTWBExt"/>
      </w:rPr>
      <w:t>&lt;/Version&gt;</w:t>
    </w:r>
  </w:p>
  <w:p w:rsidR="00E42B91" w:rsidRPr="00DA35ED" w:rsidRDefault="00E42B91" w:rsidP="00833EA4">
    <w:pPr>
      <w:pStyle w:val="EPFooter2"/>
    </w:pPr>
    <w:r w:rsidRPr="00DA35ED">
      <w:t>SK</w:t>
    </w:r>
    <w:r w:rsidRPr="00DA35ED">
      <w:tab/>
    </w:r>
    <w:r w:rsidRPr="00DA35ED">
      <w:rPr>
        <w:b w:val="0"/>
        <w:i/>
        <w:color w:val="C0C0C0"/>
        <w:sz w:val="22"/>
      </w:rPr>
      <w:t>Zjednotení v rozmanitosti</w:t>
    </w:r>
    <w:r w:rsidRPr="00DA35ED">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35E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35E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35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C55" w:rsidRPr="00DA35ED" w:rsidRDefault="00DF4C55">
      <w:r w:rsidRPr="00DA35ED">
        <w:separator/>
      </w:r>
    </w:p>
  </w:footnote>
  <w:footnote w:type="continuationSeparator" w:id="0">
    <w:p w:rsidR="00DF4C55" w:rsidRPr="00DA35ED" w:rsidRDefault="00DF4C55">
      <w:r w:rsidRPr="00DA35ED">
        <w:continuationSeparator/>
      </w:r>
    </w:p>
  </w:footnote>
  <w:footnote w:id="1">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Ú. v. EÚ C, C/2023/1025, 16.11.2023.</w:t>
      </w:r>
    </w:p>
  </w:footnote>
  <w:footnote w:id="2">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Ú. v. EÚ C, C/2023/112, 12.10.2023.</w:t>
      </w:r>
    </w:p>
  </w:footnote>
  <w:footnote w:id="3">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Ú. v. EÚ L 193, 30.7.2018, s. 1.</w:t>
      </w:r>
    </w:p>
  </w:footnote>
  <w:footnote w:id="4">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Ú. v. EÚ L 90, 30.3.2007, s. 58.</w:t>
      </w:r>
    </w:p>
  </w:footnote>
  <w:footnote w:id="5">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Ú. v. EÚ L 122, 10.5.2019, s. 1.</w:t>
      </w:r>
    </w:p>
  </w:footnote>
  <w:footnote w:id="6">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Ú. v. EÚ C, C/2023/1025, 16.11.2023.</w:t>
      </w:r>
    </w:p>
  </w:footnote>
  <w:footnote w:id="7">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Ú. v. EÚ C, C/2023/112, 12.10.2023.</w:t>
      </w:r>
    </w:p>
  </w:footnote>
  <w:footnote w:id="8">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Ú. v. EÚ L 193, 30.7.2018, s. 1.</w:t>
      </w:r>
    </w:p>
  </w:footnote>
  <w:footnote w:id="9">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Ú. v. EÚ L 90, 30.3.2007, s. 58.</w:t>
      </w:r>
    </w:p>
  </w:footnote>
  <w:footnote w:id="10">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Ú. v. EÚ L 122, 10.5.2019, s. 1.</w:t>
      </w:r>
    </w:p>
  </w:footnote>
  <w:footnote w:id="11">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Ú. v. EÚ L 90, 30.3.2007, s. 58.</w:t>
      </w:r>
    </w:p>
  </w:footnote>
  <w:footnote w:id="12">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 xml:space="preserve">Členmi </w:t>
      </w:r>
      <w:proofErr w:type="spellStart"/>
      <w:r w:rsidRPr="00DA35ED">
        <w:rPr>
          <w:sz w:val="24"/>
          <w:lang w:val="sk-SK"/>
        </w:rPr>
        <w:t>Euratomu</w:t>
      </w:r>
      <w:proofErr w:type="spellEnd"/>
      <w:r w:rsidRPr="00DA35ED">
        <w:rPr>
          <w:sz w:val="24"/>
          <w:lang w:val="sk-SK"/>
        </w:rPr>
        <w:t xml:space="preserve"> sú členské štáty a do roku 2020 Švajčiarsko a Spojené kráľovstvo ako pridružené štáty.</w:t>
      </w:r>
    </w:p>
  </w:footnote>
  <w:footnote w:id="13">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 xml:space="preserve">Hlavné zariadenia jadrovej syntézy sa nachádzajú v </w:t>
      </w:r>
      <w:proofErr w:type="spellStart"/>
      <w:r w:rsidRPr="00DA35ED">
        <w:rPr>
          <w:sz w:val="24"/>
          <w:lang w:val="sk-SK"/>
        </w:rPr>
        <w:t>Cadarache</w:t>
      </w:r>
      <w:proofErr w:type="spellEnd"/>
      <w:r w:rsidRPr="00DA35ED">
        <w:rPr>
          <w:sz w:val="24"/>
          <w:lang w:val="sk-SK"/>
        </w:rPr>
        <w:t xml:space="preserve"> vo Francúzsku a sídlo spoločného podniku je v Barcelone.</w:t>
      </w:r>
    </w:p>
  </w:footnote>
  <w:footnote w:id="14">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 xml:space="preserve">Dokumenty ITER </w:t>
      </w:r>
      <w:proofErr w:type="spellStart"/>
      <w:r w:rsidRPr="00DA35ED">
        <w:rPr>
          <w:sz w:val="24"/>
          <w:lang w:val="sk-SK"/>
        </w:rPr>
        <w:t>Value</w:t>
      </w:r>
      <w:proofErr w:type="spellEnd"/>
      <w:r w:rsidRPr="00DA35ED">
        <w:rPr>
          <w:sz w:val="24"/>
          <w:lang w:val="sk-SK"/>
        </w:rPr>
        <w:t xml:space="preserve"> </w:t>
      </w:r>
      <w:proofErr w:type="spellStart"/>
      <w:r w:rsidRPr="00DA35ED">
        <w:rPr>
          <w:sz w:val="24"/>
          <w:lang w:val="sk-SK"/>
        </w:rPr>
        <w:t>estimates</w:t>
      </w:r>
      <w:proofErr w:type="spellEnd"/>
      <w:r w:rsidRPr="00DA35ED">
        <w:rPr>
          <w:sz w:val="24"/>
          <w:lang w:val="sk-SK"/>
        </w:rPr>
        <w:t xml:space="preserve"> </w:t>
      </w:r>
      <w:proofErr w:type="spellStart"/>
      <w:r w:rsidRPr="00DA35ED">
        <w:rPr>
          <w:sz w:val="24"/>
          <w:lang w:val="sk-SK"/>
        </w:rPr>
        <w:t>for</w:t>
      </w:r>
      <w:proofErr w:type="spellEnd"/>
      <w:r w:rsidRPr="00DA35ED">
        <w:rPr>
          <w:sz w:val="24"/>
          <w:lang w:val="sk-SK"/>
        </w:rPr>
        <w:t xml:space="preserve"> ITER </w:t>
      </w:r>
      <w:proofErr w:type="spellStart"/>
      <w:r w:rsidRPr="00DA35ED">
        <w:rPr>
          <w:sz w:val="24"/>
          <w:lang w:val="sk-SK"/>
        </w:rPr>
        <w:t>Phases</w:t>
      </w:r>
      <w:proofErr w:type="spellEnd"/>
      <w:r w:rsidRPr="00DA35ED">
        <w:rPr>
          <w:sz w:val="24"/>
          <w:lang w:val="sk-SK"/>
        </w:rPr>
        <w:t xml:space="preserve"> of </w:t>
      </w:r>
      <w:proofErr w:type="spellStart"/>
      <w:r w:rsidRPr="00DA35ED">
        <w:rPr>
          <w:sz w:val="24"/>
          <w:lang w:val="sk-SK"/>
        </w:rPr>
        <w:t>Construction</w:t>
      </w:r>
      <w:proofErr w:type="spellEnd"/>
      <w:r w:rsidRPr="00DA35ED">
        <w:rPr>
          <w:sz w:val="24"/>
          <w:lang w:val="sk-SK"/>
        </w:rPr>
        <w:t xml:space="preserve">, </w:t>
      </w:r>
      <w:proofErr w:type="spellStart"/>
      <w:r w:rsidRPr="00DA35ED">
        <w:rPr>
          <w:sz w:val="24"/>
          <w:lang w:val="sk-SK"/>
        </w:rPr>
        <w:t>Operation</w:t>
      </w:r>
      <w:proofErr w:type="spellEnd"/>
      <w:r w:rsidRPr="00DA35ED">
        <w:rPr>
          <w:sz w:val="24"/>
          <w:lang w:val="sk-SK"/>
        </w:rPr>
        <w:t xml:space="preserve">, </w:t>
      </w:r>
      <w:proofErr w:type="spellStart"/>
      <w:r w:rsidRPr="00DA35ED">
        <w:rPr>
          <w:sz w:val="24"/>
          <w:lang w:val="sk-SK"/>
        </w:rPr>
        <w:t>Deactivation</w:t>
      </w:r>
      <w:proofErr w:type="spellEnd"/>
      <w:r w:rsidRPr="00DA35ED">
        <w:rPr>
          <w:sz w:val="24"/>
          <w:lang w:val="sk-SK"/>
        </w:rPr>
        <w:t xml:space="preserve"> and </w:t>
      </w:r>
      <w:proofErr w:type="spellStart"/>
      <w:r w:rsidRPr="00DA35ED">
        <w:rPr>
          <w:sz w:val="24"/>
          <w:lang w:val="sk-SK"/>
        </w:rPr>
        <w:t>Decommissioning</w:t>
      </w:r>
      <w:proofErr w:type="spellEnd"/>
      <w:r w:rsidRPr="00DA35ED">
        <w:rPr>
          <w:sz w:val="24"/>
          <w:lang w:val="sk-SK"/>
        </w:rPr>
        <w:t xml:space="preserve"> and </w:t>
      </w:r>
      <w:proofErr w:type="spellStart"/>
      <w:r w:rsidRPr="00DA35ED">
        <w:rPr>
          <w:sz w:val="24"/>
          <w:lang w:val="sk-SK"/>
        </w:rPr>
        <w:t>Form</w:t>
      </w:r>
      <w:proofErr w:type="spellEnd"/>
      <w:r w:rsidRPr="00DA35ED">
        <w:rPr>
          <w:sz w:val="24"/>
          <w:lang w:val="sk-SK"/>
        </w:rPr>
        <w:t xml:space="preserve"> of Party </w:t>
      </w:r>
      <w:proofErr w:type="spellStart"/>
      <w:r w:rsidRPr="00DA35ED">
        <w:rPr>
          <w:sz w:val="24"/>
          <w:lang w:val="sk-SK"/>
        </w:rPr>
        <w:t>Contributions</w:t>
      </w:r>
      <w:proofErr w:type="spellEnd"/>
      <w:r w:rsidRPr="00DA35ED">
        <w:rPr>
          <w:sz w:val="24"/>
          <w:lang w:val="sk-SK"/>
        </w:rPr>
        <w:t xml:space="preserve"> (Predpokladané hodnoty pre fázy výstavby, prevádzky, </w:t>
      </w:r>
      <w:proofErr w:type="spellStart"/>
      <w:r w:rsidRPr="00DA35ED">
        <w:rPr>
          <w:sz w:val="24"/>
          <w:lang w:val="sk-SK"/>
        </w:rPr>
        <w:t>deaktivácie</w:t>
      </w:r>
      <w:proofErr w:type="spellEnd"/>
      <w:r w:rsidRPr="00DA35ED">
        <w:rPr>
          <w:sz w:val="24"/>
          <w:lang w:val="sk-SK"/>
        </w:rPr>
        <w:t xml:space="preserve"> a vyradenia z prevádzky projektu ITER a forma príspevkov strán) a </w:t>
      </w:r>
      <w:proofErr w:type="spellStart"/>
      <w:r w:rsidRPr="00DA35ED">
        <w:rPr>
          <w:sz w:val="24"/>
          <w:lang w:val="sk-SK"/>
        </w:rPr>
        <w:t>Cost</w:t>
      </w:r>
      <w:proofErr w:type="spellEnd"/>
      <w:r w:rsidRPr="00DA35ED">
        <w:rPr>
          <w:sz w:val="24"/>
          <w:lang w:val="sk-SK"/>
        </w:rPr>
        <w:t xml:space="preserve"> </w:t>
      </w:r>
      <w:proofErr w:type="spellStart"/>
      <w:r w:rsidRPr="00DA35ED">
        <w:rPr>
          <w:sz w:val="24"/>
          <w:lang w:val="sk-SK"/>
        </w:rPr>
        <w:t>Sharing</w:t>
      </w:r>
      <w:proofErr w:type="spellEnd"/>
      <w:r w:rsidRPr="00DA35ED">
        <w:rPr>
          <w:sz w:val="24"/>
          <w:lang w:val="sk-SK"/>
        </w:rPr>
        <w:t xml:space="preserve"> </w:t>
      </w:r>
      <w:proofErr w:type="spellStart"/>
      <w:r w:rsidRPr="00DA35ED">
        <w:rPr>
          <w:sz w:val="24"/>
          <w:lang w:val="sk-SK"/>
        </w:rPr>
        <w:t>for</w:t>
      </w:r>
      <w:proofErr w:type="spellEnd"/>
      <w:r w:rsidRPr="00DA35ED">
        <w:rPr>
          <w:sz w:val="24"/>
          <w:lang w:val="sk-SK"/>
        </w:rPr>
        <w:t xml:space="preserve"> </w:t>
      </w:r>
      <w:proofErr w:type="spellStart"/>
      <w:r w:rsidRPr="00DA35ED">
        <w:rPr>
          <w:sz w:val="24"/>
          <w:lang w:val="sk-SK"/>
        </w:rPr>
        <w:t>all</w:t>
      </w:r>
      <w:proofErr w:type="spellEnd"/>
      <w:r w:rsidRPr="00DA35ED">
        <w:rPr>
          <w:sz w:val="24"/>
          <w:lang w:val="sk-SK"/>
        </w:rPr>
        <w:t xml:space="preserve"> </w:t>
      </w:r>
      <w:proofErr w:type="spellStart"/>
      <w:r w:rsidRPr="00DA35ED">
        <w:rPr>
          <w:sz w:val="24"/>
          <w:lang w:val="sk-SK"/>
        </w:rPr>
        <w:t>Phases</w:t>
      </w:r>
      <w:proofErr w:type="spellEnd"/>
      <w:r w:rsidRPr="00DA35ED">
        <w:rPr>
          <w:sz w:val="24"/>
          <w:lang w:val="sk-SK"/>
        </w:rPr>
        <w:t xml:space="preserve"> of </w:t>
      </w:r>
      <w:proofErr w:type="spellStart"/>
      <w:r w:rsidRPr="00DA35ED">
        <w:rPr>
          <w:sz w:val="24"/>
          <w:lang w:val="sk-SK"/>
        </w:rPr>
        <w:t>the</w:t>
      </w:r>
      <w:proofErr w:type="spellEnd"/>
      <w:r w:rsidRPr="00DA35ED">
        <w:rPr>
          <w:sz w:val="24"/>
          <w:lang w:val="sk-SK"/>
        </w:rPr>
        <w:t xml:space="preserve"> ITER Project (Rozdelenie nákladov pre všetky fázy projektu ITER). </w:t>
      </w:r>
    </w:p>
  </w:footnote>
  <w:footnote w:id="15">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Odhady založen</w:t>
      </w:r>
      <w:r w:rsidR="00462707">
        <w:rPr>
          <w:sz w:val="24"/>
          <w:lang w:val="sk-SK"/>
        </w:rPr>
        <w:t>é na oznámení Komisie COM(2017)0</w:t>
      </w:r>
      <w:r w:rsidRPr="00DA35ED">
        <w:rPr>
          <w:sz w:val="24"/>
          <w:lang w:val="sk-SK"/>
        </w:rPr>
        <w:t>319 a súvisiacom pracovnom doku</w:t>
      </w:r>
      <w:r w:rsidR="00462707">
        <w:rPr>
          <w:sz w:val="24"/>
          <w:lang w:val="sk-SK"/>
        </w:rPr>
        <w:t>mente útvarov Komisie SWD(2017)0</w:t>
      </w:r>
      <w:r w:rsidRPr="00DA35ED">
        <w:rPr>
          <w:sz w:val="24"/>
          <w:lang w:val="sk-SK"/>
        </w:rPr>
        <w:t>232, tabuľka 4.</w:t>
      </w:r>
    </w:p>
  </w:footnote>
  <w:footnote w:id="16">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 xml:space="preserve">Spojené kráľovstvo vystúpilo z Únie a </w:t>
      </w:r>
      <w:proofErr w:type="spellStart"/>
      <w:r w:rsidRPr="00DA35ED">
        <w:rPr>
          <w:sz w:val="24"/>
          <w:lang w:val="sk-SK"/>
        </w:rPr>
        <w:t>Euratomu</w:t>
      </w:r>
      <w:proofErr w:type="spellEnd"/>
      <w:r w:rsidRPr="00DA35ED">
        <w:rPr>
          <w:sz w:val="24"/>
          <w:lang w:val="sk-SK"/>
        </w:rPr>
        <w:t xml:space="preserve"> 31. januára 2020, Dohoda o obchode a spolupráci medzi Úniou (</w:t>
      </w:r>
      <w:proofErr w:type="spellStart"/>
      <w:r w:rsidRPr="00DA35ED">
        <w:rPr>
          <w:sz w:val="24"/>
          <w:lang w:val="sk-SK"/>
        </w:rPr>
        <w:t>Euratomom</w:t>
      </w:r>
      <w:proofErr w:type="spellEnd"/>
      <w:r w:rsidRPr="00DA35ED">
        <w:rPr>
          <w:sz w:val="24"/>
          <w:lang w:val="sk-SK"/>
        </w:rPr>
        <w:t xml:space="preserve">) a Spojeným kráľovstvom bola schválená 30. decembra 2020. V tejto dohode sa stanovuje, že Spojené kráľovstvo sa bude zapájať do programov Únie uvedených v protokole I vrátane programu </w:t>
      </w:r>
      <w:proofErr w:type="spellStart"/>
      <w:r w:rsidRPr="00DA35ED">
        <w:rPr>
          <w:sz w:val="24"/>
          <w:lang w:val="sk-SK"/>
        </w:rPr>
        <w:t>Euratomu</w:t>
      </w:r>
      <w:proofErr w:type="spellEnd"/>
      <w:r w:rsidRPr="00DA35ED">
        <w:rPr>
          <w:sz w:val="24"/>
          <w:lang w:val="sk-SK"/>
        </w:rPr>
        <w:t xml:space="preserve"> pre výskum a odborné vzdelávanie a do činností spoločného podniku v rámci projektu ITER, a bude na </w:t>
      </w:r>
      <w:proofErr w:type="spellStart"/>
      <w:r w:rsidRPr="00DA35ED">
        <w:rPr>
          <w:sz w:val="24"/>
          <w:lang w:val="sk-SK"/>
        </w:rPr>
        <w:t>ne</w:t>
      </w:r>
      <w:proofErr w:type="spellEnd"/>
      <w:r w:rsidRPr="00DA35ED">
        <w:rPr>
          <w:sz w:val="24"/>
          <w:lang w:val="sk-SK"/>
        </w:rPr>
        <w:t xml:space="preserve"> prispievať. Pokiaľ sa však zmluvné strany nedohodnú na protokole, Spojené kráľovstvo nie je ani pridružené k činnostiam spoločného podniku v rámci projektu ITER, ani nie je členom spoločného podniku. Pokiaľ ide o Švajčiarsko, dohoda nebola automaticky predĺžená, a preto sa skončila v roku 2020.</w:t>
      </w:r>
    </w:p>
  </w:footnote>
  <w:footnote w:id="17">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hyperlink r:id="rId1" w:history="1">
        <w:r w:rsidRPr="00DA35ED">
          <w:rPr>
            <w:rStyle w:val="Hyperlink"/>
            <w:sz w:val="24"/>
            <w:lang w:val="sk-SK"/>
          </w:rPr>
          <w:t>https://www.iter.org/doc/www/content/com/Lists/list_items/Attachments/1061/2022_11_IC-31.pdf</w:t>
        </w:r>
      </w:hyperlink>
      <w:r w:rsidRPr="00DA35ED">
        <w:rPr>
          <w:sz w:val="24"/>
          <w:lang w:val="sk-SK"/>
        </w:rPr>
        <w:t xml:space="preserve"> </w:t>
      </w:r>
    </w:p>
  </w:footnote>
  <w:footnote w:id="18">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hyperlink r:id="rId2" w:history="1">
        <w:r w:rsidRPr="00DA35ED">
          <w:rPr>
            <w:rStyle w:val="Hyperlink"/>
            <w:sz w:val="24"/>
            <w:lang w:val="sk-SK"/>
          </w:rPr>
          <w:t>https://www.iter.org/doc/www/content/com/Lists/list_items/Attachments/1115/2023_06_IC-32.pdf</w:t>
        </w:r>
      </w:hyperlink>
      <w:r w:rsidRPr="00DA35ED">
        <w:rPr>
          <w:sz w:val="24"/>
          <w:lang w:val="sk-SK"/>
        </w:rPr>
        <w:t xml:space="preserve"> </w:t>
      </w:r>
    </w:p>
  </w:footnote>
  <w:footnote w:id="19">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Francúzsky úrad pre jadrovú bezpečnosť [ASN] je rozhodujúcim orgánom a spolupracuje len s Medzinárodnou organizáciou pre energiu jadrovej syntézy ITER (ITER-IO) a akékoľvek potrebné zmeny v budúcnosti by mohli mať vysoký vplyv na náklady. V januári 2022 ASN zastavil montáž ITER v celom rozsahu, kým ITER nedokáže, že vie zabezpečiť osobnú bezpečnosť.</w:t>
      </w:r>
    </w:p>
  </w:footnote>
  <w:footnote w:id="20">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 xml:space="preserve">Komisia ITER </w:t>
      </w:r>
      <w:proofErr w:type="spellStart"/>
      <w:r w:rsidRPr="00DA35ED">
        <w:rPr>
          <w:sz w:val="24"/>
          <w:lang w:val="sk-SK"/>
        </w:rPr>
        <w:t>performance</w:t>
      </w:r>
      <w:proofErr w:type="spellEnd"/>
      <w:r w:rsidRPr="00DA35ED">
        <w:rPr>
          <w:sz w:val="24"/>
          <w:lang w:val="sk-SK"/>
        </w:rPr>
        <w:t>, 2023.</w:t>
      </w:r>
    </w:p>
  </w:footnote>
  <w:footnote w:id="21">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hyperlink r:id="rId3" w:history="1">
        <w:r w:rsidRPr="00DA35ED">
          <w:rPr>
            <w:rStyle w:val="Hyperlink"/>
            <w:sz w:val="24"/>
            <w:lang w:val="sk-SK"/>
          </w:rPr>
          <w:t>https://u4unity.eu/link/Topic_91_F4E.pdf</w:t>
        </w:r>
      </w:hyperlink>
      <w:r w:rsidRPr="00DA35ED">
        <w:rPr>
          <w:sz w:val="24"/>
          <w:lang w:val="sk-SK"/>
        </w:rPr>
        <w:t xml:space="preserve"> </w:t>
      </w:r>
    </w:p>
  </w:footnote>
  <w:footnote w:id="22">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Hlavnými dôvodmi boli nedostatky na úrovni vyššieho manažmentu, napr. netransparentné a nefunkčné prijímanie rozhodnutí a nedostatočný sociálny dialóg.</w:t>
      </w:r>
    </w:p>
  </w:footnote>
  <w:footnote w:id="23">
    <w:p w:rsidR="00E42B91" w:rsidRPr="00DA35ED" w:rsidRDefault="00E42B91" w:rsidP="00DA35ED">
      <w:pPr>
        <w:pStyle w:val="FootnoteText"/>
        <w:ind w:left="567" w:hanging="567"/>
        <w:rPr>
          <w:sz w:val="24"/>
          <w:lang w:val="sk-SK"/>
        </w:rPr>
      </w:pPr>
      <w:r w:rsidRPr="00DA35ED">
        <w:rPr>
          <w:rStyle w:val="FootnoteReference"/>
          <w:sz w:val="24"/>
          <w:lang w:val="sk-SK"/>
        </w:rPr>
        <w:footnoteRef/>
      </w:r>
      <w:r w:rsidR="00DA35ED" w:rsidRPr="00DA35ED">
        <w:rPr>
          <w:sz w:val="24"/>
          <w:lang w:val="sk-SK"/>
        </w:rPr>
        <w:t xml:space="preserve"> </w:t>
      </w:r>
      <w:r w:rsidR="00DA35ED" w:rsidRPr="00DA35ED">
        <w:rPr>
          <w:sz w:val="24"/>
          <w:lang w:val="sk-SK"/>
        </w:rPr>
        <w:tab/>
      </w:r>
      <w:r w:rsidRPr="00DA35ED">
        <w:rPr>
          <w:sz w:val="24"/>
          <w:lang w:val="sk-SK"/>
        </w:rPr>
        <w:t xml:space="preserve">zasadnutie riadiacej rady, ktoré sa uskutočnilo 7. </w:t>
      </w:r>
      <w:r w:rsidR="00327A4F">
        <w:rPr>
          <w:sz w:val="24"/>
          <w:lang w:val="sk-SK"/>
        </w:rPr>
        <w:t xml:space="preserve">– 8. </w:t>
      </w:r>
      <w:bookmarkStart w:id="10" w:name="_GoBack"/>
      <w:bookmarkEnd w:id="10"/>
      <w:r w:rsidRPr="00DA35ED">
        <w:rPr>
          <w:sz w:val="24"/>
          <w:lang w:val="sk-SK"/>
        </w:rPr>
        <w:t>júla 2022 v Barcelone.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35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35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35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SK"/>
    <w:docVar w:name="dvnumam" w:val="0"/>
    <w:docVar w:name="dvpe" w:val="753.493"/>
    <w:docVar w:name="dvrapporteur" w:val="Spravodajca: "/>
    <w:docVar w:name="dvtitre" w:val="Rozhodnutie Európskeho parlamentu z xx. apríla 2024 o absolutóriu za plnenie rozpočtu Európskeho spoločného podniku pre ITER a rozvoj energie jadrovej syntézy (spoločný podnik Fusion for Energy) za rozpočtový rok 2022(2023/2178(DEC))"/>
  </w:docVars>
  <w:rsids>
    <w:rsidRoot w:val="00DF4C55"/>
    <w:rsid w:val="00002272"/>
    <w:rsid w:val="00064002"/>
    <w:rsid w:val="000677B9"/>
    <w:rsid w:val="000831BA"/>
    <w:rsid w:val="000A42CC"/>
    <w:rsid w:val="000E7DD9"/>
    <w:rsid w:val="0010095E"/>
    <w:rsid w:val="00125B37"/>
    <w:rsid w:val="00187494"/>
    <w:rsid w:val="001F32AE"/>
    <w:rsid w:val="002767FF"/>
    <w:rsid w:val="002B18FE"/>
    <w:rsid w:val="002B5493"/>
    <w:rsid w:val="00327A4F"/>
    <w:rsid w:val="00343214"/>
    <w:rsid w:val="00361C00"/>
    <w:rsid w:val="00395FA1"/>
    <w:rsid w:val="003E15D4"/>
    <w:rsid w:val="00411CCE"/>
    <w:rsid w:val="0041666E"/>
    <w:rsid w:val="00421060"/>
    <w:rsid w:val="0046270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9B6"/>
    <w:rsid w:val="00731ADD"/>
    <w:rsid w:val="00734777"/>
    <w:rsid w:val="00747932"/>
    <w:rsid w:val="00751A4A"/>
    <w:rsid w:val="00756632"/>
    <w:rsid w:val="00762C74"/>
    <w:rsid w:val="0078681D"/>
    <w:rsid w:val="00786EC0"/>
    <w:rsid w:val="007D1690"/>
    <w:rsid w:val="007E22AD"/>
    <w:rsid w:val="00817416"/>
    <w:rsid w:val="00842779"/>
    <w:rsid w:val="00865F67"/>
    <w:rsid w:val="00881A7B"/>
    <w:rsid w:val="008840E5"/>
    <w:rsid w:val="00887B3E"/>
    <w:rsid w:val="008C2AC6"/>
    <w:rsid w:val="008F60BD"/>
    <w:rsid w:val="00930C23"/>
    <w:rsid w:val="0093193B"/>
    <w:rsid w:val="009509D8"/>
    <w:rsid w:val="00950B64"/>
    <w:rsid w:val="00981893"/>
    <w:rsid w:val="00A1687D"/>
    <w:rsid w:val="00A43E52"/>
    <w:rsid w:val="00A4678D"/>
    <w:rsid w:val="00A5544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6362"/>
    <w:rsid w:val="00C941CB"/>
    <w:rsid w:val="00CC2357"/>
    <w:rsid w:val="00CF071A"/>
    <w:rsid w:val="00D058B8"/>
    <w:rsid w:val="00D56C11"/>
    <w:rsid w:val="00D834A0"/>
    <w:rsid w:val="00D872DF"/>
    <w:rsid w:val="00D91E21"/>
    <w:rsid w:val="00DA35ED"/>
    <w:rsid w:val="00DA7FCD"/>
    <w:rsid w:val="00DF4C55"/>
    <w:rsid w:val="00E365E1"/>
    <w:rsid w:val="00E42B9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97352"/>
  <w15:chartTrackingRefBased/>
  <w15:docId w15:val="{5C5E4506-811D-45E0-A869-51CECC24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42B9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42B91"/>
    <w:pPr>
      <w:spacing w:before="480" w:after="240"/>
    </w:pPr>
  </w:style>
  <w:style w:type="paragraph" w:customStyle="1" w:styleId="PageHeading">
    <w:name w:val="PageHeading"/>
    <w:basedOn w:val="Normal"/>
    <w:rsid w:val="00E42B91"/>
    <w:pPr>
      <w:keepNext/>
      <w:spacing w:after="480"/>
      <w:jc w:val="center"/>
    </w:pPr>
    <w:rPr>
      <w:rFonts w:ascii="Arial" w:hAnsi="Arial" w:cs="Arial"/>
      <w:b/>
    </w:rPr>
  </w:style>
  <w:style w:type="paragraph" w:customStyle="1" w:styleId="NormalBold">
    <w:name w:val="NormalBold"/>
    <w:basedOn w:val="Normal"/>
    <w:rsid w:val="00E42B91"/>
    <w:rPr>
      <w:b/>
    </w:rPr>
  </w:style>
  <w:style w:type="paragraph" w:customStyle="1" w:styleId="NormalHanging12a">
    <w:name w:val="NormalHanging12a"/>
    <w:basedOn w:val="Normal"/>
    <w:link w:val="NormalHanging12aChar"/>
    <w:rsid w:val="00E42B91"/>
    <w:pPr>
      <w:spacing w:after="240"/>
      <w:ind w:left="567" w:hanging="567"/>
    </w:pPr>
  </w:style>
  <w:style w:type="paragraph" w:styleId="Header">
    <w:name w:val="header"/>
    <w:basedOn w:val="Normal"/>
    <w:link w:val="HeaderChar"/>
    <w:rsid w:val="00E42B91"/>
    <w:pPr>
      <w:tabs>
        <w:tab w:val="center" w:pos="4513"/>
        <w:tab w:val="right" w:pos="9026"/>
      </w:tabs>
    </w:pPr>
  </w:style>
  <w:style w:type="character" w:customStyle="1" w:styleId="HeaderChar">
    <w:name w:val="Header Char"/>
    <w:basedOn w:val="DefaultParagraphFont"/>
    <w:link w:val="Header"/>
    <w:rsid w:val="00E42B91"/>
    <w:rPr>
      <w:sz w:val="24"/>
      <w:lang w:val="sk-SK"/>
    </w:rPr>
  </w:style>
  <w:style w:type="paragraph" w:customStyle="1" w:styleId="EPFooter">
    <w:name w:val="EPFooter"/>
    <w:basedOn w:val="Normal"/>
    <w:rsid w:val="00E42B91"/>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E42B91"/>
    <w:rPr>
      <w:color w:val="0563C1" w:themeColor="hyperlink"/>
      <w:u w:val="single"/>
    </w:rPr>
  </w:style>
  <w:style w:type="character" w:customStyle="1" w:styleId="NormalHanging12aChar">
    <w:name w:val="NormalHanging12a Char"/>
    <w:basedOn w:val="DefaultParagraphFont"/>
    <w:link w:val="NormalHanging12a"/>
    <w:rsid w:val="00E42B91"/>
    <w:rPr>
      <w:sz w:val="24"/>
      <w:lang w:val="sk-SK"/>
    </w:rPr>
  </w:style>
  <w:style w:type="paragraph" w:styleId="Footer">
    <w:name w:val="footer"/>
    <w:basedOn w:val="Normal"/>
    <w:link w:val="FooterChar"/>
    <w:rsid w:val="008F60BD"/>
    <w:pPr>
      <w:tabs>
        <w:tab w:val="center" w:pos="4513"/>
        <w:tab w:val="right" w:pos="9026"/>
      </w:tabs>
    </w:pPr>
  </w:style>
  <w:style w:type="character" w:customStyle="1" w:styleId="FooterChar">
    <w:name w:val="Footer Char"/>
    <w:basedOn w:val="DefaultParagraphFont"/>
    <w:link w:val="Footer"/>
    <w:rsid w:val="008F60BD"/>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132AA-9B86-4B2A-805F-E0968ECDA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3549</Words>
  <Characters>21025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2024-05-15T13:18:00Z</dcterms:created>
  <dcterms:modified xsi:type="dcterms:W3CDTF">2024-05-15T13:18:00Z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P9_TA(2024)0270_</vt:lpwstr>
  </property>
  <property fmtid="{D5CDD505-2E9C-101B-9397-08002B2CF9AE}" pid="4" name="&lt;Type&gt;">
    <vt:lpwstr>RR</vt:lpwstr>
  </property>
</Properties>
</file>