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55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554F" w:rsidRDefault="00692152" w:rsidP="0010095E">
            <w:pPr>
              <w:pStyle w:val="EPName"/>
            </w:pPr>
            <w:r w:rsidRPr="009C554F">
              <w:t>Europski parlament</w:t>
            </w:r>
          </w:p>
          <w:p w:rsidR="00751A4A" w:rsidRPr="009C55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554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C554F" w:rsidRDefault="00187494" w:rsidP="0010095E">
            <w:pPr>
              <w:pStyle w:val="EPLogo"/>
            </w:pPr>
            <w:r w:rsidRPr="009C554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554F" w:rsidRDefault="00D058B8" w:rsidP="004C5D52">
      <w:pPr>
        <w:pStyle w:val="LineTop"/>
      </w:pPr>
    </w:p>
    <w:p w:rsidR="00680577" w:rsidRPr="009C554F" w:rsidRDefault="00692152" w:rsidP="00680577">
      <w:pPr>
        <w:pStyle w:val="EPBodyTA1"/>
      </w:pPr>
      <w:r w:rsidRPr="009C554F">
        <w:t>USVOJENI TEKSTOVI</w:t>
      </w:r>
    </w:p>
    <w:p w:rsidR="00D058B8" w:rsidRPr="009C554F" w:rsidRDefault="00D058B8" w:rsidP="00D058B8">
      <w:pPr>
        <w:pStyle w:val="LineBottom"/>
      </w:pPr>
    </w:p>
    <w:p w:rsidR="00692152" w:rsidRPr="009C554F" w:rsidRDefault="00692152" w:rsidP="00692152">
      <w:pPr>
        <w:pStyle w:val="ATHeading1"/>
      </w:pPr>
      <w:bookmarkStart w:id="0" w:name="TANumber"/>
      <w:r w:rsidRPr="009C554F">
        <w:t>P9_TA(2024)0</w:t>
      </w:r>
      <w:r w:rsidR="008D7904">
        <w:t>272</w:t>
      </w:r>
      <w:bookmarkEnd w:id="0"/>
    </w:p>
    <w:p w:rsidR="00692152" w:rsidRPr="009C554F" w:rsidRDefault="00692152" w:rsidP="00692152">
      <w:pPr>
        <w:pStyle w:val="ATHeading2"/>
      </w:pPr>
      <w:bookmarkStart w:id="1" w:name="title"/>
      <w:r w:rsidRPr="009C554F">
        <w:t>Razrješnica za 2022.: Zajedničko poduzeće za čisto zrakoplovstvo</w:t>
      </w:r>
      <w:bookmarkEnd w:id="1"/>
    </w:p>
    <w:p w:rsidR="00692152" w:rsidRPr="009C554F" w:rsidRDefault="00692152" w:rsidP="00692152">
      <w:pPr>
        <w:rPr>
          <w:i/>
          <w:vanish/>
        </w:rPr>
      </w:pPr>
      <w:r w:rsidRPr="009C554F">
        <w:rPr>
          <w:i/>
        </w:rPr>
        <w:fldChar w:fldCharType="begin"/>
      </w:r>
      <w:r w:rsidRPr="009C554F">
        <w:rPr>
          <w:i/>
        </w:rPr>
        <w:instrText xml:space="preserve"> TC"(</w:instrText>
      </w:r>
      <w:bookmarkStart w:id="2" w:name="DocNumber"/>
      <w:r w:rsidRPr="009C554F">
        <w:rPr>
          <w:i/>
        </w:rPr>
        <w:instrText>A9-0087/2024</w:instrText>
      </w:r>
      <w:bookmarkEnd w:id="2"/>
      <w:r w:rsidRPr="009C554F">
        <w:rPr>
          <w:i/>
        </w:rPr>
        <w:instrText xml:space="preserve"> - Izvjestitelj: Michal </w:instrText>
      </w:r>
      <w:proofErr w:type="spellStart"/>
      <w:r w:rsidRPr="009C554F">
        <w:rPr>
          <w:i/>
        </w:rPr>
        <w:instrText>Wiezik</w:instrText>
      </w:r>
      <w:proofErr w:type="spellEnd"/>
      <w:r w:rsidRPr="009C554F">
        <w:rPr>
          <w:i/>
        </w:rPr>
        <w:instrText xml:space="preserve">)"\l3 \n&gt; \* MERGEFORMAT </w:instrText>
      </w:r>
      <w:r w:rsidRPr="009C554F">
        <w:rPr>
          <w:i/>
        </w:rPr>
        <w:fldChar w:fldCharType="end"/>
      </w:r>
    </w:p>
    <w:p w:rsidR="00692152" w:rsidRPr="009C554F" w:rsidRDefault="00692152" w:rsidP="00692152">
      <w:pPr>
        <w:rPr>
          <w:vanish/>
        </w:rPr>
      </w:pPr>
      <w:bookmarkStart w:id="3" w:name="Commission"/>
      <w:r w:rsidRPr="009C554F">
        <w:rPr>
          <w:vanish/>
        </w:rPr>
        <w:t>Odbor za proračunski nadzor</w:t>
      </w:r>
      <w:bookmarkEnd w:id="3"/>
    </w:p>
    <w:p w:rsidR="00692152" w:rsidRPr="009C554F" w:rsidRDefault="00692152" w:rsidP="00692152">
      <w:pPr>
        <w:rPr>
          <w:vanish/>
        </w:rPr>
      </w:pPr>
      <w:bookmarkStart w:id="4" w:name="PE"/>
      <w:r w:rsidRPr="009C554F">
        <w:rPr>
          <w:vanish/>
        </w:rPr>
        <w:t>PE753.485</w:t>
      </w:r>
      <w:bookmarkEnd w:id="4"/>
    </w:p>
    <w:p w:rsidR="00692152" w:rsidRPr="009C554F" w:rsidRDefault="009C554F" w:rsidP="00692152">
      <w:pPr>
        <w:pStyle w:val="ATHeading3"/>
      </w:pPr>
      <w:bookmarkStart w:id="5" w:name="Sujet"/>
      <w:r>
        <w:t xml:space="preserve">1. </w:t>
      </w:r>
      <w:r w:rsidR="00692152" w:rsidRPr="009C554F">
        <w:t>Od</w:t>
      </w:r>
      <w:r>
        <w:t>luka Europskog parlamenta od 11</w:t>
      </w:r>
      <w:r w:rsidR="00692152" w:rsidRPr="009C554F">
        <w:t xml:space="preserve">. </w:t>
      </w:r>
      <w:r>
        <w:t xml:space="preserve">travnja </w:t>
      </w:r>
      <w:r w:rsidR="00692152" w:rsidRPr="009C554F">
        <w:t>2024. o razrješnici za izvršenje proračuna Zajedničkog poduzeća za čisto zrakoplovstvo za financijsku godinu 2022.</w:t>
      </w:r>
      <w:bookmarkEnd w:id="5"/>
      <w:r w:rsidR="00692152" w:rsidRPr="009C554F">
        <w:t xml:space="preserve"> </w:t>
      </w:r>
      <w:bookmarkStart w:id="6" w:name="References"/>
      <w:r w:rsidR="00692152" w:rsidRPr="009C554F">
        <w:t>(2023/2173(DEC))</w:t>
      </w:r>
      <w:bookmarkEnd w:id="6"/>
    </w:p>
    <w:p w:rsidR="00153B23" w:rsidRPr="009C554F" w:rsidRDefault="00153B23" w:rsidP="00153B23">
      <w:pPr>
        <w:pStyle w:val="EPComma"/>
      </w:pPr>
      <w:bookmarkStart w:id="7" w:name="TextBodyBegin"/>
      <w:bookmarkEnd w:id="7"/>
      <w:r w:rsidRPr="009C554F">
        <w:rPr>
          <w:i/>
        </w:rPr>
        <w:t>Europski parlament</w:t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završnu godišnju računovodstvenu dokumentaciju Zajedničkog poduzeća za čisto zrakoplovstvo za financijsku godinu 2022.,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godišnje izvješće Revizorskog suda o zajedničkim poduzećima EU-a za financijsku godinu 2022., s odgovorom Zajedničkog poduzeća</w:t>
      </w:r>
      <w:r w:rsidRPr="009C554F">
        <w:rPr>
          <w:rStyle w:val="FootnoteReference"/>
        </w:rPr>
        <w:footnoteReference w:id="1"/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izjavu o jamstvu</w:t>
      </w:r>
      <w:r w:rsidRPr="009C554F">
        <w:rPr>
          <w:rStyle w:val="FootnoteReference"/>
        </w:rPr>
        <w:footnoteReference w:id="2"/>
      </w:r>
      <w:r w:rsidRPr="009C554F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preporuku Vijeća od 22. veljače 2024. o razrješnici koju Zajedničko poduzeće treba dobiti za izvršenje proračuna za financijsku godinu 2022. (</w:t>
      </w:r>
      <w:r w:rsidR="009C554F">
        <w:t>06182</w:t>
      </w:r>
      <w:r w:rsidRPr="009C554F">
        <w:t>/2024 – C9</w:t>
      </w:r>
      <w:r w:rsidRPr="009C554F">
        <w:noBreakHyphen/>
        <w:t>0</w:t>
      </w:r>
      <w:r w:rsidR="009C554F">
        <w:t>111</w:t>
      </w:r>
      <w:r w:rsidRPr="009C554F">
        <w:t>/2024),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članak 319. Ugovora o funkcioniranju Europske unije,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 966/2012</w:t>
      </w:r>
      <w:r w:rsidRPr="009C554F">
        <w:rPr>
          <w:rStyle w:val="FootnoteReference"/>
        </w:rPr>
        <w:footnoteReference w:id="3"/>
      </w:r>
      <w:r w:rsidRPr="009C554F">
        <w:t>, a posebno njezin članak 71.,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 xml:space="preserve">uzimajući u obzir Uredbu Vijeća (EU) 2021/2085 od 19. studenoga 2021. o osnivanju zajedničkih poduzeća u okviru programa Obzor Europa te o stavljanju izvan snage </w:t>
      </w:r>
      <w:r w:rsidRPr="009C554F">
        <w:lastRenderedPageBreak/>
        <w:t>uredbi (EZ) br. 219/2007, (EU) br. 557/2014, (EU) br. 558/2014, (EU) br. 559/2014, (EU) br. 560/2014, (EU) br. 561/2014 i (EU) br. 642/2014</w:t>
      </w:r>
      <w:r w:rsidRPr="009C554F">
        <w:rPr>
          <w:rStyle w:val="FootnoteReference"/>
        </w:rPr>
        <w:footnoteReference w:id="4"/>
      </w:r>
      <w:r w:rsidRPr="009C554F">
        <w:t>, a posebno njezin članak 26.,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 xml:space="preserve">uzimajući u obzir Delegiranu uredbu Komisije (EU) 2019/887 </w:t>
      </w:r>
      <w:proofErr w:type="spellStart"/>
      <w:r w:rsidRPr="009C554F">
        <w:t>оd</w:t>
      </w:r>
      <w:proofErr w:type="spellEnd"/>
      <w:r w:rsidRPr="009C554F">
        <w:t xml:space="preserve"> 13. ožujka 2019. o oglednoj financijskoj uredbi za tijela javno-privatnog partnerstva iz članka 71. Uredbe (EU, Euratom) 2018/1046 Europskog parlamenta i Vijeća</w:t>
      </w:r>
      <w:r w:rsidRPr="009C554F">
        <w:rPr>
          <w:rStyle w:val="FootnoteReference"/>
        </w:rPr>
        <w:footnoteReference w:id="5"/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članak 100. Poslovnika i Prilog V. Poslovniku,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mišljenje Odbora za promet i turizam,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izvješće Odbora za proračunski nadzor (A9</w:t>
      </w:r>
      <w:r w:rsidRPr="009C554F">
        <w:noBreakHyphen/>
        <w:t>0087/2024),</w:t>
      </w:r>
    </w:p>
    <w:p w:rsidR="00153B23" w:rsidRPr="009C554F" w:rsidRDefault="00153B23" w:rsidP="00153B23">
      <w:pPr>
        <w:pStyle w:val="NormalHanging12a"/>
      </w:pPr>
      <w:r w:rsidRPr="009C554F">
        <w:t>1.</w:t>
      </w:r>
      <w:r w:rsidRPr="009C554F">
        <w:tab/>
        <w:t>daje razrješnicu izvršnom direktoru Zajedničkog poduzeća za čisto zrakoplovstvo za izvršenje proračuna Zajedničkog poduzeća za financijsku godinu 2022.;</w:t>
      </w:r>
    </w:p>
    <w:p w:rsidR="00153B23" w:rsidRPr="009C554F" w:rsidRDefault="00153B23" w:rsidP="00153B23">
      <w:pPr>
        <w:pStyle w:val="NormalHanging12a"/>
      </w:pPr>
      <w:r w:rsidRPr="009C554F">
        <w:t>2.</w:t>
      </w:r>
      <w:r w:rsidRPr="009C554F">
        <w:tab/>
        <w:t>iznosi svoje primjedbe u Rezoluciji u nastavku;</w:t>
      </w:r>
    </w:p>
    <w:p w:rsidR="00153B23" w:rsidRPr="009C554F" w:rsidRDefault="00153B23" w:rsidP="00153B23">
      <w:pPr>
        <w:pStyle w:val="NormalHanging12a"/>
      </w:pPr>
      <w:r w:rsidRPr="009C554F">
        <w:t>3.</w:t>
      </w:r>
      <w:r w:rsidRPr="009C554F">
        <w:tab/>
        <w:t xml:space="preserve">nalaže svojoj predsjednici da ovu Odluku i Rezoluciju, koja je njezin sastavni dio, proslijedi izvršnom direktoru Zajedničkog poduzeća za čisto zrakoplovstvo, Vijeću, Komisiji i Revizorskom sudu te da ih da na objavu u </w:t>
      </w:r>
      <w:r w:rsidRPr="009C554F">
        <w:rPr>
          <w:i/>
        </w:rPr>
        <w:t>Službenom listu Europske unije</w:t>
      </w:r>
      <w:r w:rsidRPr="009C554F">
        <w:t xml:space="preserve"> (serija L).</w:t>
      </w:r>
    </w:p>
    <w:p w:rsidR="00153B23" w:rsidRPr="009C554F" w:rsidRDefault="00153B23" w:rsidP="00153B23"/>
    <w:p w:rsidR="00153B23" w:rsidRPr="009C554F" w:rsidRDefault="00153B23" w:rsidP="00153B23">
      <w:pPr>
        <w:pStyle w:val="PageHeading"/>
        <w:sectPr w:rsidR="00153B23" w:rsidRPr="009C554F" w:rsidSect="00835F25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53B23" w:rsidRPr="009C554F" w:rsidRDefault="009C554F" w:rsidP="008D7904">
      <w:pPr>
        <w:pStyle w:val="ATHeading3"/>
      </w:pPr>
      <w:bookmarkStart w:id="9" w:name="_Toc161819929"/>
      <w:r>
        <w:lastRenderedPageBreak/>
        <w:t>2. Odluka</w:t>
      </w:r>
      <w:r w:rsidRPr="009C554F">
        <w:t xml:space="preserve"> </w:t>
      </w:r>
      <w:r>
        <w:t>E</w:t>
      </w:r>
      <w:r w:rsidRPr="009C554F">
        <w:t>uropskog parlamenta</w:t>
      </w:r>
      <w:bookmarkEnd w:id="9"/>
      <w:r w:rsidRPr="009C554F">
        <w:t xml:space="preserve"> </w:t>
      </w:r>
      <w:r>
        <w:t xml:space="preserve">od 11. travnja 2024. </w:t>
      </w:r>
      <w:r w:rsidR="00153B23" w:rsidRPr="009C554F">
        <w:t>o zaključenju poslovnih knjiga Zajedničkog poduzeća za čisto zrakoplovstvo za financijsku godinu 2022.</w:t>
      </w:r>
      <w:r w:rsidRPr="009C554F">
        <w:t xml:space="preserve"> </w:t>
      </w:r>
      <w:r w:rsidR="00153B23" w:rsidRPr="009C554F">
        <w:t>(2023/2173(DEC))</w:t>
      </w:r>
    </w:p>
    <w:p w:rsidR="00153B23" w:rsidRPr="009C554F" w:rsidRDefault="00153B23" w:rsidP="00153B23">
      <w:pPr>
        <w:pStyle w:val="EPComma"/>
      </w:pPr>
      <w:r w:rsidRPr="009C554F">
        <w:rPr>
          <w:i/>
        </w:rPr>
        <w:t>Europski parlament</w:t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završnu godišnju računovodstvenu dokumentaciju Zajedničkog poduzeća za čisto zrakoplovstvo za financijsku godinu 2022.,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godišnje izvješće Revizorskog suda o zajedničkim poduzećima EU-a za financijsku godinu 2022., s odgovorom Zajedničkog poduzeća</w:t>
      </w:r>
      <w:r w:rsidRPr="009C554F">
        <w:rPr>
          <w:rStyle w:val="FootnoteReference"/>
        </w:rPr>
        <w:footnoteReference w:id="6"/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izjavu o jamstvu</w:t>
      </w:r>
      <w:r w:rsidRPr="009C554F">
        <w:rPr>
          <w:rStyle w:val="FootnoteReference"/>
        </w:rPr>
        <w:footnoteReference w:id="7"/>
      </w:r>
      <w:r w:rsidRPr="009C554F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preporuku Vijeća od 22. veljače 2024. o razrješnici koju Zajedničko poduzeće treba dobiti za izvršenje proračuna za financijsku godinu 2022. (</w:t>
      </w:r>
      <w:r w:rsidR="009C554F">
        <w:t>06182</w:t>
      </w:r>
      <w:r w:rsidRPr="009C554F">
        <w:t>/2024 – C9</w:t>
      </w:r>
      <w:r w:rsidRPr="009C554F">
        <w:noBreakHyphen/>
        <w:t>0</w:t>
      </w:r>
      <w:r w:rsidR="009C554F">
        <w:t>111</w:t>
      </w:r>
      <w:r w:rsidRPr="009C554F">
        <w:t>/2024),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članak 319. Ugovora o funkcioniranju Europske unije,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9C554F">
        <w:rPr>
          <w:rStyle w:val="FootnoteReference"/>
        </w:rPr>
        <w:footnoteReference w:id="8"/>
      </w:r>
      <w:r w:rsidRPr="009C554F">
        <w:t>, a posebno njezin članak 71.,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Uredbu Vijeća (EU) 2021/2085 od 19. studenoga 2021. o osnivanju zajedničkih poduzeća u okviru programa Obzor Europa te o stavljanju izvan snage uredbi (EZ) br. 219/2007, (EU) br. 557/2014, (EU) br. 558/2014, (EU) br. 559/2014, (EU) br. 560/2014, (EU) br. 561/2014 i (EU) br. 642/2014</w:t>
      </w:r>
      <w:r w:rsidRPr="009C554F">
        <w:rPr>
          <w:rStyle w:val="FootnoteReference"/>
        </w:rPr>
        <w:footnoteReference w:id="9"/>
      </w:r>
      <w:r w:rsidRPr="009C554F">
        <w:t>, a posebno njezin članak 26.,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 xml:space="preserve">uzimajući u obzir Delegiranu uredbu Komisije (EU) 2019/887 </w:t>
      </w:r>
      <w:proofErr w:type="spellStart"/>
      <w:r w:rsidRPr="009C554F">
        <w:t>оd</w:t>
      </w:r>
      <w:proofErr w:type="spellEnd"/>
      <w:r w:rsidRPr="009C554F">
        <w:t xml:space="preserve"> 13. ožujka 2019. o oglednoj financijskoj uredbi za tijela javno-privatnog partnerstva iz članka 71. Uredbe (EU, Euratom) 2018/1046 Europskog parlamenta i Vijeća</w:t>
      </w:r>
      <w:r w:rsidRPr="009C554F">
        <w:rPr>
          <w:rStyle w:val="FootnoteReference"/>
        </w:rPr>
        <w:footnoteReference w:id="10"/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članak 100. Poslovnika i Prilog V. Poslovniku,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mišljenje Odbora za promet i turizam,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izvješće Odbora za proračunski nadzor (A9</w:t>
      </w:r>
      <w:r w:rsidRPr="009C554F">
        <w:noBreakHyphen/>
        <w:t>0087/2024),</w:t>
      </w:r>
    </w:p>
    <w:p w:rsidR="00153B23" w:rsidRPr="009C554F" w:rsidRDefault="00153B23" w:rsidP="00153B23">
      <w:pPr>
        <w:pStyle w:val="NormalHanging12a"/>
      </w:pPr>
      <w:r w:rsidRPr="009C554F">
        <w:lastRenderedPageBreak/>
        <w:t>1.</w:t>
      </w:r>
      <w:r w:rsidRPr="009C554F">
        <w:tab/>
        <w:t>odobrava zaključenje poslovnih knjiga Zajedničkog poduzeća za čisto zrakoplovstvo za financijsku godinu 2022.;</w:t>
      </w:r>
    </w:p>
    <w:p w:rsidR="00153B23" w:rsidRPr="009C554F" w:rsidRDefault="00153B23" w:rsidP="00153B23">
      <w:pPr>
        <w:pStyle w:val="NormalHanging12a"/>
      </w:pPr>
      <w:r w:rsidRPr="009C554F">
        <w:t>2.</w:t>
      </w:r>
      <w:r w:rsidRPr="009C554F">
        <w:tab/>
        <w:t xml:space="preserve">nalaže svojoj predsjednici da ovu Odluku proslijedi izvršnom direktoru Zajedničkog poduzeća za čisto zrakoplovstvo, Vijeću, Komisiji i Revizorskom sudu te da je da na objavu u </w:t>
      </w:r>
      <w:r w:rsidRPr="009C554F">
        <w:rPr>
          <w:i/>
        </w:rPr>
        <w:t>Službenom listu Europske unije</w:t>
      </w:r>
      <w:r w:rsidRPr="009C554F">
        <w:t xml:space="preserve"> (serija L).</w:t>
      </w:r>
    </w:p>
    <w:p w:rsidR="00153B23" w:rsidRPr="009C554F" w:rsidRDefault="00153B23" w:rsidP="00153B23"/>
    <w:p w:rsidR="00153B23" w:rsidRPr="009C554F" w:rsidRDefault="00153B23" w:rsidP="00153B23">
      <w:pPr>
        <w:pStyle w:val="PageHeading"/>
        <w:sectPr w:rsidR="00153B23" w:rsidRPr="009C554F" w:rsidSect="00835F25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153B23" w:rsidRPr="009C554F" w:rsidRDefault="009C554F" w:rsidP="008D7904">
      <w:pPr>
        <w:pStyle w:val="ATHeading3"/>
      </w:pPr>
      <w:bookmarkStart w:id="10" w:name="_Toc161819930"/>
      <w:r>
        <w:lastRenderedPageBreak/>
        <w:t>3. Rezolucija</w:t>
      </w:r>
      <w:r w:rsidRPr="009C554F">
        <w:t xml:space="preserve"> </w:t>
      </w:r>
      <w:r>
        <w:t>E</w:t>
      </w:r>
      <w:r w:rsidRPr="009C554F">
        <w:t>uropskog parlamenta</w:t>
      </w:r>
      <w:bookmarkEnd w:id="10"/>
      <w:r w:rsidRPr="009C554F">
        <w:t xml:space="preserve"> </w:t>
      </w:r>
      <w:r>
        <w:t xml:space="preserve">od 11. travnja 2024. </w:t>
      </w:r>
      <w:r w:rsidR="00153B23" w:rsidRPr="009C554F">
        <w:t>s primjedbama koje su sastavni dio Odluke o razrješnici za izvršenje proračuna Zajedničkog poduzeća za čisto zrakoplovstvo za financijsku godinu 2022.</w:t>
      </w:r>
      <w:r w:rsidRPr="009C554F">
        <w:t xml:space="preserve"> </w:t>
      </w:r>
      <w:r w:rsidR="00153B23" w:rsidRPr="009C554F">
        <w:t>(2023/2173(DEC))</w:t>
      </w:r>
    </w:p>
    <w:p w:rsidR="00153B23" w:rsidRPr="009C554F" w:rsidRDefault="00153B23" w:rsidP="00153B23">
      <w:pPr>
        <w:pStyle w:val="EPComma"/>
      </w:pPr>
      <w:r w:rsidRPr="009C554F">
        <w:rPr>
          <w:i/>
        </w:rPr>
        <w:t>Europski parlament</w:t>
      </w:r>
      <w:r w:rsidRPr="009C554F">
        <w:t>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svoju Odluku o razrješnici za izvršenje proračuna Zajedničkog poduzeća za čisto zrakoplovstvo za financijsku godinu 2022.,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članak 100. Poslovnika i Prilog V. Poslovniku,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mišljenje Odbora za promet i turizam,</w:t>
      </w:r>
    </w:p>
    <w:p w:rsidR="00153B23" w:rsidRPr="009C554F" w:rsidRDefault="00153B23" w:rsidP="00153B23">
      <w:pPr>
        <w:pStyle w:val="NormalHanging12a"/>
      </w:pPr>
      <w:r w:rsidRPr="009C554F">
        <w:t>–</w:t>
      </w:r>
      <w:r w:rsidRPr="009C554F">
        <w:tab/>
        <w:t>uzimajući u obzir izvješće Odbora za proračunski nadzor (A9</w:t>
      </w:r>
      <w:r w:rsidRPr="009C554F">
        <w:noBreakHyphen/>
        <w:t>0087/2024),</w:t>
      </w:r>
    </w:p>
    <w:p w:rsidR="00153B23" w:rsidRPr="009C554F" w:rsidRDefault="00153B23" w:rsidP="00153B23">
      <w:pPr>
        <w:pStyle w:val="NormalHanging12a"/>
      </w:pPr>
      <w:r w:rsidRPr="009C554F">
        <w:t>A.</w:t>
      </w:r>
      <w:r w:rsidRPr="009C554F">
        <w:tab/>
        <w:t>budući da je Zajedničko poduzeće za čisto zrakoplovstvo („Zajedničko poduzeće”), sa sjedištem u Bruxellesu, osnovano u studenome 2021. Uredbom (EU) 2021/2085</w:t>
      </w:r>
      <w:r w:rsidRPr="009C554F">
        <w:rPr>
          <w:rStyle w:val="FootnoteReference"/>
        </w:rPr>
        <w:footnoteReference w:id="11"/>
      </w:r>
      <w:r w:rsidRPr="009C554F">
        <w:t xml:space="preserve"> („jedinstveni temeljni akt”) u okviru programa Obzor Europa za razdoblje koje završava 31. prosinca 2031.; budući da je Zajedničko poduzeće zamijenilo i naslijedilo Zajedničko poduzeće za provedbu zajedničke tehnološke inicijative za aeronautiku, koje je osnovano u prosincu 2007. u okviru Sedmog okvirnog programa za istraživanja na razdoblje od deset godina</w:t>
      </w:r>
      <w:r w:rsidRPr="009C554F">
        <w:rPr>
          <w:rStyle w:val="FootnoteReference"/>
        </w:rPr>
        <w:footnoteReference w:id="12"/>
      </w:r>
      <w:r w:rsidRPr="009C554F">
        <w:t xml:space="preserve"> (</w:t>
      </w:r>
      <w:proofErr w:type="spellStart"/>
      <w:r w:rsidRPr="009C554F">
        <w:t>Clean</w:t>
      </w:r>
      <w:proofErr w:type="spellEnd"/>
      <w:r w:rsidRPr="009C554F">
        <w:t xml:space="preserve"> </w:t>
      </w:r>
      <w:proofErr w:type="spellStart"/>
      <w:r w:rsidRPr="009C554F">
        <w:t>Sky</w:t>
      </w:r>
      <w:proofErr w:type="spellEnd"/>
      <w:r w:rsidRPr="009C554F">
        <w:t> 1) i čije je djelovanje produljeno u svibnju 2014. u okviru programa Obzor 2020. na razdoblje do 31. prosinca 2024.</w:t>
      </w:r>
      <w:r w:rsidRPr="009C554F">
        <w:rPr>
          <w:rStyle w:val="FootnoteReference"/>
        </w:rPr>
        <w:footnoteReference w:id="13"/>
      </w:r>
      <w:r w:rsidRPr="009C554F">
        <w:t xml:space="preserve"> (</w:t>
      </w:r>
      <w:proofErr w:type="spellStart"/>
      <w:r w:rsidRPr="009C554F">
        <w:t>Clean</w:t>
      </w:r>
      <w:proofErr w:type="spellEnd"/>
      <w:r w:rsidRPr="009C554F">
        <w:t xml:space="preserve"> </w:t>
      </w:r>
      <w:proofErr w:type="spellStart"/>
      <w:r w:rsidRPr="009C554F">
        <w:t>Sky</w:t>
      </w:r>
      <w:proofErr w:type="spellEnd"/>
      <w:r w:rsidRPr="009C554F">
        <w:t> 2);</w:t>
      </w:r>
    </w:p>
    <w:p w:rsidR="00153B23" w:rsidRPr="009C554F" w:rsidRDefault="00153B23" w:rsidP="00153B23">
      <w:pPr>
        <w:pStyle w:val="NormalHanging12a"/>
      </w:pPr>
      <w:r w:rsidRPr="009C554F">
        <w:t>B.</w:t>
      </w:r>
      <w:r w:rsidRPr="009C554F">
        <w:tab/>
        <w:t>budući da Zajedničko poduzeće ima oblik javno-privatnog partnerstva koje je usmjereno na istraživanja i inovacije za preobrazbu zrakoplovstva na putu u održivu i klimatski neutralnu budućnost;</w:t>
      </w:r>
    </w:p>
    <w:p w:rsidR="00153B23" w:rsidRPr="009C554F" w:rsidRDefault="00153B23" w:rsidP="00153B23">
      <w:pPr>
        <w:pStyle w:val="NormalHanging12a"/>
      </w:pPr>
      <w:r w:rsidRPr="009C554F">
        <w:t>C.</w:t>
      </w:r>
      <w:r w:rsidRPr="009C554F">
        <w:tab/>
        <w:t>budući da su osnivači Zajedničkog poduzeća Unija, koju predstavlja Komisija, i organizacije iz sektora zrakoplovstva navedene u Prilogu I. jedinstvenom temeljnom aktu; budući da, osim njih, Zajedničko poduzeće ima pridružene članove koji se biraju pozivima na iskaz interesa;</w:t>
      </w:r>
    </w:p>
    <w:p w:rsidR="00153B23" w:rsidRPr="009C554F" w:rsidRDefault="00153B23" w:rsidP="00153B23">
      <w:pPr>
        <w:pStyle w:val="NormalHanging12a"/>
      </w:pPr>
      <w:r w:rsidRPr="009C554F">
        <w:t>D.</w:t>
      </w:r>
      <w:r w:rsidRPr="009C554F">
        <w:tab/>
        <w:t>budući da bi Zajedničko poduzeće, radi povećanja transparentnosti, u svojoj godišnjoj računovodstvenoj dokumentaciji trebalo objavljivati relevantne informacije o doprinosima članova na razini programa; budući da bi Zajedničko poduzeće za svaki program u okviru kojeg djeluje trebalo iznijeti sve relevantne informacije za svaku kategoriju člana zaključno s krajem godine, uključujući zakonske ciljne vrijednosti u pogledu doprinosa utvrđene za predmetni program, iznos primljenih doprinosa i iznos pravnih obveza; budući da bi Zajedničko poduzeće trebalo nastaviti s povećavanjem transparentnosti;</w:t>
      </w:r>
    </w:p>
    <w:p w:rsidR="00153B23" w:rsidRPr="009C554F" w:rsidRDefault="00153B23" w:rsidP="00153B23">
      <w:pPr>
        <w:pStyle w:val="NormalHanging12a"/>
        <w:rPr>
          <w:b/>
          <w:i/>
        </w:rPr>
      </w:pPr>
      <w:r w:rsidRPr="009C554F">
        <w:rPr>
          <w:b/>
          <w:i/>
        </w:rPr>
        <w:lastRenderedPageBreak/>
        <w:t>Upravljanje proračunom i financijama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1.</w:t>
      </w:r>
      <w:r w:rsidRPr="009C554F">
        <w:tab/>
        <w:t>konstatira da prema izvješću Revizorskog suda godišnja računovodstvena dokumentacija Zajedničkog poduzeća za financijsku godinu koja je završila 31. prosinca 2022. u svim značajnim aspektima vjerno prikazuje financijsko stanje Zajedničkog poduzeća na dan 31. prosinca 2022. te rezultate poslovanja, novčane tokove i promjene u neto imovini za godinu završenu tim danom u skladu s Financijskom uredbom Zajedničkog poduzeća i računovodstvenim pravilima koja je donio računovodstveni službenik Komisije; utvrđuje da su transakcije na kojima se temelji računovodstvena dokumentacija zakonite i pravilne u svim značajnim aspektima;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2.</w:t>
      </w:r>
      <w:r w:rsidRPr="009C554F">
        <w:tab/>
        <w:t>pohvaljuje pokretanje programa „Čisto zrakoplovstvo” 2022. i ulogu Zajedničkog poduzeća u razvoju inovativnih tehnologija za smanjenje emisija i buke zrakoplova;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3.</w:t>
      </w:r>
      <w:r w:rsidRPr="009C554F">
        <w:tab/>
        <w:t>prima na znanje da je konačni raspoloživi proračun Zajedničkog poduzeća za 2022. (uključujući ponovno unesena neiskorištena odobrena sredstva iz prethodnih godina, namjenske prihode i preraspodjelu sredstava u sljedeću godinu) obuhvaćao odobrena sredstva za preuzimanje obveza u iznosu od 411,2 milijuna EUR (u usporedbi s 182,6 milijuna EUR u 2021.) i odobrena sredstva za plaćanje u iznosu od 415,3 milijuna EUR (u usporedbi s 189,9 milijuna EUR u 2021.);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4.</w:t>
      </w:r>
      <w:r w:rsidRPr="009C554F">
        <w:tab/>
        <w:t xml:space="preserve">napominje da izmjene u veličini proračuna Zajedničkog poduzeća uvelike ovise o fazi provedbe višegodišnjih programa za istraživanja i inovacije; konstatira da je 2022. Zajedničko poduzeće započelo s provedbom programa Obzor Europa te stoga proračun za 2022. obuhvaća proračun za preuzimanje obveza za prve pozive na podnošenje prijedloga u okviru programa Obzor Europa planirane za 2022. te proračun za plaćanja za povezana plaćanja u okviru </w:t>
      </w:r>
      <w:proofErr w:type="spellStart"/>
      <w:r w:rsidRPr="009C554F">
        <w:t>pretfinanciranja</w:t>
      </w:r>
      <w:proofErr w:type="spellEnd"/>
      <w:r w:rsidRPr="009C554F">
        <w:t>;</w:t>
      </w:r>
    </w:p>
    <w:p w:rsidR="00153B23" w:rsidRPr="009C554F" w:rsidRDefault="00153B23" w:rsidP="00153B23">
      <w:pPr>
        <w:pStyle w:val="NormalHanging12a"/>
      </w:pPr>
      <w:r w:rsidRPr="009C554F">
        <w:t>5.</w:t>
      </w:r>
      <w:r w:rsidRPr="009C554F">
        <w:tab/>
        <w:t>konstatira da u njegovoj godišnjoj računovodstvenoj dokumentaciji za 2022. postoje znatne razlike u iznosima doprinosa priznatih po kategoriji člana (Unija i privatni članovi); primjećuje da je tomu uzrok činjenica da se novčani doprinosi Unije potvrđuju i priznaju pri njihovu plaćanju Zajedničkom poduzeću na početku provedbe projekta, dok se doprinosi u naravi članova priznaju tek nakon potvrde nastalih i prijavljenih troškova provedbe projekta; poziva Zajedničko poduzeće da riješi pitanje razlike između priznatog iznosa novčanih doprinosa s jedne te doprinosa u naravi s druge strane iznošenjem informacija o pravnim obvezama Zajedničkog poduzeća na kraju godine; pozdravlja predanost Zajedničkog poduzeća potpunom rješavanju tog pitanja u godišnjim financijskim izvještajima za sljedeću godinu;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6.</w:t>
      </w:r>
      <w:r w:rsidRPr="009C554F">
        <w:tab/>
        <w:t>napominje, u pogledu programa Obzor 2020., da je Zajedničko poduzeće na kraju 2022. u potpunosti preuzelo obveze za najveći operativni doprinos Unije u iznosu od 1 716 milijuna EUR za potpisane sporazume o dodjeli bespovratnih sredstava u okviru tog programa te da od tog iznosa preuzetih obveza oko 70,1 milijuna EUR (ili 4,1 %) tek treba platiti u narednim godinama za projekte koji još nisu dovršeni; usto primjećuje da su se privatni članovi pravno obvezali da će osigurati doprinose u naravi za operativne aktivnosti Zajedničkog poduzeća u iznosu od 968,3 milijuna EUR te doprinose u naravi za dodatne aktivnosti u iznosu od 1 223,1 milijuna EUR, odnosno 101,6 % minimalne ciljne vrijednosti koja iznosi 2 154,9 milijuna EUR; konstatira, nadalje, da su iznosi tih odobrenih obveza krajem 2022. bili u potpunosti prijavljeni;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lastRenderedPageBreak/>
        <w:t>7.</w:t>
      </w:r>
      <w:r w:rsidRPr="009C554F">
        <w:tab/>
        <w:t>konstatira da, kad je riječ o aktivnostima u okviru programa Obzor 2020., Zajedničko poduzeće nije primilo nova operativna odobrena sredstva za preuzimanje obveza jer je svoje posljednje pozive na podnošenje prijedloga zaključilo do kraja 2020.; prima na znanje da je stopa izvršenja operativnih odobrenih sredstava za plaćanje iznosila 78 % (u usporedbi s 2021.: 83 %);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8.</w:t>
      </w:r>
      <w:r w:rsidRPr="009C554F">
        <w:tab/>
        <w:t>napominje da su za znatan broj tekućih projekata u okviru programa Obzor 2020. tehničke aktivnosti odgođene ili smanjene zbog bolesti COVID-19 i agresivnog rata protiv Ukrajine te da su se zbog toga ti projekti morali izmijeniti ili produljiti, a završna plaćanja odgoditi za 2023.;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9.</w:t>
      </w:r>
      <w:r w:rsidRPr="009C554F">
        <w:tab/>
        <w:t xml:space="preserve">primjećuje da je, kad je riječ o programu Obzor Europa, Komisija tijekom 2022. uplatila novčane doprinose u iznosu od 178 milijuna EUR, od čega je Zajedničko poduzeće gotovo u cijelosti iskoristilo operativni doprinos od 176 milijuna EUR za plaćanja </w:t>
      </w:r>
      <w:proofErr w:type="spellStart"/>
      <w:r w:rsidRPr="009C554F">
        <w:t>pretfinanciranja</w:t>
      </w:r>
      <w:proofErr w:type="spellEnd"/>
      <w:r w:rsidRPr="009C554F">
        <w:t xml:space="preserve"> povezana s prvim sporazumima o dodjeli bespovratnih sredstava sklopljenima u okviru tog programa;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10.</w:t>
      </w:r>
      <w:r w:rsidRPr="009C554F">
        <w:tab/>
        <w:t>primjećuje da je krajem 2022. stopa izvršenja proračuna Zajedničkog poduzeća za administrativna plaćanja (glava II.) bila niska te je iznosila 54 %; konstatira da je prema izvješću Zajedničkog poduzeća o proračunskom i financijskom upravljanju to uglavnom bila posljedica IT i komunikacijskih usluga koje su pružene tijekom posljednjeg tromjesečja 2022. i trebale biti plaćene 2023. te smanjenih troškova usluga koje pruža Komisija;</w:t>
      </w:r>
    </w:p>
    <w:p w:rsidR="00153B23" w:rsidRPr="009C554F" w:rsidRDefault="00153B23" w:rsidP="00153B23">
      <w:pPr>
        <w:spacing w:after="240"/>
        <w:ind w:left="567" w:hanging="567"/>
        <w:rPr>
          <w:b/>
          <w:i/>
        </w:rPr>
      </w:pPr>
      <w:r w:rsidRPr="009C554F">
        <w:rPr>
          <w:b/>
          <w:i/>
        </w:rPr>
        <w:t>Nabava i osoblje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11.</w:t>
      </w:r>
      <w:r w:rsidRPr="009C554F">
        <w:tab/>
        <w:t xml:space="preserve">prima na znanje iz konsolidiranog godišnjeg izvješća o radu Zajedničkog poduzeća za 2022. da je Zajedničko poduzeće 2022. objavilo dva otvorena postupka javne nabave, od kojih je prvi pokrenut radi pokrivanja vlastitih potreba, a drugi je pokrenut u ime šest zajedničkih poduzeća kao </w:t>
      </w:r>
      <w:proofErr w:type="spellStart"/>
      <w:r w:rsidRPr="009C554F">
        <w:t>međuinstitucijski</w:t>
      </w:r>
      <w:proofErr w:type="spellEnd"/>
      <w:r w:rsidRPr="009C554F">
        <w:t xml:space="preserve"> poziv na podnošenje ponuda (upravljane IT usluge); osim toga, napominje da je početkom 2022. Zajedničko poduzeće dodijelilo i potpisalo jedanaest </w:t>
      </w:r>
      <w:proofErr w:type="spellStart"/>
      <w:r w:rsidRPr="009C554F">
        <w:t>međuinstitucijskih</w:t>
      </w:r>
      <w:proofErr w:type="spellEnd"/>
      <w:r w:rsidRPr="009C554F">
        <w:t xml:space="preserve"> okvirnih ugovora o uslugama u području komunikacija koji su rezultat </w:t>
      </w:r>
      <w:proofErr w:type="spellStart"/>
      <w:r w:rsidRPr="009C554F">
        <w:t>međuinstitucijskog</w:t>
      </w:r>
      <w:proofErr w:type="spellEnd"/>
      <w:r w:rsidRPr="009C554F">
        <w:t xml:space="preserve"> otvorenog postupka javne nabave pokrenutog 2021. u ime triju zajedničkih poduzeća;</w:t>
      </w:r>
    </w:p>
    <w:p w:rsidR="00153B23" w:rsidRPr="009C554F" w:rsidRDefault="00153B23" w:rsidP="00153B23">
      <w:pPr>
        <w:pStyle w:val="NormalHanging12a"/>
      </w:pPr>
      <w:r w:rsidRPr="009C554F">
        <w:t>12.</w:t>
      </w:r>
      <w:r w:rsidRPr="009C554F">
        <w:tab/>
        <w:t xml:space="preserve">pozdravlja prvi otvoreni poziv Zajedničkog poduzeća na podnošenje prijedloga, koji je do kraja godine rezultirao s 19 sporazuma o dodjeli bespovratnih sredstava u ukupnom iznosu od 654 milijuna EUR za tri osnovna područja: hibridni regionalni zrakoplovi na električni pogon, zrakoplovi na vodik i </w:t>
      </w:r>
      <w:proofErr w:type="spellStart"/>
      <w:r w:rsidRPr="009C554F">
        <w:t>ultraučinkoviti</w:t>
      </w:r>
      <w:proofErr w:type="spellEnd"/>
      <w:r w:rsidRPr="009C554F">
        <w:t xml:space="preserve"> zrakoplovi za kratke i srednje relacije; poziv sadržava 14 tema koje obuhvaćaju 13 inovacijskih aktivnosti i jednu mjeru za potporu koordinaciji; ukupno su odabrana 244 sudionika iz 24 različite zemlje;</w:t>
      </w:r>
    </w:p>
    <w:p w:rsidR="00153B23" w:rsidRPr="009C554F" w:rsidRDefault="00153B23" w:rsidP="00153B23">
      <w:pPr>
        <w:pStyle w:val="NormalHanging12a"/>
      </w:pPr>
      <w:r w:rsidRPr="009C554F">
        <w:t>13.</w:t>
      </w:r>
      <w:r w:rsidRPr="009C554F">
        <w:tab/>
        <w:t>pozdravlja 20 projekata za usmjeravanje zrakoplovstva prema održivoj budućnosti; konstatira da je pozivom na podnošenje prijedloga okupljen širok raspon javnih i privatnih partnera, istraživačkih centara i akademske zajednice kako bi se pronašla učinkovita rješenja kojima se mogu osigurati održivi zrakoplovi i klimatski neutralna budućnost zrakoplovstva uz proračunsku potporu od 654 milijuna EUR u bespovratnim sredstvima Unije;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14.</w:t>
      </w:r>
      <w:r w:rsidRPr="009C554F">
        <w:tab/>
        <w:t xml:space="preserve">konstatira da je plan radnih mjesta Zajedničkog poduzeća za 2022. sadržavao ukupno 44 radna mjesta statutarnog osoblja (privremeno osoblje, ugovorno osoblje i upućeni </w:t>
      </w:r>
      <w:r w:rsidRPr="009C554F">
        <w:lastRenderedPageBreak/>
        <w:t>nacionalni stručnjaci), pri čemu je na kraju 2022. bilo popunjeno 40 radnih mjesta; napominje da dva radna mjesta upućenih nacionalnih stručnjaka nisu popunjena jer se u planu radnih mjesta za 2023. predviđa samo 41 radno mjesto i nijedan upućeni nacionalni stručnjak;</w:t>
      </w:r>
    </w:p>
    <w:p w:rsidR="00153B23" w:rsidRPr="009C554F" w:rsidRDefault="00153B23" w:rsidP="00153B23">
      <w:pPr>
        <w:spacing w:after="240"/>
        <w:ind w:left="567" w:hanging="567"/>
        <w:rPr>
          <w:b/>
          <w:i/>
        </w:rPr>
      </w:pPr>
      <w:r w:rsidRPr="009C554F">
        <w:rPr>
          <w:b/>
          <w:i/>
        </w:rPr>
        <w:t>Sustavi upravljanja i kontrole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15.</w:t>
      </w:r>
      <w:r w:rsidRPr="009C554F">
        <w:tab/>
        <w:t xml:space="preserve">napominje da je, kad je riječ o rashodima u okviru programa Obzor 2020. i Obzor Europa, </w:t>
      </w:r>
      <w:r w:rsidRPr="009C554F">
        <w:rPr>
          <w:i/>
          <w:iCs/>
        </w:rPr>
        <w:t>ex post</w:t>
      </w:r>
      <w:r w:rsidRPr="009C554F">
        <w:t xml:space="preserve"> revizije provela Zajednička služba za reviziju koja djeluje u sklopu Komisijine Glavne uprave Komisije za istraživanje i inovacije (DG RTD); napominje da je Zajedničko poduzeće za rashode u okviru programa Obzor 2020. (poravnanje i završna plaćanja) prijavilo reprezentativnu stopu pogreške od 1,6 % i stopu preostale pogreške od 0,4 %</w:t>
      </w:r>
      <w:r w:rsidRPr="009C554F">
        <w:rPr>
          <w:rStyle w:val="FootnoteReference"/>
        </w:rPr>
        <w:footnoteReference w:id="14"/>
      </w:r>
      <w:r w:rsidRPr="009C554F">
        <w:t xml:space="preserve"> te da za program Obzor Europa</w:t>
      </w:r>
      <w:r w:rsidRPr="009C554F">
        <w:rPr>
          <w:i/>
          <w:iCs/>
        </w:rPr>
        <w:t xml:space="preserve"> ex post</w:t>
      </w:r>
      <w:r w:rsidRPr="009C554F">
        <w:t xml:space="preserve"> revizije tek treba provesti jer se prva </w:t>
      </w:r>
      <w:proofErr w:type="spellStart"/>
      <w:r w:rsidRPr="009C554F">
        <w:t>međuplaćanja</w:t>
      </w:r>
      <w:proofErr w:type="spellEnd"/>
      <w:r w:rsidRPr="009C554F">
        <w:t xml:space="preserve"> očekuju tek 2024.;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16.</w:t>
      </w:r>
      <w:r w:rsidRPr="009C554F">
        <w:tab/>
        <w:t>napominje da je Revizorski sud radi procjene kontrola Zajedničkog poduzeća u pogledu operativnih plaćanja proveo reviziju nasumično odabranih plaćanja u okviru programa Obzor 2020. izvršenih 2022. na razini krajnjih korisnika</w:t>
      </w:r>
      <w:r w:rsidRPr="009C554F">
        <w:rPr>
          <w:rStyle w:val="FootnoteReference"/>
        </w:rPr>
        <w:footnoteReference w:id="15"/>
      </w:r>
      <w:r w:rsidRPr="009C554F">
        <w:t>; napominje da je u jednom slučaju Revizorski sud utvrdio i kvantificirao ozbiljnu pogrešku koja je bila rezultat potraživanja prekomjernih troškova za osoblje jer je korisnik podnio prijavu troškova na temelju troškova za osoblje predviđenih proračunom;</w:t>
      </w:r>
    </w:p>
    <w:p w:rsidR="00153B23" w:rsidRPr="009C554F" w:rsidRDefault="00153B23" w:rsidP="00153B23">
      <w:pPr>
        <w:pStyle w:val="NormalHanging12a"/>
      </w:pPr>
      <w:r w:rsidRPr="009C554F">
        <w:t>17.</w:t>
      </w:r>
      <w:r w:rsidRPr="009C554F">
        <w:tab/>
        <w:t xml:space="preserve">pozdravlja činjenicu da je Zajedničko poduzeće do kraja 2022. osmislilo i primijenilo cjelovit pristup </w:t>
      </w:r>
      <w:r w:rsidRPr="009C554F">
        <w:rPr>
          <w:i/>
          <w:iCs/>
        </w:rPr>
        <w:t>ex </w:t>
      </w:r>
      <w:proofErr w:type="spellStart"/>
      <w:r w:rsidRPr="009C554F">
        <w:rPr>
          <w:i/>
          <w:iCs/>
        </w:rPr>
        <w:t>ante</w:t>
      </w:r>
      <w:proofErr w:type="spellEnd"/>
      <w:r w:rsidRPr="009C554F">
        <w:t xml:space="preserve"> kontrolama koji se temelji na riziku i koji je u skladu sa smjernicama Zajedničkog centra za provedbu koji djeluje u sklopu Glavne uprave Komisije za istraživanje i inovacije, uzimajući u obzir rizične okolnosti specifične za Zajedničko poduzeće; napominje da je Zajedničko poduzeće u tu svrhu utvrdilo najrelevantnije kriterije rizika i na temelju njih osmislilo pristup praćenju koji se temelji na riziku; primjećuje da mu je takav pristup omogućio da procijeni razinu rizika svakog projekta i korisnika tijekom glavnih faza provedbe projekta, kao što su priprema sporazuma o dodjeli bespovratnih sredstava, izmjena tog sporazuma, izvješćivanje i plaćanje; u tom pogledu napominje da je Zajedničko poduzeće izradilo i interne smjernice o svojem pristupu koji se temelji na riziku te je obučilo i usmjeravalo svoje osoblje u vezi s njegovom pravilnom i dosljednom primjenom;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18.</w:t>
      </w:r>
      <w:r w:rsidRPr="009C554F">
        <w:tab/>
        <w:t>primjećuje da je detaljna analiza uzorka slučajeva pojačanog praćenja u Zajedničkom poduzeću koju je proveo Revizorski sud otkrila nekoliko nedostataka zbog kojih je onemogućeno njihovo djelotvorno i učinkovito praćenje; napominje da oznaka pojačanog praćenja nakon isteka utvrđenog roka nije obnovljena ni zatvorena te da službenik nije ponovno procijenio razinu rizika nakon provedbe kontrolnih mjera;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19.</w:t>
      </w:r>
      <w:r w:rsidRPr="009C554F">
        <w:tab/>
        <w:t>slaže se s Revizorskim sudom da bi Zajedničko poduzeće trebalo zajamčiti da se uz sve pojačane mjere praćenja provode i posebne kontrolne mjere usmjerene na utvrđene rizike te da se daljnji koraci u vezi s njima obavljaju u unaprijed utvrđenom roku;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lastRenderedPageBreak/>
        <w:t>20.</w:t>
      </w:r>
      <w:r w:rsidRPr="009C554F">
        <w:tab/>
        <w:t>naglašava, kao što je to učinio i Revizorski sud, da je u okviru programa Obzor Europa postalo još važnije da zajednička poduzeća primjenjuju svoj poseban pristup upravljanju bespovratnim sredstvima koji se temelji na riziku;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21.</w:t>
      </w:r>
      <w:r w:rsidRPr="009C554F">
        <w:tab/>
        <w:t>ističe da u strukturi korisnika i/ili projekata Zajedničkog poduzeća dolazi do znatnih promjena u okviru programa Obzor Europa, kao što su povećan broj malih i srednjih poduzeća (MSP-ova), novih korisnika i većih konzorcija te zahtjev da se za aktivnosti u okviru programa Obzor Europa primjenjuju samo otvoreni postupci javne nabave, zbog čega čimbenici rizika utvrđeni u prethodnim programima možda više nisu relevantni te se mogu pojaviti novi čimbenici rizika;</w:t>
      </w:r>
    </w:p>
    <w:p w:rsidR="00153B23" w:rsidRPr="009C554F" w:rsidRDefault="00153B23" w:rsidP="00153B23">
      <w:pPr>
        <w:pStyle w:val="NormalHanging12a"/>
      </w:pPr>
      <w:r w:rsidRPr="009C554F">
        <w:t>22.</w:t>
      </w:r>
      <w:r w:rsidRPr="009C554F">
        <w:tab/>
        <w:t>pozdravlja činjenicu da je u rujnu 2022. Čisto zrakoplovstvo postalo osnivač Saveza za zrakoplovstvo s nultom stopom emisija (AZEA), koji okuplja javne i privatne dionike iz cijelog zrakoplovnog sektora kako bi se poduprlo uvođenje zrakoplova s pogonom na vodik i električnih zrakoplova;</w:t>
      </w:r>
    </w:p>
    <w:p w:rsidR="00153B23" w:rsidRPr="009C554F" w:rsidRDefault="00153B23" w:rsidP="008D7904">
      <w:pPr>
        <w:pStyle w:val="NormalHanging12a"/>
      </w:pPr>
      <w:r w:rsidRPr="009C554F">
        <w:t>23.</w:t>
      </w:r>
      <w:r w:rsidRPr="009C554F">
        <w:tab/>
        <w:t>prima na znanje da program „</w:t>
      </w:r>
      <w:proofErr w:type="spellStart"/>
      <w:r w:rsidRPr="009C554F">
        <w:t>Clean</w:t>
      </w:r>
      <w:proofErr w:type="spellEnd"/>
      <w:r w:rsidRPr="009C554F">
        <w:t xml:space="preserve"> </w:t>
      </w:r>
      <w:proofErr w:type="spellStart"/>
      <w:r w:rsidRPr="009C554F">
        <w:t>Sky</w:t>
      </w:r>
      <w:proofErr w:type="spellEnd"/>
      <w:r w:rsidRPr="009C554F">
        <w:t xml:space="preserve"> 2” prelazi u fazu rezultata i svjestan je da je radno opterećenje 2022. bilo povećano zbog istodobnog vođenja nekoliko projekata u okviru programa „</w:t>
      </w:r>
      <w:proofErr w:type="spellStart"/>
      <w:r w:rsidRPr="009C554F">
        <w:t>Clean</w:t>
      </w:r>
      <w:proofErr w:type="spellEnd"/>
      <w:r w:rsidRPr="009C554F">
        <w:t xml:space="preserve"> </w:t>
      </w:r>
      <w:proofErr w:type="spellStart"/>
      <w:r w:rsidRPr="009C554F">
        <w:t>Sky</w:t>
      </w:r>
      <w:proofErr w:type="spellEnd"/>
      <w:r w:rsidRPr="009C554F">
        <w:t xml:space="preserve"> 2” i pokretanja programa „Čisto zrakoplovstvo”;</w:t>
      </w:r>
    </w:p>
    <w:p w:rsidR="00153B23" w:rsidRPr="009C554F" w:rsidRDefault="00153B23" w:rsidP="008D7904">
      <w:pPr>
        <w:pStyle w:val="NormalHanging12a"/>
      </w:pPr>
      <w:r w:rsidRPr="009C554F">
        <w:t>24.</w:t>
      </w:r>
      <w:r w:rsidRPr="009C554F">
        <w:tab/>
        <w:t>prima na znanje neovisnu studiju prema kojoj procijenjena socioekonomska korist programa „</w:t>
      </w:r>
      <w:proofErr w:type="spellStart"/>
      <w:r w:rsidRPr="009C554F">
        <w:t>Clean</w:t>
      </w:r>
      <w:proofErr w:type="spellEnd"/>
      <w:r w:rsidRPr="009C554F">
        <w:t xml:space="preserve"> </w:t>
      </w:r>
      <w:proofErr w:type="spellStart"/>
      <w:r w:rsidRPr="009C554F">
        <w:t>Sky</w:t>
      </w:r>
      <w:proofErr w:type="spellEnd"/>
      <w:r w:rsidRPr="009C554F">
        <w:t xml:space="preserve"> 2” za Europu iznosi 8,6 milijardi EUR; ističe da je prema zaključcima te studije strateški program za istraživanja i inovacije u okviru programa „Čisto zrakoplovstvo” istodobno „otporan” i „primjeren svrsi”; ističe da bi navedeno vrijedilo čak i u širokom rasponu mogućih gospodarskih scenarija, potencijalnih kretanja i strukturnih promjena u zrakoplovnom sustavu;</w:t>
      </w:r>
    </w:p>
    <w:p w:rsidR="00153B23" w:rsidRPr="009C554F" w:rsidRDefault="00153B23" w:rsidP="00153B23">
      <w:pPr>
        <w:pStyle w:val="NormalHanging12a"/>
      </w:pPr>
      <w:r w:rsidRPr="009C554F">
        <w:t>25.</w:t>
      </w:r>
      <w:r w:rsidRPr="009C554F">
        <w:tab/>
        <w:t>poziva na širenje i poticanje integracije istraživačkih i inovacijskih vrijednosnih lanaca u području klimatski neutralnog zračnog prometa, uključujući akademsku zajednicu, istraživačke organizacije, industriju i MSP-ove, na način da se iskoriste sinergije s nacionalnim i europskim programima te olakša prihvaćanje vještina povezanih s industrijom duž cijelog lanca vrijednosti;</w:t>
      </w:r>
    </w:p>
    <w:p w:rsidR="00153B23" w:rsidRPr="009C554F" w:rsidRDefault="00153B23" w:rsidP="00153B23">
      <w:pPr>
        <w:spacing w:after="240"/>
        <w:ind w:left="567" w:hanging="567"/>
        <w:rPr>
          <w:b/>
          <w:i/>
        </w:rPr>
      </w:pPr>
      <w:r w:rsidRPr="009C554F">
        <w:rPr>
          <w:b/>
          <w:i/>
        </w:rPr>
        <w:t>Praćenje mjera poduzetih u pogledu primjedbi iz prijašnjih godina</w:t>
      </w:r>
    </w:p>
    <w:p w:rsidR="00153B23" w:rsidRPr="009C554F" w:rsidRDefault="00153B23" w:rsidP="00153B23">
      <w:pPr>
        <w:spacing w:after="240"/>
        <w:ind w:left="567" w:hanging="567"/>
      </w:pPr>
      <w:r w:rsidRPr="009C554F">
        <w:t>26.</w:t>
      </w:r>
      <w:r w:rsidRPr="009C554F">
        <w:tab/>
        <w:t>konstatira da su „primjedbe” u godišnjim izvješćima za zajednička poduzeća zapravo „preporuke Revizorskog suda bez vremenskih rokova”; napominje da Revizorski sud svake godine prati mjere poduzete u vezi s tim primjedbama i njihov status ocjenjuje ocjenom „otvorena” ili „zaključena” primjedba;</w:t>
      </w:r>
    </w:p>
    <w:p w:rsidR="00153B23" w:rsidRPr="009C554F" w:rsidRDefault="00153B23" w:rsidP="009C554F">
      <w:pPr>
        <w:spacing w:after="240"/>
        <w:ind w:left="567" w:hanging="567"/>
      </w:pPr>
      <w:r w:rsidRPr="009C554F">
        <w:t>27.</w:t>
      </w:r>
      <w:r w:rsidRPr="009C554F">
        <w:tab/>
        <w:t>napominje da su od triju primjedbi Revizorskog suda (jedna 2020. i dvije 2022.) dvije zaključene: primjećuje da se otvorena primjedba odnosi na zapošljavanje vanjskih djelatnika, što Zajedničko poduzeće opravdava ograničenjima u planu radnih mjesta stalnih zaposlenika i radnim opterećenjem koje je bilo posljedica paralelne provedbe programa Obzor 2020. i Obzor Europa.</w:t>
      </w:r>
    </w:p>
    <w:sectPr w:rsidR="00153B23" w:rsidRPr="009C554F" w:rsidSect="00835F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152" w:rsidRPr="00835F25" w:rsidRDefault="00692152">
      <w:r w:rsidRPr="00835F25">
        <w:separator/>
      </w:r>
    </w:p>
  </w:endnote>
  <w:endnote w:type="continuationSeparator" w:id="0">
    <w:p w:rsidR="00692152" w:rsidRPr="00835F25" w:rsidRDefault="00692152">
      <w:r w:rsidRPr="00835F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B23" w:rsidRPr="00835F25" w:rsidRDefault="00153B23" w:rsidP="00F330C4">
    <w:pPr>
      <w:pStyle w:val="EPFooter"/>
    </w:pPr>
    <w:r w:rsidRPr="00835F25">
      <w:t>PE</w:t>
    </w:r>
    <w:r w:rsidRPr="00835F25">
      <w:rPr>
        <w:rStyle w:val="HideTWBExt"/>
      </w:rPr>
      <w:t>&lt;</w:t>
    </w:r>
    <w:proofErr w:type="spellStart"/>
    <w:r w:rsidRPr="00835F25">
      <w:rPr>
        <w:rStyle w:val="HideTWBExt"/>
      </w:rPr>
      <w:t>NoPE</w:t>
    </w:r>
    <w:proofErr w:type="spellEnd"/>
    <w:r w:rsidRPr="00835F25">
      <w:rPr>
        <w:rStyle w:val="HideTWBExt"/>
      </w:rPr>
      <w:t>&gt;</w:t>
    </w:r>
    <w:r w:rsidRPr="00835F25">
      <w:t>753.485</w:t>
    </w:r>
    <w:r w:rsidRPr="00835F25">
      <w:rPr>
        <w:rStyle w:val="HideTWBExt"/>
      </w:rPr>
      <w:t>&lt;/</w:t>
    </w:r>
    <w:proofErr w:type="spellStart"/>
    <w:r w:rsidRPr="00835F25">
      <w:rPr>
        <w:rStyle w:val="HideTWBExt"/>
      </w:rPr>
      <w:t>NoPE</w:t>
    </w:r>
    <w:proofErr w:type="spellEnd"/>
    <w:r w:rsidRPr="00835F25">
      <w:rPr>
        <w:rStyle w:val="HideTWBExt"/>
      </w:rPr>
      <w:t>&gt;&lt;Version&gt;</w:t>
    </w:r>
    <w:r w:rsidRPr="00835F25">
      <w:t>v02-00</w:t>
    </w:r>
    <w:r w:rsidRPr="00835F25">
      <w:rPr>
        <w:rStyle w:val="HideTWBExt"/>
      </w:rPr>
      <w:t>&lt;/</w:t>
    </w:r>
    <w:proofErr w:type="spellStart"/>
    <w:r w:rsidRPr="00835F25">
      <w:rPr>
        <w:rStyle w:val="HideTWBExt"/>
      </w:rPr>
      <w:t>Version</w:t>
    </w:r>
    <w:proofErr w:type="spellEnd"/>
    <w:r w:rsidRPr="00835F25">
      <w:rPr>
        <w:rStyle w:val="HideTWBExt"/>
      </w:rPr>
      <w:t>&gt;</w:t>
    </w:r>
    <w:r w:rsidRPr="00835F25">
      <w:tab/>
    </w:r>
    <w:r w:rsidRPr="00835F25">
      <w:fldChar w:fldCharType="begin"/>
    </w:r>
    <w:r w:rsidRPr="00835F25">
      <w:instrText xml:space="preserve"> PAGE  \* MERGEFORMAT </w:instrText>
    </w:r>
    <w:r w:rsidRPr="00835F25">
      <w:fldChar w:fldCharType="separate"/>
    </w:r>
    <w:r w:rsidR="00835F25" w:rsidRPr="00835F25">
      <w:rPr>
        <w:noProof/>
      </w:rPr>
      <w:t>2</w:t>
    </w:r>
    <w:r w:rsidRPr="00835F25">
      <w:fldChar w:fldCharType="end"/>
    </w:r>
    <w:r w:rsidRPr="00835F25">
      <w:t>/</w:t>
    </w:r>
    <w:fldSimple w:instr=" NUMPAGES  \* MERGEFORMAT ">
      <w:r w:rsidR="00835F25" w:rsidRPr="00835F25">
        <w:rPr>
          <w:noProof/>
        </w:rPr>
        <w:t>4</w:t>
      </w:r>
    </w:fldSimple>
    <w:r w:rsidRPr="00835F25">
      <w:tab/>
    </w:r>
    <w:r w:rsidRPr="00835F25">
      <w:rPr>
        <w:rStyle w:val="HideTWBExt"/>
      </w:rPr>
      <w:t>&lt;PathFdR&gt;</w:t>
    </w:r>
    <w:r w:rsidRPr="00835F25">
      <w:t>RR\1298708HR.docx</w:t>
    </w:r>
    <w:r w:rsidRPr="00835F25">
      <w:rPr>
        <w:rStyle w:val="HideTWBExt"/>
      </w:rPr>
      <w:t>&lt;/</w:t>
    </w:r>
    <w:proofErr w:type="spellStart"/>
    <w:r w:rsidRPr="00835F25">
      <w:rPr>
        <w:rStyle w:val="HideTWBExt"/>
      </w:rPr>
      <w:t>PathFdR</w:t>
    </w:r>
    <w:proofErr w:type="spellEnd"/>
    <w:r w:rsidRPr="00835F25">
      <w:rPr>
        <w:rStyle w:val="HideTWBExt"/>
      </w:rPr>
      <w:t>&gt;</w:t>
    </w:r>
  </w:p>
  <w:p w:rsidR="00153B23" w:rsidRPr="00835F25" w:rsidRDefault="00153B23" w:rsidP="00F330C4">
    <w:pPr>
      <w:pStyle w:val="EPFooter2"/>
    </w:pPr>
    <w:r w:rsidRPr="00835F25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B23" w:rsidRPr="00835F25" w:rsidRDefault="00153B23" w:rsidP="00F330C4">
    <w:pPr>
      <w:pStyle w:val="EPFooter"/>
    </w:pPr>
    <w:r w:rsidRPr="00835F25">
      <w:rPr>
        <w:rStyle w:val="HideTWBExt"/>
      </w:rPr>
      <w:t>&lt;PathFdR&gt;</w:t>
    </w:r>
    <w:r w:rsidRPr="00835F25">
      <w:t>RR\1298708HR.docx</w:t>
    </w:r>
    <w:r w:rsidRPr="00835F25">
      <w:rPr>
        <w:rStyle w:val="HideTWBExt"/>
      </w:rPr>
      <w:t>&lt;/</w:t>
    </w:r>
    <w:proofErr w:type="spellStart"/>
    <w:r w:rsidRPr="00835F25">
      <w:rPr>
        <w:rStyle w:val="HideTWBExt"/>
      </w:rPr>
      <w:t>PathFdR</w:t>
    </w:r>
    <w:proofErr w:type="spellEnd"/>
    <w:r w:rsidRPr="00835F25">
      <w:rPr>
        <w:rStyle w:val="HideTWBExt"/>
      </w:rPr>
      <w:t>&gt;</w:t>
    </w:r>
    <w:r w:rsidRPr="00835F25">
      <w:tab/>
    </w:r>
    <w:r w:rsidRPr="00835F25">
      <w:tab/>
      <w:t>PE</w:t>
    </w:r>
    <w:r w:rsidRPr="00835F25">
      <w:rPr>
        <w:rStyle w:val="HideTWBExt"/>
      </w:rPr>
      <w:t>&lt;</w:t>
    </w:r>
    <w:proofErr w:type="spellStart"/>
    <w:r w:rsidRPr="00835F25">
      <w:rPr>
        <w:rStyle w:val="HideTWBExt"/>
      </w:rPr>
      <w:t>NoPE</w:t>
    </w:r>
    <w:proofErr w:type="spellEnd"/>
    <w:r w:rsidRPr="00835F25">
      <w:rPr>
        <w:rStyle w:val="HideTWBExt"/>
      </w:rPr>
      <w:t>&gt;</w:t>
    </w:r>
    <w:r w:rsidRPr="00835F25">
      <w:t>753.485</w:t>
    </w:r>
    <w:r w:rsidRPr="00835F25">
      <w:rPr>
        <w:rStyle w:val="HideTWBExt"/>
      </w:rPr>
      <w:t>&lt;/</w:t>
    </w:r>
    <w:proofErr w:type="spellStart"/>
    <w:r w:rsidRPr="00835F25">
      <w:rPr>
        <w:rStyle w:val="HideTWBExt"/>
      </w:rPr>
      <w:t>NoPE</w:t>
    </w:r>
    <w:proofErr w:type="spellEnd"/>
    <w:r w:rsidRPr="00835F25">
      <w:rPr>
        <w:rStyle w:val="HideTWBExt"/>
      </w:rPr>
      <w:t>&gt;&lt;Version&gt;</w:t>
    </w:r>
    <w:r w:rsidRPr="00835F25">
      <w:t>v02-00</w:t>
    </w:r>
    <w:r w:rsidRPr="00835F25">
      <w:rPr>
        <w:rStyle w:val="HideTWBExt"/>
      </w:rPr>
      <w:t>&lt;/</w:t>
    </w:r>
    <w:proofErr w:type="spellStart"/>
    <w:r w:rsidRPr="00835F25">
      <w:rPr>
        <w:rStyle w:val="HideTWBExt"/>
      </w:rPr>
      <w:t>Version</w:t>
    </w:r>
    <w:proofErr w:type="spellEnd"/>
    <w:r w:rsidRPr="00835F25">
      <w:rPr>
        <w:rStyle w:val="HideTWBExt"/>
      </w:rPr>
      <w:t>&gt;</w:t>
    </w:r>
  </w:p>
  <w:p w:rsidR="00153B23" w:rsidRPr="00835F25" w:rsidRDefault="00153B23" w:rsidP="00F330C4">
    <w:pPr>
      <w:pStyle w:val="EPFooter2"/>
    </w:pPr>
    <w:r w:rsidRPr="00835F25">
      <w:t>HR</w:t>
    </w:r>
    <w:r w:rsidRPr="00835F25">
      <w:tab/>
    </w:r>
    <w:r w:rsidRPr="00835F25">
      <w:rPr>
        <w:b w:val="0"/>
        <w:i/>
        <w:color w:val="C0C0C0"/>
        <w:sz w:val="22"/>
      </w:rPr>
      <w:t>Ujedinjena u raznolikosti</w:t>
    </w:r>
    <w:r w:rsidRPr="00835F25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F2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F2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F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152" w:rsidRPr="00835F25" w:rsidRDefault="00692152">
      <w:r w:rsidRPr="00835F25">
        <w:separator/>
      </w:r>
    </w:p>
  </w:footnote>
  <w:footnote w:type="continuationSeparator" w:id="0">
    <w:p w:rsidR="00692152" w:rsidRPr="00835F25" w:rsidRDefault="00692152">
      <w:r w:rsidRPr="00835F25">
        <w:continuationSeparator/>
      </w:r>
    </w:p>
  </w:footnote>
  <w:footnote w:id="1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C</w:t>
      </w:r>
      <w:r w:rsidR="002536BC">
        <w:rPr>
          <w:sz w:val="24"/>
          <w:lang w:val="hr-HR"/>
        </w:rPr>
        <w:t>,</w:t>
      </w:r>
      <w:r w:rsidRPr="00835F25">
        <w:rPr>
          <w:sz w:val="24"/>
          <w:lang w:val="hr-HR"/>
        </w:rPr>
        <w:t xml:space="preserve"> C/2023/1025, 16.11.2023.</w:t>
      </w:r>
    </w:p>
  </w:footnote>
  <w:footnote w:id="2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 xml:space="preserve">SL </w:t>
      </w:r>
      <w:r w:rsidRPr="00835F25">
        <w:rPr>
          <w:sz w:val="24"/>
          <w:lang w:val="hr-HR"/>
        </w:rPr>
        <w:t>C</w:t>
      </w:r>
      <w:r w:rsidR="002536BC">
        <w:rPr>
          <w:sz w:val="24"/>
          <w:lang w:val="hr-HR"/>
        </w:rPr>
        <w:t>,</w:t>
      </w:r>
      <w:bookmarkStart w:id="8" w:name="_GoBack"/>
      <w:bookmarkEnd w:id="8"/>
      <w:r w:rsidRPr="00835F25">
        <w:rPr>
          <w:sz w:val="24"/>
          <w:lang w:val="hr-HR"/>
        </w:rPr>
        <w:t xml:space="preserve"> C/2023/112, 12.10.2023.</w:t>
      </w:r>
    </w:p>
  </w:footnote>
  <w:footnote w:id="3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L 193, 30.7.2018., str. 1.</w:t>
      </w:r>
    </w:p>
  </w:footnote>
  <w:footnote w:id="4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L 427, 30.11.2021., str. 17.</w:t>
      </w:r>
    </w:p>
  </w:footnote>
  <w:footnote w:id="5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L 142, 29.5.2019., str. 16.</w:t>
      </w:r>
    </w:p>
  </w:footnote>
  <w:footnote w:id="6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C</w:t>
      </w:r>
      <w:r w:rsidR="002536BC">
        <w:rPr>
          <w:sz w:val="24"/>
          <w:lang w:val="hr-HR"/>
        </w:rPr>
        <w:t>,</w:t>
      </w:r>
      <w:r w:rsidRPr="00835F25">
        <w:rPr>
          <w:sz w:val="24"/>
          <w:lang w:val="hr-HR"/>
        </w:rPr>
        <w:t xml:space="preserve"> C/2023/1025, 16.11.2023.</w:t>
      </w:r>
    </w:p>
  </w:footnote>
  <w:footnote w:id="7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C</w:t>
      </w:r>
      <w:r w:rsidR="002536BC">
        <w:rPr>
          <w:sz w:val="24"/>
          <w:lang w:val="hr-HR"/>
        </w:rPr>
        <w:t>,</w:t>
      </w:r>
      <w:r w:rsidRPr="00835F25">
        <w:rPr>
          <w:sz w:val="24"/>
          <w:lang w:val="hr-HR"/>
        </w:rPr>
        <w:t xml:space="preserve"> C/2023/112, 12.10.2023.</w:t>
      </w:r>
    </w:p>
  </w:footnote>
  <w:footnote w:id="8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L 193, 30.7.2018., str. 1.</w:t>
      </w:r>
    </w:p>
  </w:footnote>
  <w:footnote w:id="9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L 427, 30.11.2021., str. 17.</w:t>
      </w:r>
    </w:p>
  </w:footnote>
  <w:footnote w:id="10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SL L 142, 29.5.2019., str. 16.</w:t>
      </w:r>
    </w:p>
  </w:footnote>
  <w:footnote w:id="11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Uredba Vijeća (EU) 2021/2085 od 19. studenoga 2021. o osnivanju zajedničkih poduzeća u okviru programa Obzor Europa te o stavljanju izvan snage uredbi (EZ) br. 219/2007, (EU) br. 557/2014, (EU) br. 558/2014, (EU) br. 559/2014, (EU) br. 560/2014, (EU) br. 561/2014 i (EU) br. 642/2014 (SL L 427, 30.11.2021., str. 17.).</w:t>
      </w:r>
    </w:p>
  </w:footnote>
  <w:footnote w:id="12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Uredba Vijeća (EZ) br. 71/2008 od 20. prosinca 2007. o osnivanju zajedničkog poduzeća „</w:t>
      </w:r>
      <w:proofErr w:type="spellStart"/>
      <w:r w:rsidRPr="00835F25">
        <w:rPr>
          <w:sz w:val="24"/>
          <w:lang w:val="hr-HR"/>
        </w:rPr>
        <w:t>Clean</w:t>
      </w:r>
      <w:proofErr w:type="spellEnd"/>
      <w:r w:rsidRPr="00835F25">
        <w:rPr>
          <w:sz w:val="24"/>
          <w:lang w:val="hr-HR"/>
        </w:rPr>
        <w:t xml:space="preserve"> </w:t>
      </w:r>
      <w:proofErr w:type="spellStart"/>
      <w:r w:rsidRPr="00835F25">
        <w:rPr>
          <w:sz w:val="24"/>
          <w:lang w:val="hr-HR"/>
        </w:rPr>
        <w:t>Sky</w:t>
      </w:r>
      <w:proofErr w:type="spellEnd"/>
      <w:r w:rsidRPr="00835F25">
        <w:rPr>
          <w:sz w:val="24"/>
          <w:lang w:val="hr-HR"/>
        </w:rPr>
        <w:t>” (SL L 30, 4.2.2008., str. 1.).</w:t>
      </w:r>
    </w:p>
  </w:footnote>
  <w:footnote w:id="13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Uredba Vijeća (EU) br. 558/2014 od 6. svibnja 2014. o osnivanju Zajedničkog poduzeća „</w:t>
      </w:r>
      <w:proofErr w:type="spellStart"/>
      <w:r w:rsidRPr="00835F25">
        <w:rPr>
          <w:sz w:val="24"/>
          <w:lang w:val="hr-HR"/>
        </w:rPr>
        <w:t>Clean</w:t>
      </w:r>
      <w:proofErr w:type="spellEnd"/>
      <w:r w:rsidRPr="00835F25">
        <w:rPr>
          <w:sz w:val="24"/>
          <w:lang w:val="hr-HR"/>
        </w:rPr>
        <w:t xml:space="preserve"> </w:t>
      </w:r>
      <w:proofErr w:type="spellStart"/>
      <w:r w:rsidRPr="00835F25">
        <w:rPr>
          <w:sz w:val="24"/>
          <w:lang w:val="hr-HR"/>
        </w:rPr>
        <w:t>Sky</w:t>
      </w:r>
      <w:proofErr w:type="spellEnd"/>
      <w:r w:rsidRPr="00835F25">
        <w:rPr>
          <w:sz w:val="24"/>
          <w:lang w:val="hr-HR"/>
        </w:rPr>
        <w:t xml:space="preserve"> 2” (SL L 169, 7.6.2014., str. 77.).</w:t>
      </w:r>
    </w:p>
  </w:footnote>
  <w:footnote w:id="14">
    <w:p w:rsidR="00153B23" w:rsidRPr="00835F25" w:rsidRDefault="00153B23" w:rsidP="00835F25">
      <w:pPr>
        <w:pStyle w:val="FootnoteText"/>
        <w:ind w:left="567" w:hanging="567"/>
        <w:rPr>
          <w:rFonts w:eastAsiaTheme="minorHAnsi"/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Konsolidirano godišnje izvješće o radu Zajedničkog poduzeća  za čisto zrakoplovstvo za 2022., poglavlje 4.1.1.</w:t>
      </w:r>
    </w:p>
  </w:footnote>
  <w:footnote w:id="15">
    <w:p w:rsidR="00153B23" w:rsidRPr="00835F25" w:rsidRDefault="00153B23" w:rsidP="00835F25">
      <w:pPr>
        <w:pStyle w:val="FootnoteText"/>
        <w:ind w:left="567" w:hanging="567"/>
        <w:rPr>
          <w:sz w:val="24"/>
          <w:lang w:val="hr-HR"/>
        </w:rPr>
      </w:pPr>
      <w:r w:rsidRPr="00835F25">
        <w:rPr>
          <w:rStyle w:val="FootnoteReference"/>
          <w:sz w:val="24"/>
          <w:lang w:val="hr-HR"/>
        </w:rPr>
        <w:footnoteRef/>
      </w:r>
      <w:r w:rsidR="00835F25" w:rsidRPr="00835F25">
        <w:rPr>
          <w:sz w:val="24"/>
          <w:lang w:val="hr-HR"/>
        </w:rPr>
        <w:t xml:space="preserve"> </w:t>
      </w:r>
      <w:r w:rsidR="00835F25" w:rsidRPr="00835F25">
        <w:rPr>
          <w:sz w:val="24"/>
          <w:lang w:val="hr-HR"/>
        </w:rPr>
        <w:tab/>
      </w:r>
      <w:r w:rsidRPr="00835F25">
        <w:rPr>
          <w:sz w:val="24"/>
          <w:lang w:val="hr-HR"/>
        </w:rPr>
        <w:t>Kad je riječ o transakcijama isplate bespovratnih sredstava ispitanima na razini korisnika, prag za mjerljive pogreške iznad kojeg ih se mora prijaviti iznosi 1 % troškova obuhvaćenih revizijom.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F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F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5F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7/2024"/>
    <w:docVar w:name="dvlangue" w:val="HR"/>
    <w:docVar w:name="dvnumam" w:val="0"/>
    <w:docVar w:name="dvpe" w:val="753.485"/>
    <w:docVar w:name="dvrapporteur" w:val="Izvjestitelj: "/>
    <w:docVar w:name="dvtitre" w:val="Odluka Europskog parlamenta od .... 2024. o razrješnici za izvršenje proračuna Zajedničkog poduzeća za čisto zrakoplovstvo za financijsku godinu 2022.(2023/2173(DEC))"/>
  </w:docVars>
  <w:rsids>
    <w:rsidRoot w:val="00692152"/>
    <w:rsid w:val="00002272"/>
    <w:rsid w:val="00064002"/>
    <w:rsid w:val="000677B9"/>
    <w:rsid w:val="000831BA"/>
    <w:rsid w:val="000A42CC"/>
    <w:rsid w:val="000E7DD9"/>
    <w:rsid w:val="0010095E"/>
    <w:rsid w:val="00125B37"/>
    <w:rsid w:val="00153B23"/>
    <w:rsid w:val="00187494"/>
    <w:rsid w:val="001F32AE"/>
    <w:rsid w:val="002536B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2152"/>
    <w:rsid w:val="006F74FA"/>
    <w:rsid w:val="00731ADD"/>
    <w:rsid w:val="00734777"/>
    <w:rsid w:val="00747932"/>
    <w:rsid w:val="00751A4A"/>
    <w:rsid w:val="00756632"/>
    <w:rsid w:val="00762C74"/>
    <w:rsid w:val="007709FB"/>
    <w:rsid w:val="00786EC0"/>
    <w:rsid w:val="007D1690"/>
    <w:rsid w:val="007E22AD"/>
    <w:rsid w:val="00817416"/>
    <w:rsid w:val="00835F25"/>
    <w:rsid w:val="00842779"/>
    <w:rsid w:val="00865F67"/>
    <w:rsid w:val="00881A7B"/>
    <w:rsid w:val="008840E5"/>
    <w:rsid w:val="00887B3E"/>
    <w:rsid w:val="008C2AC6"/>
    <w:rsid w:val="008D7904"/>
    <w:rsid w:val="00930C23"/>
    <w:rsid w:val="0093193B"/>
    <w:rsid w:val="009509D8"/>
    <w:rsid w:val="00950B64"/>
    <w:rsid w:val="00981893"/>
    <w:rsid w:val="009C554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B7576"/>
  <w15:chartTrackingRefBased/>
  <w15:docId w15:val="{9D1FB79A-CC5D-4561-8642-EFAA8624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53B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53B23"/>
    <w:pPr>
      <w:spacing w:before="480" w:after="240"/>
    </w:pPr>
  </w:style>
  <w:style w:type="paragraph" w:customStyle="1" w:styleId="PageHeading">
    <w:name w:val="PageHeading"/>
    <w:basedOn w:val="Normal"/>
    <w:rsid w:val="00153B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53B23"/>
    <w:rPr>
      <w:b/>
    </w:rPr>
  </w:style>
  <w:style w:type="paragraph" w:customStyle="1" w:styleId="NormalHanging12a">
    <w:name w:val="NormalHanging12a"/>
    <w:basedOn w:val="Normal"/>
    <w:link w:val="NormalHanging12aChar"/>
    <w:rsid w:val="00153B2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53B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3B23"/>
    <w:rPr>
      <w:sz w:val="24"/>
      <w:lang w:val="hr-HR"/>
    </w:rPr>
  </w:style>
  <w:style w:type="paragraph" w:customStyle="1" w:styleId="EPFooter">
    <w:name w:val="EPFooter"/>
    <w:basedOn w:val="Normal"/>
    <w:rsid w:val="00153B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153B23"/>
    <w:rPr>
      <w:sz w:val="24"/>
      <w:lang w:val="hr-HR"/>
    </w:rPr>
  </w:style>
  <w:style w:type="paragraph" w:styleId="Footer">
    <w:name w:val="footer"/>
    <w:basedOn w:val="Normal"/>
    <w:link w:val="FooterChar"/>
    <w:rsid w:val="009C55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C554F"/>
    <w:rPr>
      <w:sz w:val="24"/>
      <w:lang w:val="hr-HR"/>
    </w:rPr>
  </w:style>
  <w:style w:type="paragraph" w:styleId="BalloonText">
    <w:name w:val="Balloon Text"/>
    <w:basedOn w:val="Normal"/>
    <w:link w:val="BalloonTextChar"/>
    <w:rsid w:val="009C5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554F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15B84-C8A1-4CDA-BC2F-7C774A3D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2880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2024-05-23T10:56:00Z</dcterms:created>
  <dcterms:modified xsi:type="dcterms:W3CDTF">2024-05-23T10:56:00Z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P9_TA(2024)0272_</vt:lpwstr>
  </property>
  <property fmtid="{D5CDD505-2E9C-101B-9397-08002B2CF9AE}" pid="4" name="&lt;Type&gt;">
    <vt:lpwstr>RR</vt:lpwstr>
  </property>
</Properties>
</file>