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626B" w:rsidTr="0010095E">
        <w:trPr>
          <w:trHeight w:hRule="exact" w:val="1418"/>
        </w:trPr>
        <w:tc>
          <w:tcPr>
            <w:tcW w:w="6804" w:type="dxa"/>
            <w:shd w:val="clear" w:color="auto" w:fill="auto"/>
            <w:vAlign w:val="center"/>
          </w:tcPr>
          <w:p w:rsidR="00751A4A" w:rsidRPr="001F626B" w:rsidRDefault="00E27C73" w:rsidP="00381A79">
            <w:pPr>
              <w:pStyle w:val="EPName"/>
              <w:widowControl/>
            </w:pPr>
            <w:r w:rsidRPr="001F626B">
              <w:t>Euroopan parlamentti</w:t>
            </w:r>
          </w:p>
          <w:p w:rsidR="00751A4A" w:rsidRPr="001F626B" w:rsidRDefault="00817416" w:rsidP="00381A79">
            <w:pPr>
              <w:pStyle w:val="EPTerm"/>
              <w:widowControl/>
              <w:rPr>
                <w:rStyle w:val="HideTWBExt"/>
                <w:noProof w:val="0"/>
                <w:vanish w:val="0"/>
                <w:color w:val="auto"/>
              </w:rPr>
            </w:pPr>
            <w:r w:rsidRPr="001F626B">
              <w:t>2019-2024</w:t>
            </w:r>
          </w:p>
        </w:tc>
        <w:tc>
          <w:tcPr>
            <w:tcW w:w="2268" w:type="dxa"/>
            <w:shd w:val="clear" w:color="auto" w:fill="auto"/>
          </w:tcPr>
          <w:p w:rsidR="00751A4A" w:rsidRPr="001F626B" w:rsidRDefault="00187494" w:rsidP="00381A79">
            <w:pPr>
              <w:pStyle w:val="EPLogo"/>
              <w:widowControl/>
            </w:pPr>
            <w:r w:rsidRPr="001F62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626B" w:rsidRDefault="00D058B8" w:rsidP="00381A79">
      <w:pPr>
        <w:pStyle w:val="LineTop"/>
        <w:widowControl/>
      </w:pPr>
    </w:p>
    <w:p w:rsidR="00680577" w:rsidRPr="001F626B" w:rsidRDefault="00E27C73" w:rsidP="00381A79">
      <w:pPr>
        <w:pStyle w:val="EPBodyTA1"/>
        <w:widowControl/>
      </w:pPr>
      <w:r w:rsidRPr="001F626B">
        <w:t>HYVÄKSYTYT TEKSTIT</w:t>
      </w:r>
    </w:p>
    <w:p w:rsidR="00D058B8" w:rsidRPr="001F626B" w:rsidRDefault="00D058B8" w:rsidP="00381A79">
      <w:pPr>
        <w:pStyle w:val="LineBottom"/>
        <w:widowControl/>
      </w:pPr>
    </w:p>
    <w:p w:rsidR="00E27C73" w:rsidRPr="001F626B" w:rsidRDefault="00E27C73" w:rsidP="00381A79">
      <w:pPr>
        <w:pStyle w:val="ATHeading1"/>
      </w:pPr>
      <w:bookmarkStart w:id="0" w:name="TANumber"/>
      <w:r w:rsidRPr="001F626B">
        <w:t>P9_</w:t>
      </w:r>
      <w:proofErr w:type="gramStart"/>
      <w:r w:rsidRPr="001F626B">
        <w:t>TA(</w:t>
      </w:r>
      <w:proofErr w:type="gramEnd"/>
      <w:r w:rsidRPr="001F626B">
        <w:t>2024)0</w:t>
      </w:r>
      <w:r w:rsidR="00FB2778">
        <w:t>273</w:t>
      </w:r>
      <w:bookmarkEnd w:id="0"/>
    </w:p>
    <w:p w:rsidR="00E27C73" w:rsidRPr="001F626B" w:rsidRDefault="00E27C73" w:rsidP="00381A79">
      <w:pPr>
        <w:pStyle w:val="ATHeading2"/>
      </w:pPr>
      <w:bookmarkStart w:id="1" w:name="title"/>
      <w:r w:rsidRPr="001F626B">
        <w:t>Vastuuvapaus 2022: Euroopan kiertotaloutta ja biopohjaisia ratkaisuja edistävä yhteisyritys</w:t>
      </w:r>
      <w:bookmarkEnd w:id="1"/>
    </w:p>
    <w:p w:rsidR="00E27C73" w:rsidRPr="001F626B" w:rsidRDefault="00E27C73" w:rsidP="00381A79">
      <w:pPr>
        <w:widowControl/>
        <w:rPr>
          <w:i/>
          <w:vanish/>
        </w:rPr>
      </w:pPr>
      <w:r w:rsidRPr="001F626B">
        <w:rPr>
          <w:i/>
        </w:rPr>
        <w:fldChar w:fldCharType="begin"/>
      </w:r>
      <w:r w:rsidRPr="001F626B">
        <w:rPr>
          <w:i/>
        </w:rPr>
        <w:instrText xml:space="preserve"> TC"(</w:instrText>
      </w:r>
      <w:bookmarkStart w:id="2" w:name="DocNumber"/>
      <w:r w:rsidRPr="001F626B">
        <w:rPr>
          <w:i/>
        </w:rPr>
        <w:instrText>A9-0088/2024</w:instrText>
      </w:r>
      <w:bookmarkEnd w:id="2"/>
      <w:r w:rsidRPr="001F626B">
        <w:rPr>
          <w:i/>
        </w:rPr>
        <w:instrText xml:space="preserve"> - Esittelijä: Michal </w:instrText>
      </w:r>
      <w:proofErr w:type="spellStart"/>
      <w:r w:rsidRPr="001F626B">
        <w:rPr>
          <w:i/>
        </w:rPr>
        <w:instrText>Wiezik</w:instrText>
      </w:r>
      <w:proofErr w:type="spellEnd"/>
      <w:r w:rsidRPr="001F626B">
        <w:rPr>
          <w:i/>
        </w:rPr>
        <w:instrText xml:space="preserve">)"\l3 \n&gt; \* MERGEFORMAT </w:instrText>
      </w:r>
      <w:r w:rsidRPr="001F626B">
        <w:rPr>
          <w:i/>
        </w:rPr>
        <w:fldChar w:fldCharType="end"/>
      </w:r>
    </w:p>
    <w:p w:rsidR="00E27C73" w:rsidRPr="001F626B" w:rsidRDefault="00E27C73" w:rsidP="00381A79">
      <w:pPr>
        <w:widowControl/>
        <w:rPr>
          <w:vanish/>
        </w:rPr>
      </w:pPr>
      <w:bookmarkStart w:id="3" w:name="Commission"/>
      <w:r w:rsidRPr="001F626B">
        <w:rPr>
          <w:vanish/>
        </w:rPr>
        <w:t>Talousarvion valvontavaliokunta</w:t>
      </w:r>
      <w:bookmarkEnd w:id="3"/>
    </w:p>
    <w:p w:rsidR="00E27C73" w:rsidRPr="001F626B" w:rsidRDefault="00E27C73" w:rsidP="00381A79">
      <w:pPr>
        <w:widowControl/>
        <w:rPr>
          <w:vanish/>
        </w:rPr>
      </w:pPr>
      <w:bookmarkStart w:id="4" w:name="PE"/>
      <w:r w:rsidRPr="001F626B">
        <w:rPr>
          <w:vanish/>
        </w:rPr>
        <w:t>PE753.488</w:t>
      </w:r>
      <w:bookmarkEnd w:id="4"/>
    </w:p>
    <w:p w:rsidR="00E27C73" w:rsidRPr="001F626B" w:rsidRDefault="00E27C73" w:rsidP="00381A79">
      <w:pPr>
        <w:pStyle w:val="ATHeading3"/>
      </w:pPr>
      <w:bookmarkStart w:id="5" w:name="Sujet"/>
      <w:r w:rsidRPr="001F626B">
        <w:t>1. Euroopan parlamentin päätös 11. huhtikuuta 2024 vastuuvapauden myöntämisestä Euroopan kiertotaloutta ja biopohjaisia ratkaisuja edistävän yhteisyrityksen talousarvion toteuttamisesta varainhoitovuonna 2022</w:t>
      </w:r>
      <w:bookmarkEnd w:id="5"/>
      <w:r w:rsidRPr="001F626B">
        <w:t xml:space="preserve"> </w:t>
      </w:r>
      <w:bookmarkStart w:id="6" w:name="References"/>
      <w:r w:rsidRPr="001F626B">
        <w:t>(2023/2174(DEC))</w:t>
      </w:r>
      <w:bookmarkEnd w:id="6"/>
    </w:p>
    <w:p w:rsidR="00E346AC" w:rsidRPr="001F626B" w:rsidRDefault="00E346AC" w:rsidP="00381A79">
      <w:pPr>
        <w:pStyle w:val="EPComma"/>
        <w:widowControl/>
      </w:pPr>
      <w:bookmarkStart w:id="7" w:name="TextBodyBegin"/>
      <w:bookmarkEnd w:id="7"/>
      <w:r w:rsidRPr="001F626B">
        <w:rPr>
          <w:i/>
          <w:iCs/>
        </w:rPr>
        <w:t>Euroopan parlamentti</w:t>
      </w:r>
      <w:r w:rsidRPr="001F626B">
        <w:t>, joka</w:t>
      </w:r>
    </w:p>
    <w:p w:rsidR="00E346AC" w:rsidRPr="001F626B" w:rsidRDefault="00E346AC" w:rsidP="00381A79">
      <w:pPr>
        <w:pStyle w:val="NormalHanging12a"/>
        <w:widowControl/>
      </w:pPr>
      <w:r w:rsidRPr="001F626B">
        <w:t>–</w:t>
      </w:r>
      <w:r w:rsidRPr="001F626B">
        <w:tab/>
        <w:t>ottaa huomioon Euroopan kiertotaloutta ja biopohjaisia ratkaisuja edistävän yhteisyrityksen lopullisen tilinpäätöksen varainhoitovuodelta 2022,</w:t>
      </w:r>
    </w:p>
    <w:p w:rsidR="00E346AC" w:rsidRPr="001F626B" w:rsidRDefault="00E346AC" w:rsidP="00381A79">
      <w:pPr>
        <w:pStyle w:val="NormalHanging12a"/>
        <w:widowControl/>
      </w:pPr>
      <w:r w:rsidRPr="001F626B">
        <w:t>–</w:t>
      </w:r>
      <w:r w:rsidRPr="001F626B">
        <w:tab/>
        <w:t>ottaa huomioon tilintarkastustuomioistuimen vuosikertomuksen EU:n yhteisyrityksistä varainhoitovuodelta 2022 sekä yhteisyritysten vastaukset</w:t>
      </w:r>
      <w:r w:rsidRPr="001F626B">
        <w:rPr>
          <w:rStyle w:val="FootnoteReference"/>
        </w:rPr>
        <w:footnoteReference w:id="1"/>
      </w:r>
      <w:r w:rsidRPr="001F626B">
        <w:t>,</w:t>
      </w:r>
    </w:p>
    <w:p w:rsidR="00E346AC" w:rsidRPr="001F626B" w:rsidRDefault="00E346AC" w:rsidP="00381A79">
      <w:pPr>
        <w:pStyle w:val="NormalHanging12a"/>
        <w:widowControl/>
      </w:pPr>
      <w:r w:rsidRPr="001F626B">
        <w:t>–</w:t>
      </w:r>
      <w:r w:rsidRPr="001F626B">
        <w:tab/>
        <w:t>ottaa huomioon tilintarkastustuomioistuimen Euroopan unionin toiminnasta tehdyn sopimuksen 287 artiklan mukaisesti antaman varainhoitovuotta 2022 koskevan lausuman</w:t>
      </w:r>
      <w:r w:rsidRPr="001F626B">
        <w:rPr>
          <w:rStyle w:val="FootnoteReference"/>
        </w:rPr>
        <w:footnoteReference w:id="2"/>
      </w:r>
      <w:r w:rsidRPr="001F626B">
        <w:t xml:space="preserve"> tilien luotettavuudesta sekä tilien perustana olevien toimien laillisuudesta ja asianmukaisuudesta (sääntöjenmukaisuudesta),</w:t>
      </w:r>
    </w:p>
    <w:p w:rsidR="00E346AC" w:rsidRPr="001F626B" w:rsidRDefault="00E346AC" w:rsidP="00381A79">
      <w:pPr>
        <w:pStyle w:val="NormalHanging12a"/>
        <w:widowControl/>
      </w:pPr>
      <w:r w:rsidRPr="001F626B">
        <w:t>–</w:t>
      </w:r>
      <w:r w:rsidRPr="001F626B">
        <w:tab/>
        <w:t>ottaa huomioon neuvoston 22. helmikuuta 2024 antaman suosituksen varainhoitovuoden 2022 talousarvion toteuttamista koskevan vastuuvapauden myöntämisestä yhteisyritykselle (0</w:t>
      </w:r>
      <w:r w:rsidR="00381A79">
        <w:t>6182</w:t>
      </w:r>
      <w:r w:rsidRPr="001F626B">
        <w:t>/2024 – C9-0</w:t>
      </w:r>
      <w:r w:rsidR="00381A79">
        <w:t>112</w:t>
      </w:r>
      <w:r w:rsidRPr="001F626B">
        <w:t>/2024),</w:t>
      </w:r>
    </w:p>
    <w:p w:rsidR="00E346AC" w:rsidRPr="001F626B" w:rsidRDefault="00E346AC" w:rsidP="00381A79">
      <w:pPr>
        <w:pStyle w:val="NormalHanging12a"/>
        <w:widowControl/>
      </w:pPr>
      <w:r w:rsidRPr="001F626B">
        <w:t>–</w:t>
      </w:r>
      <w:r w:rsidRPr="001F626B">
        <w:tab/>
        <w:t>ottaa huomioon Euroopan unionin toiminnasta tehdyn sopimuksen 319 artiklan,</w:t>
      </w:r>
    </w:p>
    <w:p w:rsidR="00E346AC" w:rsidRPr="001F626B" w:rsidRDefault="00E346AC" w:rsidP="00381A79">
      <w:pPr>
        <w:pStyle w:val="NormalHanging12a"/>
        <w:widowControl/>
      </w:pPr>
      <w:r w:rsidRPr="001F626B">
        <w:t>–</w:t>
      </w:r>
      <w:r w:rsidRPr="001F626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F626B">
        <w:rPr>
          <w:rStyle w:val="FootnoteReference"/>
        </w:rPr>
        <w:footnoteReference w:id="3"/>
      </w:r>
      <w:r w:rsidRPr="001F626B">
        <w:t xml:space="preserve"> ja erityisesti sen 71 artiklan,</w:t>
      </w:r>
    </w:p>
    <w:p w:rsidR="00E346AC" w:rsidRPr="001F626B" w:rsidRDefault="00E346AC" w:rsidP="00381A79">
      <w:pPr>
        <w:pStyle w:val="NormalHanging12a"/>
        <w:widowControl/>
      </w:pPr>
      <w:r w:rsidRPr="001F626B">
        <w:lastRenderedPageBreak/>
        <w:t>–</w:t>
      </w:r>
      <w:r w:rsidRPr="001F626B">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F626B">
        <w:rPr>
          <w:rStyle w:val="FootnoteReference"/>
        </w:rPr>
        <w:footnoteReference w:id="4"/>
      </w:r>
      <w:r w:rsidRPr="001F626B">
        <w:t xml:space="preserve"> ja erityisesti sen 26 artiklan,</w:t>
      </w:r>
    </w:p>
    <w:p w:rsidR="00E346AC" w:rsidRPr="001F626B" w:rsidRDefault="00E346AC" w:rsidP="00381A79">
      <w:pPr>
        <w:pStyle w:val="NormalHanging12a"/>
        <w:widowControl/>
      </w:pPr>
      <w:r w:rsidRPr="001F626B">
        <w:t>–</w:t>
      </w:r>
      <w:r w:rsidRPr="001F626B">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F626B">
        <w:rPr>
          <w:rStyle w:val="FootnoteReference"/>
        </w:rPr>
        <w:footnoteReference w:id="5"/>
      </w:r>
      <w:r w:rsidRPr="001F626B">
        <w:t>,</w:t>
      </w:r>
    </w:p>
    <w:p w:rsidR="00E346AC" w:rsidRPr="001F626B" w:rsidRDefault="00E346AC" w:rsidP="00381A79">
      <w:pPr>
        <w:pStyle w:val="NormalHanging12a"/>
        <w:widowControl/>
      </w:pPr>
      <w:r w:rsidRPr="001F626B">
        <w:t>–</w:t>
      </w:r>
      <w:r w:rsidRPr="001F626B">
        <w:tab/>
        <w:t>ottaa huomioon työjärjestyksen 100 artiklan ja liitteen V,</w:t>
      </w:r>
    </w:p>
    <w:p w:rsidR="00E346AC" w:rsidRPr="001F626B" w:rsidRDefault="00E346AC" w:rsidP="00381A79">
      <w:pPr>
        <w:pStyle w:val="NormalHanging12a"/>
        <w:widowControl/>
      </w:pPr>
      <w:r w:rsidRPr="001F626B">
        <w:t>–</w:t>
      </w:r>
      <w:r w:rsidRPr="001F626B">
        <w:tab/>
        <w:t>ottaa huomioon aluekehitysvaliokunnan sekä teollisuus-, tutkimus- ja energiavaliokunnan lausunnot,</w:t>
      </w:r>
    </w:p>
    <w:p w:rsidR="00E346AC" w:rsidRPr="001F626B" w:rsidRDefault="00E346AC" w:rsidP="00381A79">
      <w:pPr>
        <w:pStyle w:val="NormalHanging12a"/>
        <w:widowControl/>
      </w:pPr>
      <w:r w:rsidRPr="001F626B">
        <w:t>–</w:t>
      </w:r>
      <w:r w:rsidRPr="001F626B">
        <w:tab/>
        <w:t>ottaa huomioon talousarvion valvontavaliokunnan mietinnön (A9-0088/2024),</w:t>
      </w:r>
    </w:p>
    <w:p w:rsidR="00E346AC" w:rsidRPr="001F626B" w:rsidRDefault="00E346AC" w:rsidP="00381A79">
      <w:pPr>
        <w:pStyle w:val="NormalHanging12a"/>
        <w:widowControl/>
      </w:pPr>
      <w:r w:rsidRPr="001F626B">
        <w:t>1.</w:t>
      </w:r>
      <w:r w:rsidRPr="001F626B">
        <w:tab/>
        <w:t>myöntää Euroopan kiertotaloutta ja biopohjaisia ratkaisuja edistävän yhteisyrityksen toimitusjohtajalle vastuuvapauden yhteisyrityksen talousarvion toteuttamisesta varainhoitovuonna 2022;</w:t>
      </w:r>
    </w:p>
    <w:p w:rsidR="00E346AC" w:rsidRPr="001F626B" w:rsidRDefault="00E346AC" w:rsidP="00381A79">
      <w:pPr>
        <w:pStyle w:val="NormalHanging12a"/>
        <w:widowControl/>
      </w:pPr>
      <w:r w:rsidRPr="001F626B">
        <w:t>2.</w:t>
      </w:r>
      <w:r w:rsidRPr="001F626B">
        <w:tab/>
        <w:t>esittää huomautuksensa oheisessa päätöslauselmassa;</w:t>
      </w:r>
    </w:p>
    <w:p w:rsidR="00E346AC" w:rsidRPr="001F626B" w:rsidRDefault="00E346AC" w:rsidP="00381A79">
      <w:pPr>
        <w:pStyle w:val="NormalHanging12a"/>
        <w:widowControl/>
      </w:pPr>
      <w:r w:rsidRPr="001F626B">
        <w:t>3.</w:t>
      </w:r>
      <w:r w:rsidRPr="001F626B">
        <w:tab/>
        <w:t xml:space="preserve">kehottaa puhemiestä välittämään tämän päätöksen ja siihen erottamattomasti kuuluvan päätöslauselman Euroopan kiertotaloutta ja biopohjaisia ratkaisuja edistävän yhteisyrityksen toimitusjohtajalle, neuvostolle, komissiolle ja tilintarkastustuomioistuimelle sekä huolehtimaan niiden julkaisemisesta </w:t>
      </w:r>
      <w:r w:rsidRPr="001F626B">
        <w:rPr>
          <w:i/>
          <w:iCs/>
        </w:rPr>
        <w:t>Euroopan unionin virallisessa lehdessä</w:t>
      </w:r>
      <w:r w:rsidRPr="001F626B">
        <w:t xml:space="preserve"> (L-sarja).</w:t>
      </w:r>
    </w:p>
    <w:p w:rsidR="00E346AC" w:rsidRPr="001F626B" w:rsidRDefault="00E346AC" w:rsidP="00381A79">
      <w:pPr>
        <w:widowControl/>
      </w:pPr>
    </w:p>
    <w:p w:rsidR="00E346AC" w:rsidRPr="001F626B" w:rsidRDefault="00E346AC" w:rsidP="00381A79">
      <w:pPr>
        <w:pStyle w:val="PageHeading"/>
        <w:widowControl/>
        <w:sectPr w:rsidR="00E346AC" w:rsidRPr="001F626B" w:rsidSect="001F626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46AC" w:rsidRPr="001F626B" w:rsidRDefault="00E346AC" w:rsidP="00381A79">
      <w:pPr>
        <w:pStyle w:val="ATHeading3"/>
      </w:pPr>
      <w:bookmarkStart w:id="8" w:name="_Toc161759191"/>
      <w:r w:rsidRPr="001F626B">
        <w:lastRenderedPageBreak/>
        <w:t xml:space="preserve">2. </w:t>
      </w:r>
      <w:bookmarkEnd w:id="8"/>
      <w:r w:rsidR="00381A79" w:rsidRPr="001F626B">
        <w:t xml:space="preserve">Euroopan parlamentin päätös 11. huhtikuuta 2024 </w:t>
      </w:r>
      <w:r w:rsidRPr="001F626B">
        <w:t>Euroopan kiertotaloutta ja biopohjaisia ratkaisuja edistävän yhteisyrityksen varainhoitovuoden 2022 tilien päättämisestä</w:t>
      </w:r>
      <w:r w:rsidR="00381A79">
        <w:t xml:space="preserve"> </w:t>
      </w:r>
      <w:r w:rsidRPr="001F626B">
        <w:t>(2023/2174(DEC))</w:t>
      </w:r>
    </w:p>
    <w:p w:rsidR="00E346AC" w:rsidRPr="001F626B" w:rsidRDefault="00E346AC" w:rsidP="00381A79">
      <w:pPr>
        <w:pStyle w:val="EPComma"/>
        <w:widowControl/>
      </w:pPr>
      <w:r w:rsidRPr="001F626B">
        <w:rPr>
          <w:i/>
          <w:iCs/>
        </w:rPr>
        <w:t>Euroopan parlamentti</w:t>
      </w:r>
      <w:r w:rsidRPr="001F626B">
        <w:t>, joka</w:t>
      </w:r>
    </w:p>
    <w:p w:rsidR="00E346AC" w:rsidRPr="001F626B" w:rsidRDefault="00E346AC" w:rsidP="00381A79">
      <w:pPr>
        <w:pStyle w:val="NormalHanging12a"/>
        <w:widowControl/>
      </w:pPr>
      <w:r w:rsidRPr="001F626B">
        <w:t>–</w:t>
      </w:r>
      <w:r w:rsidRPr="001F626B">
        <w:tab/>
        <w:t>ottaa huomioon Euroopan kiertotaloutta ja biopohjaisia ratkaisuja edistävän yhteisyrityksen lopullisen tilinpäätöksen varainhoitovuodelta 2022,</w:t>
      </w:r>
    </w:p>
    <w:p w:rsidR="00E346AC" w:rsidRPr="001F626B" w:rsidRDefault="00E346AC" w:rsidP="00381A79">
      <w:pPr>
        <w:pStyle w:val="NormalHanging12a"/>
        <w:widowControl/>
      </w:pPr>
      <w:r w:rsidRPr="001F626B">
        <w:t>–</w:t>
      </w:r>
      <w:r w:rsidRPr="001F626B">
        <w:tab/>
        <w:t>ottaa huomioon tilintarkastustuomioistuimen vuosikertomuksen EU:n yhteisyrityksistä varainhoitovuodelta 2022 sekä yhteisyritysten vastaukset</w:t>
      </w:r>
      <w:r w:rsidRPr="001F626B">
        <w:rPr>
          <w:rStyle w:val="FootnoteReference"/>
        </w:rPr>
        <w:footnoteReference w:id="6"/>
      </w:r>
      <w:r w:rsidRPr="001F626B">
        <w:t>,</w:t>
      </w:r>
    </w:p>
    <w:p w:rsidR="00E346AC" w:rsidRPr="001F626B" w:rsidRDefault="00E346AC" w:rsidP="00381A79">
      <w:pPr>
        <w:pStyle w:val="NormalHanging12a"/>
        <w:widowControl/>
      </w:pPr>
      <w:r w:rsidRPr="001F626B">
        <w:t>–</w:t>
      </w:r>
      <w:r w:rsidRPr="001F626B">
        <w:tab/>
        <w:t>ottaa huomioon tilintarkastustuomioistuimen Euroopan unionin toiminnasta tehdyn sopimuksen 287 artiklan mukaisesti antaman varainhoitovuotta 2022 koskevan lausuman</w:t>
      </w:r>
      <w:r w:rsidRPr="001F626B">
        <w:rPr>
          <w:rStyle w:val="FootnoteReference"/>
        </w:rPr>
        <w:footnoteReference w:id="7"/>
      </w:r>
      <w:r w:rsidRPr="001F626B">
        <w:t xml:space="preserve"> tilien luotettavuudesta sekä tilien perustana olevien toimien laillisuudesta ja asianmukaisuudesta (sääntöjenmukaisuudesta),</w:t>
      </w:r>
    </w:p>
    <w:p w:rsidR="00E346AC" w:rsidRPr="001F626B" w:rsidRDefault="00E346AC" w:rsidP="00381A79">
      <w:pPr>
        <w:pStyle w:val="NormalHanging12a"/>
        <w:widowControl/>
      </w:pPr>
      <w:r w:rsidRPr="001F626B">
        <w:t>–</w:t>
      </w:r>
      <w:r w:rsidRPr="001F626B">
        <w:tab/>
        <w:t>ottaa huomioon neuvoston 22. helmikuuta 2024 antaman suosituksen varainhoitovuoden 2022 talousarvion toteuttamista koskevan vastuuvapauden myöntämisestä yhteisyritykselle (0</w:t>
      </w:r>
      <w:r w:rsidR="00381A79">
        <w:t>6182</w:t>
      </w:r>
      <w:r w:rsidRPr="001F626B">
        <w:t>/2024 – C9-0</w:t>
      </w:r>
      <w:r w:rsidR="00381A79">
        <w:t>112</w:t>
      </w:r>
      <w:r w:rsidRPr="001F626B">
        <w:t>/2024),</w:t>
      </w:r>
    </w:p>
    <w:p w:rsidR="00E346AC" w:rsidRPr="001F626B" w:rsidRDefault="00E346AC" w:rsidP="00381A79">
      <w:pPr>
        <w:pStyle w:val="NormalHanging12a"/>
        <w:widowControl/>
      </w:pPr>
      <w:r w:rsidRPr="001F626B">
        <w:t>–</w:t>
      </w:r>
      <w:r w:rsidRPr="001F626B">
        <w:tab/>
        <w:t>ottaa huomioon Euroopan unionin toiminnasta tehdyn sopimuksen 319 artiklan,</w:t>
      </w:r>
    </w:p>
    <w:p w:rsidR="00E346AC" w:rsidRPr="001F626B" w:rsidRDefault="00E346AC" w:rsidP="00381A79">
      <w:pPr>
        <w:pStyle w:val="NormalHanging12a"/>
        <w:widowControl/>
      </w:pPr>
      <w:r w:rsidRPr="001F626B">
        <w:t>–</w:t>
      </w:r>
      <w:r w:rsidRPr="001F626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F626B">
        <w:rPr>
          <w:rStyle w:val="FootnoteReference"/>
        </w:rPr>
        <w:footnoteReference w:id="8"/>
      </w:r>
      <w:r w:rsidRPr="001F626B">
        <w:t xml:space="preserve"> ja erityisesti sen 71 artiklan,</w:t>
      </w:r>
    </w:p>
    <w:p w:rsidR="00E346AC" w:rsidRPr="001F626B" w:rsidRDefault="00E346AC" w:rsidP="00381A79">
      <w:pPr>
        <w:pStyle w:val="NormalHanging12a"/>
        <w:widowControl/>
      </w:pPr>
      <w:r w:rsidRPr="001F626B">
        <w:t>–</w:t>
      </w:r>
      <w:r w:rsidRPr="001F626B">
        <w:tab/>
        <w:t xml:space="preserve">ottaa huomioon Horisontti Eurooppa -ohjelman yhteisyritysten perustamisesta sekä asetusten (EY) N:o 219/2007, (EU) N:o 557/2014, (EU) N:o 558/2014, (EU) N:o 559/2014, (EU) N:o 560/2014, (EU) N:o 561/2014 ja (EU) N:o 642/2014 kumoamisesta 19. marraskuuta 2021 annetun neuvoston asetuksen </w:t>
      </w:r>
      <w:r w:rsidR="00200119">
        <w:t xml:space="preserve">(EU) </w:t>
      </w:r>
      <w:bookmarkStart w:id="9" w:name="_GoBack"/>
      <w:bookmarkEnd w:id="9"/>
      <w:r w:rsidRPr="001F626B">
        <w:t>2021/2085</w:t>
      </w:r>
      <w:r w:rsidRPr="001F626B">
        <w:rPr>
          <w:rStyle w:val="FootnoteReference"/>
        </w:rPr>
        <w:footnoteReference w:id="9"/>
      </w:r>
      <w:r w:rsidRPr="001F626B">
        <w:t xml:space="preserve"> ja erityisesti sen 26 artiklan,</w:t>
      </w:r>
    </w:p>
    <w:p w:rsidR="00E346AC" w:rsidRPr="001F626B" w:rsidRDefault="00E346AC" w:rsidP="00381A79">
      <w:pPr>
        <w:pStyle w:val="NormalHanging12a"/>
        <w:widowControl/>
      </w:pPr>
      <w:r w:rsidRPr="001F626B">
        <w:t>–</w:t>
      </w:r>
      <w:r w:rsidRPr="001F626B">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F626B">
        <w:rPr>
          <w:rStyle w:val="FootnoteReference"/>
        </w:rPr>
        <w:footnoteReference w:id="10"/>
      </w:r>
      <w:r w:rsidRPr="001F626B">
        <w:t>,</w:t>
      </w:r>
    </w:p>
    <w:p w:rsidR="00E346AC" w:rsidRPr="001F626B" w:rsidRDefault="00E346AC" w:rsidP="00381A79">
      <w:pPr>
        <w:pStyle w:val="NormalHanging12a"/>
        <w:widowControl/>
      </w:pPr>
      <w:r w:rsidRPr="001F626B">
        <w:t>–</w:t>
      </w:r>
      <w:r w:rsidRPr="001F626B">
        <w:tab/>
        <w:t>ottaa huomioon työjärjestyksen 100 artiklan ja liitteen V,</w:t>
      </w:r>
    </w:p>
    <w:p w:rsidR="00E346AC" w:rsidRPr="001F626B" w:rsidRDefault="00E346AC" w:rsidP="00381A79">
      <w:pPr>
        <w:pStyle w:val="NormalHanging12a"/>
        <w:widowControl/>
      </w:pPr>
      <w:r w:rsidRPr="001F626B">
        <w:t>–</w:t>
      </w:r>
      <w:r w:rsidRPr="001F626B">
        <w:tab/>
        <w:t>ottaa huomioon talousarvion valvontavaliokunnan mietinnön (A9-0088/2024),</w:t>
      </w:r>
    </w:p>
    <w:p w:rsidR="00E346AC" w:rsidRPr="001F626B" w:rsidRDefault="00E346AC" w:rsidP="00381A79">
      <w:pPr>
        <w:pStyle w:val="NormalHanging12a"/>
        <w:widowControl/>
      </w:pPr>
      <w:r w:rsidRPr="001F626B">
        <w:lastRenderedPageBreak/>
        <w:t>1.</w:t>
      </w:r>
      <w:r w:rsidRPr="001F626B">
        <w:tab/>
        <w:t>hyväksyy Euroopan kiertotaloutta ja biopohjaisia ratkaisuja edistävän yhteisyrityksen varainhoitovuoden 2022 tilien päättämisen;</w:t>
      </w:r>
    </w:p>
    <w:p w:rsidR="00E346AC" w:rsidRPr="001F626B" w:rsidRDefault="00E346AC" w:rsidP="00381A79">
      <w:pPr>
        <w:pStyle w:val="NormalHanging12a"/>
        <w:widowControl/>
      </w:pPr>
      <w:r w:rsidRPr="001F626B">
        <w:t>2.</w:t>
      </w:r>
      <w:r w:rsidRPr="001F626B">
        <w:tab/>
        <w:t xml:space="preserve">kehottaa puhemiestä välittämään tämän päätöksen Euroopan kiertotaloutta ja biopohjaisia ratkaisuja edistävän yhteisyrityksen toimitusjohtajalle, neuvostolle, komissiolle ja tilintarkastustuomioistuimelle sekä huolehtimaan sen julkaisemisesta </w:t>
      </w:r>
      <w:r w:rsidRPr="001F626B">
        <w:rPr>
          <w:i/>
          <w:iCs/>
        </w:rPr>
        <w:t>Euroopan unionin virallisessa lehdessä</w:t>
      </w:r>
      <w:r w:rsidRPr="001F626B">
        <w:t xml:space="preserve"> (L-sarja).</w:t>
      </w:r>
    </w:p>
    <w:p w:rsidR="00E346AC" w:rsidRPr="001F626B" w:rsidRDefault="00E346AC" w:rsidP="00381A79">
      <w:pPr>
        <w:widowControl/>
      </w:pPr>
    </w:p>
    <w:p w:rsidR="00E346AC" w:rsidRPr="001F626B" w:rsidRDefault="00E346AC" w:rsidP="00381A79">
      <w:pPr>
        <w:pStyle w:val="PageHeading"/>
        <w:widowControl/>
        <w:sectPr w:rsidR="00E346AC" w:rsidRPr="001F626B" w:rsidSect="001F626B">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46AC" w:rsidRPr="001F626B" w:rsidRDefault="00381A79" w:rsidP="00381A79">
      <w:pPr>
        <w:pStyle w:val="ATHeading3"/>
      </w:pPr>
      <w:r>
        <w:lastRenderedPageBreak/>
        <w:t>3</w:t>
      </w:r>
      <w:r w:rsidRPr="001F626B">
        <w:t>. Euroopan parlamentin päätöslauselma 11. huhtikuuta 2024</w:t>
      </w:r>
      <w:r>
        <w:t>,</w:t>
      </w:r>
      <w:r w:rsidRPr="001F626B">
        <w:t xml:space="preserve"> </w:t>
      </w:r>
      <w:r w:rsidR="00E346AC" w:rsidRPr="001F626B">
        <w:t>joka sisältää huomautukset, jotka ovat erottamaton osa päätöstä vastuuvapauden myöntämisestä Euroopan kiertotaloutta ja biopohjaisia ratkaisuja edistävän yhteisyrityksen talousarvion toteuttamisesta varainhoitovuonna 2022</w:t>
      </w:r>
      <w:r>
        <w:t xml:space="preserve"> </w:t>
      </w:r>
      <w:r w:rsidR="00E346AC" w:rsidRPr="001F626B">
        <w:t>(2023/2174(DEC))</w:t>
      </w:r>
    </w:p>
    <w:p w:rsidR="00E346AC" w:rsidRPr="001F626B" w:rsidRDefault="00E346AC" w:rsidP="00381A79">
      <w:pPr>
        <w:pStyle w:val="EPComma"/>
        <w:widowControl/>
      </w:pPr>
      <w:r w:rsidRPr="001F626B">
        <w:rPr>
          <w:i/>
          <w:iCs/>
        </w:rPr>
        <w:t>Euroopan parlamentti</w:t>
      </w:r>
      <w:r w:rsidRPr="001F626B">
        <w:t>, joka</w:t>
      </w:r>
    </w:p>
    <w:p w:rsidR="00E346AC" w:rsidRPr="001F626B" w:rsidRDefault="00E346AC" w:rsidP="00381A79">
      <w:pPr>
        <w:pStyle w:val="NormalHanging12a"/>
        <w:widowControl/>
      </w:pPr>
      <w:r w:rsidRPr="001F626B">
        <w:t>–</w:t>
      </w:r>
      <w:r w:rsidRPr="001F626B">
        <w:tab/>
        <w:t>ottaa huomioon päätöksensä vastuuvapauden myöntämisestä Euroopan kiertotaloutta ja biopohjaisia ratkaisuja edistävän yhteisyrityksen talousarvion toteuttamisesta varainhoitovuonna 2022,</w:t>
      </w:r>
    </w:p>
    <w:p w:rsidR="00E346AC" w:rsidRPr="001F626B" w:rsidRDefault="00E346AC" w:rsidP="00381A79">
      <w:pPr>
        <w:pStyle w:val="NormalHanging12a"/>
        <w:widowControl/>
      </w:pPr>
      <w:r w:rsidRPr="001F626B">
        <w:t>–</w:t>
      </w:r>
      <w:r w:rsidRPr="001F626B">
        <w:tab/>
        <w:t>ottaa huomioon työjärjestyksen 100 artiklan ja liitteen V,</w:t>
      </w:r>
    </w:p>
    <w:p w:rsidR="00E346AC" w:rsidRPr="001F626B" w:rsidRDefault="00E346AC" w:rsidP="00381A79">
      <w:pPr>
        <w:pStyle w:val="NormalHanging12a"/>
        <w:widowControl/>
      </w:pPr>
      <w:r w:rsidRPr="001F626B">
        <w:t>–</w:t>
      </w:r>
      <w:r w:rsidRPr="001F626B">
        <w:tab/>
        <w:t>ottaa huomioon aluekehitysvaliokunnan sekä teollisuus-, tutkimus- ja energiavaliokunnan lausunnot,</w:t>
      </w:r>
    </w:p>
    <w:p w:rsidR="00E346AC" w:rsidRPr="001F626B" w:rsidRDefault="00E346AC" w:rsidP="00381A79">
      <w:pPr>
        <w:pStyle w:val="NormalHanging12a"/>
        <w:widowControl/>
      </w:pPr>
      <w:r w:rsidRPr="001F626B">
        <w:t>–</w:t>
      </w:r>
      <w:r w:rsidRPr="001F626B">
        <w:tab/>
        <w:t>ottaa huomioon talousarvion valvontavaliokunnan mietinnön (A9-0088/2024),</w:t>
      </w:r>
    </w:p>
    <w:p w:rsidR="00E346AC" w:rsidRPr="001F626B" w:rsidRDefault="00E346AC" w:rsidP="00381A79">
      <w:pPr>
        <w:pStyle w:val="NormalHanging12a"/>
        <w:widowControl/>
      </w:pPr>
      <w:r w:rsidRPr="001F626B">
        <w:t>A.</w:t>
      </w:r>
      <w:r w:rsidRPr="001F626B">
        <w:tab/>
        <w:t>ottaa huomioon, että Euroopan kiertotaloutta ja biopohjaisia ratkaisuja edistävä yhteisyritys (CBE-yhteisyritys) perustettiin marraskuussa 2021 Brysseliin Horisontti Eurooppa -puiteohjelman yhteyteen ajanjaksoksi, joka päättyy 31. joulukuuta 2031</w:t>
      </w:r>
      <w:r w:rsidRPr="001F626B">
        <w:rPr>
          <w:rStyle w:val="FootnoteReference"/>
        </w:rPr>
        <w:footnoteReference w:id="11"/>
      </w:r>
      <w:r w:rsidRPr="001F626B">
        <w:t>; ottaa huomioon, että CBE-yhteisyritys korvasi biopohjaisten teollisuudenalojen yhteisyrityksen (BBI-yhteisyritys), joka perustettiin toukokuussa 2014 Horisontti 2020 -puiteohjelman yhteyteen kaudeksi, joka päättyy 31. joulukuuta 2024</w:t>
      </w:r>
      <w:r w:rsidRPr="001F626B">
        <w:rPr>
          <w:rStyle w:val="FootnoteReference"/>
        </w:rPr>
        <w:footnoteReference w:id="12"/>
      </w:r>
      <w:r w:rsidRPr="001F626B">
        <w:t>;</w:t>
      </w:r>
    </w:p>
    <w:p w:rsidR="00E346AC" w:rsidRPr="001F626B" w:rsidRDefault="00E346AC" w:rsidP="00381A79">
      <w:pPr>
        <w:pStyle w:val="NormalHanging12a"/>
        <w:widowControl/>
      </w:pPr>
      <w:r w:rsidRPr="001F626B">
        <w:t>B.</w:t>
      </w:r>
      <w:r w:rsidRPr="001F626B">
        <w:tab/>
        <w:t>ottaa huomioon, että CBE-yhteisyritys on julkisen ja yksityisen sektorin kumppanuus, joka keskittyy tutkimukseen ja innovointiin siinä tarkoituksessa, että kiertotalouden alalla toimivista, biopohjaisista teollisuudenaloista tulisi kestäviä ja kilpailukykyisiä; ottaa huomioon, että yhteisyrityksen perustajaosakkaita ovat unioni, jota edustaa komissio, sekä teolliset kumppanit, joita edustaa biopohjaisten teollisuudenalojen yhteenliittymä;</w:t>
      </w:r>
    </w:p>
    <w:p w:rsidR="00E346AC" w:rsidRPr="001F626B" w:rsidRDefault="00E346AC" w:rsidP="00381A79">
      <w:pPr>
        <w:pStyle w:val="NormalHanging12a"/>
        <w:widowControl/>
      </w:pPr>
      <w:r w:rsidRPr="001F626B">
        <w:t>C.</w:t>
      </w:r>
      <w:r w:rsidRPr="001F626B">
        <w:tab/>
        <w:t>ottaa huomioon, että CBE-yhteisyrityksen olisi avoimuuden lisäämiseksi ilmoitettava vuotuisissa tilinpäätöksissään relevantit tiedot osakkaiden rahoitusosuuksista ohjelmatasolla; ottaa huomioon, että yhteisyrityksen olisi esitettävä jokaisen niitä koskevan ohjelman osalta osakastyypeittäin kaikki relevantit vuoden lopun tiedot, kuten tiettyä ohjelmaa varten säännöksissä asetetut rahoitusosuustavoitteet, saatujen rahoitusosuuksien arvo ja tehtyjen oikeudellisten sitoumusten arvo; toteaa, että CBE-yhteisyrityksen olisi parannettava edelleen avoimuutta;</w:t>
      </w:r>
    </w:p>
    <w:p w:rsidR="00E346AC" w:rsidRPr="001F626B" w:rsidRDefault="00E346AC" w:rsidP="00381A79">
      <w:pPr>
        <w:pStyle w:val="NormalHanging12a"/>
        <w:keepNext/>
        <w:widowControl/>
        <w:ind w:left="0" w:firstLine="0"/>
        <w:rPr>
          <w:b/>
          <w:i/>
        </w:rPr>
      </w:pPr>
      <w:r w:rsidRPr="001F626B">
        <w:rPr>
          <w:b/>
          <w:i/>
        </w:rPr>
        <w:lastRenderedPageBreak/>
        <w:t>Yleistä</w:t>
      </w:r>
    </w:p>
    <w:p w:rsidR="00E346AC" w:rsidRPr="001F626B" w:rsidRDefault="00E346AC" w:rsidP="00381A79">
      <w:pPr>
        <w:pStyle w:val="NormalHanging12a"/>
        <w:widowControl/>
      </w:pPr>
      <w:r w:rsidRPr="001F626B">
        <w:t>1.</w:t>
      </w:r>
      <w:r w:rsidRPr="001F626B">
        <w:tab/>
        <w:t>panee merkille, että tilintarkastustuomioistuimen yhteisyrityksen tilinpäätöksestä varainhoitovuodelta 2022 antaman kertomuksen</w:t>
      </w:r>
      <w:r w:rsidRPr="001F626B">
        <w:rPr>
          <w:rStyle w:val="FootnoteReference"/>
        </w:rPr>
        <w:footnoteReference w:id="13"/>
      </w:r>
      <w:r w:rsidRPr="001F626B">
        <w:t xml:space="preserve"> mukaan tilinpäätös antaa kaikilta olennaisilta osiltaan oikeat ja riittävät tiedot yhteisyrityksen taloudellisesta asemasta 31. joulukuuta 2022 sekä sen toimien tuloksista, rahavirroista ja nettovarallisuuden muutoksista mainittuna päivänä päättyneeltä varainhoitovuodelta yhteisyrityksen varainhoitosääntöjen ja komission tilinpitäjän vahvistamien kirjanpitosääntöjen mukaisesti; panee tilintarkastustuomioistuimen kertomuksesta merkille myös, että tilien perustana olevat toimet olivat kaikilta olennaisilta osiltaan lailliset ja sääntöjenmukaiset;</w:t>
      </w:r>
    </w:p>
    <w:p w:rsidR="00E346AC" w:rsidRPr="001F626B" w:rsidRDefault="00E346AC" w:rsidP="00381A79">
      <w:pPr>
        <w:pStyle w:val="NormalHanging12a"/>
        <w:widowControl/>
      </w:pPr>
      <w:r w:rsidRPr="001F626B">
        <w:t>2.</w:t>
      </w:r>
      <w:r w:rsidRPr="001F626B">
        <w:tab/>
        <w:t>pitää myönteisenä CBE-yhteisyrityksen roolia kilpailukykyisten kiertotaloutta edistävien biopohjaisten teollisuudenalojen edistämisessä unionissa;</w:t>
      </w:r>
    </w:p>
    <w:p w:rsidR="00E346AC" w:rsidRPr="001F626B" w:rsidRDefault="00E346AC" w:rsidP="00381A79">
      <w:pPr>
        <w:pStyle w:val="NormalHanging12a"/>
        <w:widowControl/>
      </w:pPr>
      <w:r w:rsidRPr="001F626B">
        <w:t>3.</w:t>
      </w:r>
      <w:r w:rsidRPr="001F626B">
        <w:tab/>
        <w:t>panee merkille, että CBE-yhteisyrityksen talousarvion suuruutta koskevat muutokset riippuvat etenkin siitä, missä vaiheessa yhteisyrityksen toteuttamien monivuotisten tutkimus- ja innovointiohjelmien täytäntöönpano on;</w:t>
      </w:r>
    </w:p>
    <w:p w:rsidR="00E346AC" w:rsidRPr="001F626B" w:rsidRDefault="00E346AC" w:rsidP="00381A79">
      <w:pPr>
        <w:pStyle w:val="NormalHanging12a"/>
        <w:widowControl/>
      </w:pPr>
      <w:r w:rsidRPr="001F626B">
        <w:t>4.</w:t>
      </w:r>
      <w:r w:rsidRPr="001F626B">
        <w:tab/>
        <w:t>panee merkille, että CBE-yhteisyritys aloitti Horisontti Eurooppa -puiteohjelman toteuttamisen vuonna 2022, minkä vuoksi vuoden 2022 talousarvio sisältää maksusitoumusmäärärahat Horisontti Eurooppa -puiteohjelman vuosiksi 2021 ja 2022 suunniteltuja ensimmäisiä ehdotuspyyntöjä varten;</w:t>
      </w:r>
    </w:p>
    <w:p w:rsidR="00E346AC" w:rsidRPr="001F626B" w:rsidRDefault="00E346AC" w:rsidP="00381A79">
      <w:pPr>
        <w:pStyle w:val="NormalHanging12a"/>
        <w:keepNext/>
        <w:widowControl/>
        <w:ind w:left="0" w:firstLine="0"/>
        <w:rPr>
          <w:b/>
          <w:i/>
        </w:rPr>
      </w:pPr>
      <w:r w:rsidRPr="001F626B">
        <w:rPr>
          <w:b/>
          <w:i/>
        </w:rPr>
        <w:t>Talousarvio- ja varainhallinto</w:t>
      </w:r>
    </w:p>
    <w:p w:rsidR="00E346AC" w:rsidRPr="001F626B" w:rsidRDefault="00E346AC" w:rsidP="00381A79">
      <w:pPr>
        <w:pStyle w:val="NormalHanging12a"/>
        <w:widowControl/>
      </w:pPr>
      <w:r w:rsidRPr="001F626B">
        <w:t>5.</w:t>
      </w:r>
      <w:r w:rsidRPr="001F626B">
        <w:tab/>
        <w:t xml:space="preserve">panee merkille CBE-yhteisyrityksen </w:t>
      </w:r>
      <w:proofErr w:type="spellStart"/>
      <w:r w:rsidRPr="001F626B">
        <w:t>konsolidoidusta</w:t>
      </w:r>
      <w:proofErr w:type="spellEnd"/>
      <w:r w:rsidRPr="001F626B">
        <w:t xml:space="preserve"> vuotuisesta toimintakertomuksesta 2022</w:t>
      </w:r>
      <w:r w:rsidRPr="001F626B">
        <w:rPr>
          <w:rStyle w:val="FootnoteReference"/>
        </w:rPr>
        <w:footnoteReference w:id="14"/>
      </w:r>
      <w:r w:rsidRPr="001F626B">
        <w:t>, että vuonna 2022 käytettävissä olleet määrärahat olivat yhteensä 264,2 miljoonaa euroa maksusitoumusmäärärahoina ja 80,3 miljoonaa euroa maksumäärärahoina</w:t>
      </w:r>
      <w:r w:rsidRPr="001F626B">
        <w:rPr>
          <w:rStyle w:val="FootnoteReference"/>
        </w:rPr>
        <w:footnoteReference w:id="15"/>
      </w:r>
      <w:r w:rsidRPr="001F626B">
        <w:t>; panee merkille talousarvion täytäntöönpanon/toteuttamisen osalta, että toteutetut maksusitoumusmäärärahat olivat 125 miljoonaa euroa (47 prosenttia toteutettu)</w:t>
      </w:r>
      <w:r w:rsidRPr="001F626B">
        <w:rPr>
          <w:rStyle w:val="FootnoteReference"/>
        </w:rPr>
        <w:footnoteReference w:id="16"/>
      </w:r>
      <w:r w:rsidRPr="001F626B">
        <w:t xml:space="preserve"> ja toteutetut maksumäärärahat 52 miljoonaa euroa (65 prosenttia toteutettu)</w:t>
      </w:r>
      <w:r w:rsidRPr="001F626B">
        <w:rPr>
          <w:rStyle w:val="FootnoteReference"/>
        </w:rPr>
        <w:footnoteReference w:id="17"/>
      </w:r>
      <w:r w:rsidRPr="001F626B">
        <w:t>;</w:t>
      </w:r>
    </w:p>
    <w:p w:rsidR="00E346AC" w:rsidRPr="001F626B" w:rsidRDefault="00E346AC" w:rsidP="00381A79">
      <w:pPr>
        <w:pStyle w:val="NormalHanging12a"/>
        <w:widowControl/>
      </w:pPr>
      <w:r w:rsidRPr="001F626B">
        <w:t>6.</w:t>
      </w:r>
      <w:r w:rsidRPr="001F626B">
        <w:tab/>
        <w:t>panee merkille, että hallintoneuvosto hyväksyi CBE-yhteisyrityksen vuoden 2022 talousarvion kahdessa vaiheessa ja että 16. joulukuuta 2021 BBI-yhteisyritykseltä siirtyneen osan talousarviosta äänestettiin siten, että maksusitoumusmäärärahat olivat yhteensä 6 miljoonaa euroa ja maksumäärärahat 85,6 miljoonaa euroa</w:t>
      </w:r>
      <w:r w:rsidRPr="001F626B">
        <w:rPr>
          <w:rStyle w:val="FootnoteReference"/>
        </w:rPr>
        <w:footnoteReference w:id="18"/>
      </w:r>
      <w:r w:rsidRPr="001F626B">
        <w:t>;</w:t>
      </w:r>
    </w:p>
    <w:p w:rsidR="00E346AC" w:rsidRPr="001F626B" w:rsidRDefault="00E346AC" w:rsidP="00381A79">
      <w:pPr>
        <w:pStyle w:val="NormalHanging12a"/>
        <w:widowControl/>
      </w:pPr>
      <w:r w:rsidRPr="001F626B">
        <w:lastRenderedPageBreak/>
        <w:t>7.</w:t>
      </w:r>
      <w:r w:rsidRPr="001F626B">
        <w:tab/>
        <w:t>panee lisäksi merkille, että CBE-yhteisyrityksen toimeksiannon puitteissa ei tehty avustussopimuksia ja että BBI-yhteisyrityksen toimeksiannon puitteissa tehtiin 142 avustussopimusta, joiden kokonaisarvo oli 822 miljoonaa euroa;</w:t>
      </w:r>
    </w:p>
    <w:p w:rsidR="00E346AC" w:rsidRPr="001F626B" w:rsidRDefault="00E346AC" w:rsidP="00381A79">
      <w:pPr>
        <w:pStyle w:val="NormalHanging12a"/>
        <w:widowControl/>
      </w:pPr>
      <w:r w:rsidRPr="001F626B">
        <w:t>8.</w:t>
      </w:r>
      <w:r w:rsidRPr="001F626B">
        <w:tab/>
        <w:t>panee merkille, että 31. toukokuuta 2022 talousarvioon tehdyllä tarkistuksella lisättiin CBE-yhteisyrityksen vuoden 2022 (uusia) määrärahoja, joista 254,9 miljoonaa euroa oli maksusitoumusmäärärahoja ja 1,7 miljoonaa euroa maksumäärärahoja; panee merkille, että tarkistus sisälsi myös 11,2 miljoonan euron vähennyksen BBI-yhteisyrityksen uudelleen käyttöön otettaviin operatiivisiin maksumäärärahoihin, joiden katsottiin siinä vaiheessa olevan ylimääräisiä tarpeisiin nähden (eli maksusitoumusmäärärahojen kokonaismäärän tarkistus oli –9,6 miljoonaa euroa (miinusta);</w:t>
      </w:r>
    </w:p>
    <w:p w:rsidR="00E346AC" w:rsidRPr="001F626B" w:rsidRDefault="00E346AC" w:rsidP="00381A79">
      <w:pPr>
        <w:pStyle w:val="NormalHanging12a"/>
        <w:widowControl/>
      </w:pPr>
      <w:r w:rsidRPr="001F626B">
        <w:t>9.</w:t>
      </w:r>
      <w:r w:rsidRPr="001F626B">
        <w:tab/>
        <w:t>panee merkille, että 28. marraskuuta 2022 talousarvioon tehdyssä toisessa tarkistuksessa myönnettiin miljoona euroa lisää maksumäärärahoja CBE-yhteisyrityksen asiantuntija-arvioijia varten osastossa 3</w:t>
      </w:r>
      <w:r w:rsidRPr="001F626B">
        <w:rPr>
          <w:rStyle w:val="FootnoteReference"/>
        </w:rPr>
        <w:footnoteReference w:id="19"/>
      </w:r>
      <w:r w:rsidRPr="001F626B">
        <w:t>, jotta kirjanpidon tasolla huomioitaisiin Euroopan komission lähestymistapa asiantuntija-arvioijia koskevien maksumäärärahojen käsittelyyn ehdotuspyynnöissä;</w:t>
      </w:r>
    </w:p>
    <w:p w:rsidR="00E346AC" w:rsidRPr="001F626B" w:rsidRDefault="00E346AC" w:rsidP="00381A79">
      <w:pPr>
        <w:pStyle w:val="NormalHanging12a"/>
        <w:widowControl/>
      </w:pPr>
      <w:r w:rsidRPr="001F626B">
        <w:t>10.</w:t>
      </w:r>
      <w:r w:rsidRPr="001F626B">
        <w:tab/>
        <w:t>panee merkille, että BBI-yhteisyrityksen alkuperäiseen talousarvioon sisältyi suhteellisen suuri käyttämättä jääneen talousarvion ylijäämä aiemmilta vuosilta (2019, 2020 ja 2021): hallinnollisella puolella 1,1 miljoonaa euroa maksusitoumusmäärärahoja ja 1,6 miljoonaa euroa maksumäärärahoja ja operatiivisella puolella 40 miljoonaa euroa maksumäärärahoja;</w:t>
      </w:r>
    </w:p>
    <w:p w:rsidR="00E346AC" w:rsidRPr="001F626B" w:rsidRDefault="00E346AC" w:rsidP="00381A79">
      <w:pPr>
        <w:pStyle w:val="NormalHanging12a"/>
        <w:widowControl/>
      </w:pPr>
      <w:r w:rsidRPr="001F626B">
        <w:t>11.</w:t>
      </w:r>
      <w:r w:rsidRPr="001F626B">
        <w:tab/>
        <w:t>panee merkille, että nämä uudelleen käyttöön otetut määrärahat käytettiin CBE-yhteisyrityksen varainhoitosääntöjen 6 artiklan 5 kohdan mukaisesti ja että niiden käyttöaste ylsi 69 prosenttiin hallinnollisen puolen maksusitoumusmäärärahojen osalta, 88 prosenttiin hallinnollisen puolen maksumäärärahojen osalta ja 100 prosenttiin operatiivisen puolen maksumäärärahojen osalta vuoden loppuun mennessä; panee merkille, että tärkein syy hallinnollisen talousarvion alhaisempaan toteutusasteeseen on se, että suuri määrä määrärahoja pidettiin saatavilla osaston 2</w:t>
      </w:r>
      <w:r w:rsidRPr="001F626B">
        <w:rPr>
          <w:rStyle w:val="FootnoteReference"/>
        </w:rPr>
        <w:footnoteReference w:id="20"/>
      </w:r>
      <w:r w:rsidRPr="001F626B">
        <w:t xml:space="preserve"> viestintää varten tarkoitetuissa budjettikohdissa aivan vuoden loppuun asti vuonna 2023 järjestettävää sidosryhmien foorumin tapahtumaa koskevan sopimuksen tekemistä varten;</w:t>
      </w:r>
    </w:p>
    <w:p w:rsidR="00E346AC" w:rsidRPr="001F626B" w:rsidRDefault="00E346AC" w:rsidP="00381A79">
      <w:pPr>
        <w:pStyle w:val="NormalHanging12a"/>
        <w:widowControl/>
      </w:pPr>
      <w:r w:rsidRPr="001F626B">
        <w:t>12.</w:t>
      </w:r>
      <w:r w:rsidRPr="001F626B">
        <w:tab/>
        <w:t>panee kuitenkin merkille, että CBE-yhteisyrityksen mukaan tämän hallinnointi ei ollut kuitenkaan mahdollista ja sopimus tehtiin lopulta tammikuun 2023 puolivälissä ja määrärahat otettiin uudelleen käyttöön vuosien 2023 ja 2024 talousarvioissa;</w:t>
      </w:r>
    </w:p>
    <w:p w:rsidR="00E346AC" w:rsidRPr="001F626B" w:rsidRDefault="00E346AC" w:rsidP="00381A79">
      <w:pPr>
        <w:pStyle w:val="NormalHanging12a"/>
        <w:widowControl/>
      </w:pPr>
      <w:r w:rsidRPr="001F626B">
        <w:t>13.</w:t>
      </w:r>
      <w:r w:rsidRPr="001F626B">
        <w:tab/>
        <w:t>panee merkille, että vuoden 2022 lopussa BBI-yhteisyrityksen käyttämättä jääneiden määrärahojen kokonaismäärä oli 1,1 miljoonaa euroa hallinnollisia maksusitoumusmäärärahoja ja 1,5 miljoonaa euroa hallinnollisia maksumäärärahoja sekä 25,2 miljoonaa euroa operatiivisia maksumäärärahoja;</w:t>
      </w:r>
    </w:p>
    <w:p w:rsidR="00E346AC" w:rsidRPr="001F626B" w:rsidRDefault="00E346AC" w:rsidP="00381A79">
      <w:pPr>
        <w:pStyle w:val="NormalHanging12a"/>
        <w:widowControl/>
      </w:pPr>
      <w:r w:rsidRPr="001F626B">
        <w:t>14.</w:t>
      </w:r>
      <w:r w:rsidRPr="001F626B">
        <w:tab/>
        <w:t xml:space="preserve">panee merkille, että CBE-yhteisyrityksen puolella ei ollut merkittäviä uudelleen käyttöön otettuja määrärahoja, koska määrärahoja ei ollut pyydetty ennen vuotta 2021; </w:t>
      </w:r>
      <w:r w:rsidRPr="001F626B">
        <w:lastRenderedPageBreak/>
        <w:t>panee kuitenkin merkille, että komission tutkimuksen ja innovoinnin pääosasto oli sitonut CBE-yhteisyritykselle komission puolelta (mukaan lukien vuoden 2021 ehdotuspyyntö, jota ei koskaan toteutettu) alun perin suunnitellut määrärahat, joten CBE-yhteisyrityksen oli otettava vuoden 2022 hallinnolliseen ja toimintatalousarvioonsa CBE-yhteisyritykselle sekä vuosiksi 2021 että 2022 suunnitellut maksumäärärahasitoumukset ja maksumäärärahat;</w:t>
      </w:r>
    </w:p>
    <w:p w:rsidR="00E346AC" w:rsidRPr="001F626B" w:rsidRDefault="00E346AC" w:rsidP="00381A79">
      <w:pPr>
        <w:pStyle w:val="NormalHanging12a"/>
        <w:widowControl/>
      </w:pPr>
      <w:r w:rsidRPr="001F626B">
        <w:t>15.</w:t>
      </w:r>
      <w:r w:rsidRPr="001F626B">
        <w:tab/>
        <w:t>panee lisäksi merkille, että hallinnollisella puolella BBI-yhteisyrityksen vanhojen määrärahojen toteuttaminen asetetaan etusijalle vuoden 2024 loppuun asti, sillä CBE-yhteisyrityksen hallinnollisia määrärahoja ei toteutettu juuri lainkaan vuonna 2022; panee merkille, että tämä vähentää talousarvion yleistä toteuttamista, mutta tätä tarkoitusta varten esitetään myös toteuttamisasteet vain BBI-yhteisyrityksen hallinnollisen talousarvion osalta realistista vertailua varten;</w:t>
      </w:r>
    </w:p>
    <w:p w:rsidR="00E346AC" w:rsidRPr="001F626B" w:rsidRDefault="00E346AC" w:rsidP="00381A79">
      <w:pPr>
        <w:pStyle w:val="NormalHanging12a"/>
        <w:widowControl/>
      </w:pPr>
      <w:r w:rsidRPr="001F626B">
        <w:t>16.</w:t>
      </w:r>
      <w:r w:rsidRPr="001F626B">
        <w:tab/>
        <w:t>panee tilintarkastustuomioistuimen kertomuksesta merkille, että yhteisyrityksen varainhoitovuoden 2022 tilinpäätökseen kirjattujen rahoitusosuuksien suuruus vaihtelee merkittävästi osakkaiden tyypistä (unioni vai yksityiset osakkaat) riippuen; toteaa, että tähän on syynä se, että unionin käteissuoritukset validoidaan ja kirjataan, kun ne maksetaan CBE-yhteisyritykselle hankkeen toteutuksen alkaessa, kun taas osakkaiden luontoissuoritukset kirjataan vasta, kun hankkeen toteutuksesta aiheutuneet kulut on validoitu ja ilmoitettu;</w:t>
      </w:r>
    </w:p>
    <w:p w:rsidR="00E346AC" w:rsidRPr="001F626B" w:rsidRDefault="00E346AC" w:rsidP="00381A79">
      <w:pPr>
        <w:pStyle w:val="NormalHanging12a"/>
        <w:widowControl/>
      </w:pPr>
      <w:r w:rsidRPr="001F626B">
        <w:t>17.</w:t>
      </w:r>
      <w:r w:rsidRPr="001F626B">
        <w:tab/>
        <w:t>kehottaa CBE-yhteisyritystä selvittämään käteissuorituksina kirjatun määrän ja luontoissuorituksina kirjatun määrän välistä eroa antamalla tietoja siitä, mikä oli osakkaiden oikeudellisten sitoumusten tilanne vuoden lopussa, kun huomioon otetaan tehdyt avustussopimukset ja muut sopimukset; on tyytyväinen, että CBE-yhteisyritys on sitoutunut tarkastelemaan asiaa seuraavan vuoden tilinpäätöksessä;</w:t>
      </w:r>
    </w:p>
    <w:p w:rsidR="00E346AC" w:rsidRPr="001F626B" w:rsidRDefault="00E346AC" w:rsidP="00381A79">
      <w:pPr>
        <w:pStyle w:val="NormalHanging12a"/>
        <w:widowControl/>
      </w:pPr>
      <w:r w:rsidRPr="001F626B">
        <w:t>18.</w:t>
      </w:r>
      <w:r w:rsidRPr="001F626B">
        <w:tab/>
        <w:t>panee merkille, että yksityisten osakkaiden validoidut luontoissuoritukset operatiivisiin toimiin jäivät vähäisiksi, 65,9 miljoonaan euroon, sillä yhteisyritys todentaa suoritukset vasta, kun Horisontti 2020 -puiteohjelman hankkeiden loppumaksut on suoritettu ja todistukset taloutta koskevista selvityksistä on esitettävä;</w:t>
      </w:r>
    </w:p>
    <w:p w:rsidR="00E346AC" w:rsidRPr="001F626B" w:rsidRDefault="00E346AC" w:rsidP="00381A79">
      <w:pPr>
        <w:pStyle w:val="NormalHanging12a"/>
        <w:widowControl/>
      </w:pPr>
      <w:r w:rsidRPr="001F626B">
        <w:t>19.</w:t>
      </w:r>
      <w:r w:rsidRPr="001F626B">
        <w:tab/>
        <w:t>panee huolestuneena merkille, että Horisontti 2020 -puiteohjelman yksityiset osakkaat eivät saavuta operatiivisten toimien viitteellistä rahoitusosuuden tavoitetta ohjelman täytäntöönpanon lopussa;</w:t>
      </w:r>
    </w:p>
    <w:p w:rsidR="00E346AC" w:rsidRPr="001F626B" w:rsidRDefault="00E346AC" w:rsidP="00381A79">
      <w:pPr>
        <w:pStyle w:val="NormalHanging12a"/>
        <w:widowControl/>
      </w:pPr>
      <w:r w:rsidRPr="001F626B">
        <w:t>20.</w:t>
      </w:r>
      <w:r w:rsidRPr="001F626B">
        <w:tab/>
        <w:t>panee merkille ohjelmien täytäntöönpanoon liittyvät riskit CBE-yhteisyrityksen kohdalla, jos yksityiset osakkaat eivät saavuta rahoitusosuuksille asetettua vähimmäistavoitetta ennen Horisontti 2020 -puiteohjelman päättymistä;</w:t>
      </w:r>
    </w:p>
    <w:p w:rsidR="00E346AC" w:rsidRPr="001F626B" w:rsidRDefault="00E346AC" w:rsidP="00381A79">
      <w:pPr>
        <w:pStyle w:val="NormalHanging12a"/>
        <w:widowControl/>
      </w:pPr>
      <w:r w:rsidRPr="001F626B">
        <w:t>21.</w:t>
      </w:r>
      <w:r w:rsidRPr="001F626B">
        <w:tab/>
        <w:t>panee merkille, että CBE-yhteisyrityksen Horisontti 2020 -puiteohjelmaan liittyvien saavutusten osalta CBE-yhteisyritys oli vuoden 2022 lopussa sitonut täysimääräisesti Horisontti 2020 -puiteohjelmassa tehtävien avustussopimusten unionin operatiivisen enimmäisrahoitusosuuden (815,8 miljoonaa euroa); panee lisäksi merkille, että tästä sidotusta määrästä noin 94 miljoonaa euroa (11,5 prosenttia) jää maksettavaksi tulevina vuosina sellaisten hankkeiden perusteella, jotka on vielä saatava päätökseen;</w:t>
      </w:r>
    </w:p>
    <w:p w:rsidR="00E346AC" w:rsidRPr="001F626B" w:rsidRDefault="00E346AC" w:rsidP="00381A79">
      <w:pPr>
        <w:pStyle w:val="NormalHanging12a"/>
        <w:widowControl/>
      </w:pPr>
      <w:r w:rsidRPr="001F626B">
        <w:t>22.</w:t>
      </w:r>
      <w:r w:rsidRPr="001F626B">
        <w:tab/>
        <w:t xml:space="preserve">panee lisäksi merkille, että yksityiset osakkaat olivat vuoden 2022 loppuun mennessä antaneet oikeudellisen sitoumuksen 258,4 miljoonan euron luontoissuorituksista ja rahoitusosuuksista yhteisyrityksen operatiivisiin toimiin (54 prosenttia 475,3 miljoonan </w:t>
      </w:r>
      <w:r w:rsidRPr="001F626B">
        <w:lastRenderedPageBreak/>
        <w:t>euron viitteellisestä tavoitteesta, joka oli asetettu yhteisyrityksen hyväksymissä vuotuisissa työohjelmissa); panee merkille, että CBE-yhteisyritys raportoi sidotun määrän osalta 154,7 miljoonaa euroa (32,5 prosenttia tavoitteesta) vuoden 2022 lopussa;</w:t>
      </w:r>
    </w:p>
    <w:p w:rsidR="00E346AC" w:rsidRPr="001F626B" w:rsidRDefault="00E346AC" w:rsidP="00381A79">
      <w:pPr>
        <w:pStyle w:val="NormalHanging12a"/>
        <w:widowControl/>
      </w:pPr>
      <w:r w:rsidRPr="001F626B">
        <w:t>23.</w:t>
      </w:r>
      <w:r w:rsidRPr="001F626B">
        <w:tab/>
        <w:t>panee lisäksi merkille, että vuonna 2022 yhteisyrityksen oli vuonna 2022 peruutettava sovittuja hankkeita noin 8,2 miljoonan euron arvosta, mikä johtui erään Horisontti 2020 -puiteohjelman lippulaivahankkeen ennakoimattomasta päättymisestä ja useiden muiden hankkeiden keskeyttämisestä, ja koska kaikki Horisontti 2020 -puiteohjelman ehdotuspyynnöt saatiin päätökseen vuoden 2020 loppuun mennessä, CBE-yhteisyritys ei tule saavuttamaan yksityisten osakkaiden luontoissuorituksille operatiivisten toimien osalta asetettua viitteellistä tavoitetta ohjelmakauden loppuun mennessä;</w:t>
      </w:r>
    </w:p>
    <w:p w:rsidR="00E346AC" w:rsidRPr="001F626B" w:rsidRDefault="00E346AC" w:rsidP="00381A79">
      <w:pPr>
        <w:pStyle w:val="NormalHanging12a"/>
        <w:widowControl/>
      </w:pPr>
      <w:r w:rsidRPr="001F626B">
        <w:t>24.</w:t>
      </w:r>
      <w:r w:rsidRPr="001F626B">
        <w:tab/>
        <w:t>panee tyytyväisenä merkille, että CBE-yhteisyritys totesi, että se on saavuttanut operatiiviset tavoitteensa Horisontti 2020 -puiteohjelmaan liittyvissä ehdotuspyynnöissä; panee kuitenkin merkille, että tilintarkastustuomioistuin katsoo, että tämä yksityisten osakkaiden rahoitusosuuksien merkittävä kutistuminen vaarantaa kuitenkin CBE-yhteisyrityksen kokonaistavoitteen toteutumisen Horisontti 2020 -puiteohjelman osalta;</w:t>
      </w:r>
    </w:p>
    <w:p w:rsidR="00E346AC" w:rsidRPr="001F626B" w:rsidRDefault="00E346AC" w:rsidP="00381A79">
      <w:pPr>
        <w:pStyle w:val="NormalHanging12a"/>
        <w:widowControl/>
      </w:pPr>
      <w:r w:rsidRPr="001F626B">
        <w:t>25.</w:t>
      </w:r>
      <w:r w:rsidRPr="001F626B">
        <w:tab/>
        <w:t>panee merkille, että CBE-yhteisyritys pyrki varmistamaan, että yksityisille osakkaille perustamisasetuksessa määritetty rahoitusosuuden kokonaistavoite (2 730 miljoonaa euroa) saavutetaan ennen kuin ohjelmakausi päättyy, mitä varten se korotti täydentäviin toimiin tarkoitetuille yksityisten osakkaiden luontoissuorituksille asetetun tavoitteen 2 235,5 miljoonaan euroon; panee merkille, että vuoden 2022 lopussa yksityiset osakkaat olivat raportoineet täydentäviin toimiin tarkoitettuja luontoissuorituksia kaikkiaan 1 797,9 miljoonan euron arvosta (73,8 prosenttia uudesta tavoitteesta), mutta raportoidusta määrästä 658 miljoonan euron (37 prosenttia) kohdalla todentamisprosessi oli kesken;</w:t>
      </w:r>
    </w:p>
    <w:p w:rsidR="00E346AC" w:rsidRPr="001F626B" w:rsidRDefault="00E346AC" w:rsidP="00381A79">
      <w:pPr>
        <w:pStyle w:val="NormalHanging12a"/>
        <w:widowControl/>
      </w:pPr>
      <w:r w:rsidRPr="001F626B">
        <w:t>26.</w:t>
      </w:r>
      <w:r w:rsidRPr="001F626B">
        <w:tab/>
        <w:t>panee tyytyväisenä merkille, että biopohjaisten teollisuudenalojen yhteenliittymä pyrki lieventämään riskiä siitä, että CBE-yhteisyritys ei saavuta täydentäviin toimiin tarkoitetuille luontoissuorituksille asetettua uutta tavoitetta ohjelmakauden loppuun mennessä, mitä varten se ehdotti marraskuussa 2022 yhteisyrityksen hallintoneuvostolle, että täydentäviin toimiin tarkoitettuja yksityisten osakkaiden investointeja hyväksyttäisiin vielä 416 miljoonan verran vuodeksi 2023;</w:t>
      </w:r>
    </w:p>
    <w:p w:rsidR="00E346AC" w:rsidRPr="001F626B" w:rsidRDefault="00E346AC" w:rsidP="00381A79">
      <w:pPr>
        <w:pStyle w:val="NormalHanging12a"/>
        <w:widowControl/>
      </w:pPr>
      <w:r w:rsidRPr="001F626B">
        <w:t>27.</w:t>
      </w:r>
      <w:r w:rsidRPr="001F626B">
        <w:tab/>
        <w:t>panee huolestuneena merkille, että tilintarkastustuomioistuin katsoo, että Horisontti 2020 -puiteohjelman toimiin liittyvät vuoden 2022 talousarviomaksut vaikeutuivat;</w:t>
      </w:r>
      <w:r w:rsidRPr="001F626B">
        <w:rPr>
          <w:b/>
          <w:i/>
        </w:rPr>
        <w:t xml:space="preserve"> </w:t>
      </w:r>
      <w:r w:rsidRPr="001F626B">
        <w:t>toteaa tämän johtuneen siitä, että edunsaajien kulut kasvoivat ja toimitukset hankaloituivat;</w:t>
      </w:r>
    </w:p>
    <w:p w:rsidR="00E346AC" w:rsidRPr="001F626B" w:rsidRDefault="00E346AC" w:rsidP="00381A79">
      <w:pPr>
        <w:pStyle w:val="NormalHanging12a"/>
        <w:widowControl/>
      </w:pPr>
      <w:r w:rsidRPr="001F626B">
        <w:t>28.</w:t>
      </w:r>
      <w:r w:rsidRPr="001F626B">
        <w:tab/>
        <w:t>panee merkille, että CBE-yhteisyritys ei saanut Horisontti 2020 -puiteohjelman toimiin uusia operatiivisia maksusitoumusmäärärahoja, sillä se oli saanut päätökseen viimeisen ehdotuspyyntömenettelynsä vuoden 2020 loppuun mennessä; panee merkille, että operatiivisten maksumäärärahojen toteuttamisaste laski 65 prosenttiin (2021: 85 prosenttia), mihin olivat CBE-yhteisyrityksen mukaan syynä kulujen kasvu ja toimitusvaikeudet, joita edunsaajat kohtasivat covid-19-kriisin ja Ukrainan sodan vuoksi, ja näin ollen useimpien Horisontti 2020 -puiteohjelman hankkeiden kestoa oli pidennettävä ja loppumaksuja lykättävä vuodelle 2023;</w:t>
      </w:r>
    </w:p>
    <w:p w:rsidR="00E346AC" w:rsidRPr="001F626B" w:rsidRDefault="00E346AC" w:rsidP="00381A79">
      <w:pPr>
        <w:pStyle w:val="NormalHanging12a"/>
        <w:widowControl/>
      </w:pPr>
      <w:r w:rsidRPr="001F626B">
        <w:lastRenderedPageBreak/>
        <w:t>29.</w:t>
      </w:r>
      <w:r w:rsidRPr="001F626B">
        <w:tab/>
        <w:t>on samaa mieltä tilintarkastustuomioistuimen kanssa siitä, että CBE-yhteisyrityksen olisi laadittava aiempien monivuotisten rahoituskehysten yhteydessä hyväksyttyjen hankkeiden toteuttamista koskeva toimintasuunnitelma, jossa on aikataulu hankkeiden päättämiselle;</w:t>
      </w:r>
    </w:p>
    <w:p w:rsidR="00E346AC" w:rsidRPr="001F626B" w:rsidRDefault="00E346AC" w:rsidP="00381A79">
      <w:pPr>
        <w:pStyle w:val="NormalHanging12a"/>
        <w:widowControl/>
      </w:pPr>
      <w:r w:rsidRPr="001F626B">
        <w:t>30.</w:t>
      </w:r>
      <w:r w:rsidRPr="001F626B">
        <w:tab/>
        <w:t>on samaa mieltä tilintarkastustuomioistuimen kanssa siitä, että CBE-yhteisyrityksen olisi varmistettava, että monivuotiselle rahoituskehykselle 2021–2027 asetetut yksityisten osakkaiden rahoitusosuustavoitteet saavutetaan, ja tätä varten vuosittain seurattava ohjelman strategisen toteutussuunnitelman perusteella kunkin yksityisen osakkaan rahoitustavoitteen saavuttamista;</w:t>
      </w:r>
    </w:p>
    <w:p w:rsidR="00E346AC" w:rsidRPr="001F626B" w:rsidRDefault="00E346AC" w:rsidP="00381A79">
      <w:pPr>
        <w:pStyle w:val="NormalHanging12a"/>
        <w:widowControl/>
      </w:pPr>
      <w:r w:rsidRPr="001F626B">
        <w:t>31.</w:t>
      </w:r>
      <w:r w:rsidRPr="001F626B">
        <w:tab/>
        <w:t>panee merkille, että yhteisyritys käytti vuonna 2022 vain 47 prosenttia maksusitoumusmäärärahoistaan, jotka oli tarkoitettu hankkeisiin, jotka liittyvät Horisontti Eurooppa -puiteohjelman ensimmäiseen merkittävään ehdotuspyyntöön (120 miljoonaa euroa), jonka yhteisyritys oli käynnistänyt aiemmin samana vuonna;</w:t>
      </w:r>
    </w:p>
    <w:p w:rsidR="00E346AC" w:rsidRPr="001F626B" w:rsidRDefault="00E346AC" w:rsidP="00381A79">
      <w:pPr>
        <w:pStyle w:val="NormalHanging12a"/>
        <w:widowControl/>
      </w:pPr>
      <w:r w:rsidRPr="001F626B">
        <w:t>32.</w:t>
      </w:r>
      <w:r w:rsidRPr="001F626B">
        <w:tab/>
        <w:t>panee merkille, että sekä komissio että yksityiset osakkaat tekivät CBE-yhteisyrityksen hallintokuluihin 0,8 miljoonan euron käteissuoritukset vuonna 2022; panee merkille, että CBE-yhteisyritys ei pyytänyt käteissuorituksia Horisontti Eurooppa -puiteohjelman toimiin, sillä sen odotuksena oli vain, että se saa ensimmäisen, vuoden 2022 alussa käynnistämänsä Horisontti Eurooppa -puiteohjelman ehdotuspyynnön päätökseen vuoden 2023 alkupuoliskolla;</w:t>
      </w:r>
    </w:p>
    <w:p w:rsidR="00E346AC" w:rsidRPr="001F626B" w:rsidRDefault="00E346AC" w:rsidP="00381A79">
      <w:pPr>
        <w:pStyle w:val="NormalHanging12a"/>
        <w:widowControl/>
      </w:pPr>
      <w:r w:rsidRPr="001F626B">
        <w:t>33.</w:t>
      </w:r>
      <w:r w:rsidRPr="001F626B">
        <w:tab/>
        <w:t>panee merkille, että palkkoihin tarkoitettujen CBE-yhteisyrityksen määrärahojen (osasto</w:t>
      </w:r>
      <w:r w:rsidR="00381A79">
        <w:t> </w:t>
      </w:r>
      <w:r w:rsidRPr="001F626B">
        <w:t>1) toteutusaste oli vuoden 2022 lopussa alhainen, 55 prosenttia, mihin syynä oli se, että vuonna 2022 rekrytoidun uuden henkilöstön työsopimusten alkaminen viivästyi;</w:t>
      </w:r>
    </w:p>
    <w:p w:rsidR="00E346AC" w:rsidRPr="001F626B" w:rsidRDefault="00E346AC" w:rsidP="00381A79">
      <w:pPr>
        <w:pStyle w:val="NormalHanging12a"/>
        <w:keepNext/>
        <w:widowControl/>
        <w:ind w:left="0" w:firstLine="0"/>
        <w:rPr>
          <w:b/>
          <w:i/>
        </w:rPr>
      </w:pPr>
      <w:r w:rsidRPr="001F626B">
        <w:rPr>
          <w:b/>
          <w:i/>
        </w:rPr>
        <w:t>Hankinnat ja henkilöstö</w:t>
      </w:r>
    </w:p>
    <w:p w:rsidR="00E346AC" w:rsidRPr="001F626B" w:rsidRDefault="00E346AC" w:rsidP="00381A79">
      <w:pPr>
        <w:pStyle w:val="NormalHanging12a"/>
        <w:widowControl/>
      </w:pPr>
      <w:r w:rsidRPr="001F626B">
        <w:t>34.</w:t>
      </w:r>
      <w:r w:rsidRPr="001F626B">
        <w:tab/>
        <w:t>panee merkille, että CBE-yhteisyritys jatkoi vuonna 2022 nykyisten Euroopan komission tasolla tehtyjen puitesopimusten mahdollisimman laajaa hyödyntämistä; panee merkille, että silloin kun nämä sopimukset eivät olleet CBE-yhteisyrityksen käytettävissä tai niiden voimassaolo oli päättynyt, oli käynnistettävä erityisiä tarjouskilpailumenettelyjä, joista useimmat koskivat arvoltaan alhaisia sopimuksia</w:t>
      </w:r>
      <w:r w:rsidRPr="001F626B">
        <w:rPr>
          <w:rStyle w:val="FootnoteReference"/>
        </w:rPr>
        <w:footnoteReference w:id="21"/>
      </w:r>
      <w:r w:rsidRPr="001F626B">
        <w:t>;</w:t>
      </w:r>
    </w:p>
    <w:p w:rsidR="00E346AC" w:rsidRPr="001F626B" w:rsidRDefault="00E346AC" w:rsidP="00381A79">
      <w:pPr>
        <w:pStyle w:val="NormalHanging12a"/>
        <w:widowControl/>
      </w:pPr>
      <w:r w:rsidRPr="001F626B">
        <w:t>35.</w:t>
      </w:r>
      <w:r w:rsidRPr="001F626B">
        <w:tab/>
        <w:t>panee merkille, että CBE-yhteisyritys allekirjoitti myös puitesopimuksen nojalla yhteisiä tietotekniikkapalveluja koskevia erityissopimuksia, joita hallinnoidaan yhdessä muiden yhteisyritysten kanssa; panee lisäksi merkille, että CBE-yhteisyritys käytti vuonna 2022 komission kanssa voimassa olevia palvelutasosopimuksia;</w:t>
      </w:r>
    </w:p>
    <w:p w:rsidR="00E346AC" w:rsidRPr="001F626B" w:rsidRDefault="00E346AC" w:rsidP="00381A79">
      <w:pPr>
        <w:pStyle w:val="NormalHanging12a"/>
        <w:widowControl/>
      </w:pPr>
      <w:r w:rsidRPr="001F626B">
        <w:t>36.</w:t>
      </w:r>
      <w:r w:rsidRPr="001F626B">
        <w:tab/>
        <w:t xml:space="preserve">panee </w:t>
      </w:r>
      <w:proofErr w:type="spellStart"/>
      <w:r w:rsidRPr="001F626B">
        <w:t>konsolidoidusta</w:t>
      </w:r>
      <w:proofErr w:type="spellEnd"/>
      <w:r w:rsidRPr="001F626B">
        <w:t xml:space="preserve"> vuotuisesta toimintakertomuksesta merkille, että vuosi 2022 oli siirtymävuosi BBI-yhteisyrityksestä CBE-yhteisyritykseen; panee merkille, että vuoden 2022 loppuun mennessä CBE-yhteisyrityksen ohjelmatoimistossa työskenteli 26 henkilöstön jäsentä (22 vuonna 2021), eli yhteisyritys lähes saavutti henkilöstötaulukkonsa</w:t>
      </w:r>
      <w:r w:rsidRPr="001F626B">
        <w:rPr>
          <w:rStyle w:val="FootnoteReference"/>
        </w:rPr>
        <w:footnoteReference w:id="22"/>
      </w:r>
      <w:r w:rsidRPr="001F626B">
        <w:t xml:space="preserve"> mukaisen henkilöstön täyden määrän uudella toimikaudellaan; </w:t>
      </w:r>
      <w:r w:rsidRPr="001F626B">
        <w:lastRenderedPageBreak/>
        <w:t>pitää myönteisenä, että CBE-yhteisyrityksen palvelukseen on otettu uuden toimeksiannon puitteissa kahdeksan uutta työntekijää;</w:t>
      </w:r>
    </w:p>
    <w:p w:rsidR="00E346AC" w:rsidRPr="001F626B" w:rsidRDefault="00E346AC" w:rsidP="00381A79">
      <w:pPr>
        <w:pStyle w:val="NormalHanging12a"/>
        <w:widowControl/>
      </w:pPr>
      <w:r w:rsidRPr="001F626B">
        <w:t>37.</w:t>
      </w:r>
      <w:r w:rsidRPr="001F626B">
        <w:tab/>
        <w:t>panee merkille, että CBE-yhteisyritys vahvisti vuonna 2022 tasapuolisen sukupuolten edustuksen johtotehtävissä, joissa naisten edustus oli 50 prosenttia;</w:t>
      </w:r>
    </w:p>
    <w:p w:rsidR="00E346AC" w:rsidRPr="001F626B" w:rsidRDefault="00E346AC" w:rsidP="00381A79">
      <w:pPr>
        <w:pStyle w:val="NormalHanging12a"/>
        <w:widowControl/>
      </w:pPr>
      <w:r w:rsidRPr="001F626B">
        <w:t>38.</w:t>
      </w:r>
      <w:r w:rsidRPr="001F626B">
        <w:tab/>
        <w:t>panee merkille, että CBE-yhteisyrityksen henkilöstö hallinnoi samanaikaisesti yhä useampia käynnissä olevia hankkeita, jotka liittyvät useisiin monivuotisen rahoituskehyksen ohjelmiin; kehottaa kiinnittämään huomiota siihen, että tämä suuntaus ei saa heikentää CBE-yhteisyrityksen sisäisen valvonnan tehokkuutta ja näiden varojen hallinnointia tai viivästyttää uusien ohjelmien täytäntöönpanoa;</w:t>
      </w:r>
    </w:p>
    <w:p w:rsidR="00E346AC" w:rsidRPr="001F626B" w:rsidRDefault="00E346AC" w:rsidP="00381A79">
      <w:pPr>
        <w:pStyle w:val="NormalHanging12a"/>
        <w:widowControl/>
        <w:ind w:left="0" w:firstLine="0"/>
        <w:rPr>
          <w:b/>
          <w:i/>
        </w:rPr>
      </w:pPr>
      <w:r w:rsidRPr="001F626B">
        <w:rPr>
          <w:b/>
          <w:i/>
        </w:rPr>
        <w:t>Hallinto- ja valvontajärjestelmät</w:t>
      </w:r>
    </w:p>
    <w:p w:rsidR="00E346AC" w:rsidRPr="001F626B" w:rsidRDefault="00E346AC" w:rsidP="00381A79">
      <w:pPr>
        <w:pStyle w:val="NormalHanging12a"/>
        <w:widowControl/>
      </w:pPr>
      <w:r w:rsidRPr="001F626B">
        <w:t>39.</w:t>
      </w:r>
      <w:r w:rsidRPr="001F626B">
        <w:tab/>
        <w:t>panee merkille tilintarkastustuomioistuimen hallinto- ja valvontajärjestelmiä koskevista huomautuksista, että Horisontti 2020- ja Horisontti Eurooppa -puiteohjelmien menojen jälkitarkastuksista vastaa komission tutkimuksen ja innovoinnin pääosaston yhteinen tarkastustoiminto;</w:t>
      </w:r>
    </w:p>
    <w:p w:rsidR="00E346AC" w:rsidRPr="001F626B" w:rsidRDefault="00E346AC" w:rsidP="00381A79">
      <w:pPr>
        <w:pStyle w:val="NormalHanging12a"/>
        <w:widowControl/>
      </w:pPr>
      <w:r w:rsidRPr="001F626B">
        <w:t>40.</w:t>
      </w:r>
      <w:r w:rsidRPr="001F626B">
        <w:tab/>
        <w:t>panee merkille, että Horisontti 2020 -puiteohjelman menojen (selvitetyt ennakkomaksut ja loppumaksut) osalta yhteisyritys raportoi edustavaksi virhetasoksi 1,9 prosenttia ja jäännösvirhetasoksi 1,2 prosenttia;</w:t>
      </w:r>
    </w:p>
    <w:p w:rsidR="00E346AC" w:rsidRPr="001F626B" w:rsidRDefault="00E346AC" w:rsidP="00381A79">
      <w:pPr>
        <w:pStyle w:val="NormalHanging12a"/>
        <w:widowControl/>
      </w:pPr>
      <w:r w:rsidRPr="001F626B">
        <w:t>41.</w:t>
      </w:r>
      <w:r w:rsidRPr="001F626B">
        <w:tab/>
        <w:t>panee merkille, että Horisontti Eurooppa -puiteohjelman jälkitarkastukset ovat vielä tekemättä, sillä ensimmäiset välimaksut on tarkoitus suorittaa vasta vuonna 2024;</w:t>
      </w:r>
    </w:p>
    <w:p w:rsidR="00E346AC" w:rsidRPr="001F626B" w:rsidRDefault="00E346AC" w:rsidP="00381A79">
      <w:pPr>
        <w:pStyle w:val="NormalHanging12a"/>
        <w:widowControl/>
      </w:pPr>
      <w:r w:rsidRPr="001F626B">
        <w:t>42.</w:t>
      </w:r>
      <w:r w:rsidRPr="001F626B">
        <w:tab/>
        <w:t>panee merkille, että arvioidakseen CBE-yhteisyrityksen operatiivisia kontrolleja, jotka liittyivät maksuihin, tilintarkastustuomioistuin poimi ja tarkasti satunnaisotoksen, joka koostui lopullisille edunsaajille vuonna 2022 suoritetuista Horisontti 2020 -puiteohjelman maksuista</w:t>
      </w:r>
      <w:r w:rsidRPr="001F626B">
        <w:rPr>
          <w:rStyle w:val="FootnoteReference"/>
        </w:rPr>
        <w:footnoteReference w:id="23"/>
      </w:r>
      <w:r w:rsidRPr="001F626B">
        <w:t xml:space="preserve">; panee merkille, että yhdessä tapauksessa tilintarkastustuomioistuin havaitsi ja </w:t>
      </w:r>
      <w:proofErr w:type="spellStart"/>
      <w:r w:rsidRPr="001F626B">
        <w:t>kvantifioi</w:t>
      </w:r>
      <w:proofErr w:type="spellEnd"/>
      <w:r w:rsidRPr="001F626B">
        <w:t xml:space="preserve"> vakavan virheen, joka johtui liian suurina ilmoitetuista henkilöstökuluista, koska edunsaaja oli muuttanut tuntipalkkojen laskentamenetelmää varainhoitovuoden aikana ja sisällyttänyt ilmoittamiinsa kuluihin tukeen oikeuttamattomia eläkekuluja ja palkanlisiä;</w:t>
      </w:r>
    </w:p>
    <w:p w:rsidR="00E346AC" w:rsidRPr="001F626B" w:rsidRDefault="00E346AC" w:rsidP="00381A79">
      <w:pPr>
        <w:pStyle w:val="NormalHanging12a"/>
        <w:widowControl/>
      </w:pPr>
      <w:r w:rsidRPr="001F626B">
        <w:t>43.</w:t>
      </w:r>
      <w:r w:rsidRPr="001F626B">
        <w:tab/>
        <w:t>panee tyytyväisenä merkille, että CBE-yhteisyritys laati riskiperusteisen jälkitarkastustavan, minkä avulla se pyrki alentamaan jälkitarkastustensa virhetasoa paremmin kohdennetulla otoksella, jotta se pystyi tunnistamaan virheille altteimmat edunsaajansa ja siten vahvistamaan jälkitarkastustensa puhdistusvaikutusta. katsoo, että tämä on merkittävä myönteinen muutos jälkitarkastustavassa, koska Horisontti Eurooppa ‐puiteohjelman avustuksia koskeva komission sisäisen valvonnan kehys ei mahdollista erityisten yhteisyritystä koskevien edustavien otosten laatimista ja näin ollen erityisten yhteisyritystä koskevien edustavien virhetasojen ja jäännösvirhetasojen laskemista;</w:t>
      </w:r>
    </w:p>
    <w:p w:rsidR="00E346AC" w:rsidRPr="001F626B" w:rsidRDefault="00E346AC" w:rsidP="00381A79">
      <w:pPr>
        <w:pStyle w:val="NormalHanging12a"/>
        <w:widowControl/>
      </w:pPr>
      <w:r w:rsidRPr="001F626B">
        <w:t>44.</w:t>
      </w:r>
      <w:r w:rsidRPr="001F626B">
        <w:tab/>
        <w:t xml:space="preserve">panee merkille, että tilintarkastustuomioistuin katsoi, että yhteisyritykset, joilla on hyvin laadittu riskiperusteinen jälkitarkastustapa, on keskimäärin alhaisempi jäännösvirhetaso </w:t>
      </w:r>
      <w:r w:rsidRPr="001F626B">
        <w:lastRenderedPageBreak/>
        <w:t>kuin yhteisyrityksillä, joilla ei ole tällaista tarkastustapaa, riskialtteimpien edunsaajien järjestelmällisen yksilöinnin ja tarkastamisen vuoksi;</w:t>
      </w:r>
    </w:p>
    <w:p w:rsidR="00E346AC" w:rsidRPr="001F626B" w:rsidRDefault="00E346AC" w:rsidP="00381A79">
      <w:pPr>
        <w:pStyle w:val="NormalHanging12a"/>
        <w:widowControl/>
        <w:ind w:left="0" w:firstLine="0"/>
        <w:rPr>
          <w:b/>
          <w:i/>
        </w:rPr>
      </w:pPr>
      <w:r w:rsidRPr="001F626B">
        <w:rPr>
          <w:b/>
          <w:i/>
        </w:rPr>
        <w:t>Aiempina vuosina esitettyjen huomautusten seuranta</w:t>
      </w:r>
    </w:p>
    <w:p w:rsidR="00E346AC" w:rsidRPr="001F626B" w:rsidRDefault="00E346AC" w:rsidP="00381A79">
      <w:pPr>
        <w:pStyle w:val="NormalHanging12a"/>
        <w:widowControl/>
      </w:pPr>
      <w:r w:rsidRPr="001F626B">
        <w:t>45.</w:t>
      </w:r>
      <w:r w:rsidRPr="001F626B">
        <w:tab/>
        <w:t>panee merkille, että CBE-yhteisyrityksen erityisvuosikertomuksissa esitetyt huomiot ovat itse asiassa tilintarkastustuomioistuimen suosituksia, joille ei ole asetettu määräaikaa; panee merkille, että tilintarkastustuomioistuin seuraa vuosittain näitä huomautuksia arvioimalla niiden tilanteeksi joko ”käsittely kesken” tai ”käsittely päätetty”;</w:t>
      </w:r>
    </w:p>
    <w:p w:rsidR="00E346AC" w:rsidRPr="001F626B" w:rsidRDefault="00E346AC" w:rsidP="00381A79">
      <w:pPr>
        <w:pStyle w:val="NormalHanging12a"/>
        <w:widowControl/>
      </w:pPr>
      <w:r w:rsidRPr="001F626B">
        <w:t>46.</w:t>
      </w:r>
      <w:r w:rsidRPr="001F626B">
        <w:tab/>
        <w:t>panee merkille, että tilintarkastustuomioistuin antoi kolme huomautusta (vuosina 2020 ja 2021), joista kahden käsittely on edelleen kesken, ja että ne liittyvät CBE-yhteisyrityksen teollisuutta edustavien ja yksityisten osakkaiden rahoitusosuuksiin;</w:t>
      </w:r>
    </w:p>
    <w:p w:rsidR="00E365E1" w:rsidRPr="001F626B" w:rsidRDefault="00E346AC" w:rsidP="00381A79">
      <w:pPr>
        <w:pStyle w:val="NormalHanging12a"/>
        <w:widowControl/>
      </w:pPr>
      <w:r w:rsidRPr="001F626B">
        <w:t>47.</w:t>
      </w:r>
      <w:r w:rsidRPr="001F626B">
        <w:tab/>
        <w:t>panee merkille, että CBE-yhteisyritys myöntää, että yksityisten osakkaiden luontoissuoritukset sen operatiiviseen toimintaan ovat vähäisiä, ja että se katsoo, että tämä tilanne voi osittain selittyä CBE-yhteisyrityksen ehdotuspyyntöjen avoimuudella, minkä ansiosta myös tahot, jotka eivät kuulu biopohjaisten teollisuudenalojen yhteenliittymään</w:t>
      </w:r>
      <w:r w:rsidRPr="001F626B">
        <w:rPr>
          <w:rStyle w:val="FootnoteReference"/>
        </w:rPr>
        <w:footnoteReference w:id="24"/>
      </w:r>
      <w:r w:rsidRPr="001F626B">
        <w:t>, voivat hakea BBI-yhteisyrityksen avustuksia ilman velvoitetta tukea CBE-yhteisyritysaloitetta luontoissuorituksilla; toteaa, että biopohjaisten teollisuudenalojen yhteenliittymään kuuluvien menestyneiden hakijoiden määrä väheni minimiin kolmen viimeisen ehdotuspyynnön aikana, minkä vuoksi luontoissuoritukset vähenivät merkittävästi.</w:t>
      </w:r>
      <w:bookmarkStart w:id="10" w:name="TextBodyEnd"/>
      <w:bookmarkEnd w:id="10"/>
    </w:p>
    <w:sectPr w:rsidR="00E365E1" w:rsidRPr="001F626B" w:rsidSect="001F626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C73" w:rsidRPr="001F626B" w:rsidRDefault="00E27C73">
      <w:r w:rsidRPr="001F626B">
        <w:separator/>
      </w:r>
    </w:p>
  </w:endnote>
  <w:endnote w:type="continuationSeparator" w:id="0">
    <w:p w:rsidR="00E27C73" w:rsidRPr="001F626B" w:rsidRDefault="00E27C73">
      <w:r w:rsidRPr="001F62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6AC" w:rsidRPr="001F626B" w:rsidRDefault="00E346AC" w:rsidP="00F4176E">
    <w:pPr>
      <w:pStyle w:val="EPFooter"/>
    </w:pPr>
    <w:r w:rsidRPr="001F626B">
      <w:t>PE</w:t>
    </w:r>
    <w:r w:rsidRPr="001F626B">
      <w:rPr>
        <w:rStyle w:val="HideTWBExt"/>
      </w:rPr>
      <w:t>&lt;</w:t>
    </w:r>
    <w:proofErr w:type="spellStart"/>
    <w:r w:rsidRPr="001F626B">
      <w:rPr>
        <w:rStyle w:val="HideTWBExt"/>
      </w:rPr>
      <w:t>NoPE</w:t>
    </w:r>
    <w:proofErr w:type="spellEnd"/>
    <w:r w:rsidRPr="001F626B">
      <w:rPr>
        <w:rStyle w:val="HideTWBExt"/>
      </w:rPr>
      <w:t>&gt;</w:t>
    </w:r>
    <w:r w:rsidRPr="001F626B">
      <w:t>753.488</w:t>
    </w:r>
    <w:r w:rsidRPr="001F626B">
      <w:rPr>
        <w:rStyle w:val="HideTWBExt"/>
      </w:rPr>
      <w:t>&lt;/</w:t>
    </w:r>
    <w:proofErr w:type="spellStart"/>
    <w:r w:rsidRPr="001F626B">
      <w:rPr>
        <w:rStyle w:val="HideTWBExt"/>
      </w:rPr>
      <w:t>NoPE</w:t>
    </w:r>
    <w:proofErr w:type="spellEnd"/>
    <w:r w:rsidRPr="001F626B">
      <w:rPr>
        <w:rStyle w:val="HideTWBExt"/>
      </w:rPr>
      <w:t>&gt;&lt;Version&gt;</w:t>
    </w:r>
    <w:r w:rsidRPr="001F626B">
      <w:t>v02-00</w:t>
    </w:r>
    <w:r w:rsidRPr="001F626B">
      <w:rPr>
        <w:rStyle w:val="HideTWBExt"/>
      </w:rPr>
      <w:t>&lt;/Version&gt;</w:t>
    </w:r>
    <w:r w:rsidRPr="001F626B">
      <w:tab/>
    </w:r>
    <w:r w:rsidRPr="001F626B">
      <w:fldChar w:fldCharType="begin"/>
    </w:r>
    <w:r w:rsidRPr="001F626B">
      <w:instrText xml:space="preserve"> PAGE  \* MERGEFORMAT </w:instrText>
    </w:r>
    <w:r w:rsidRPr="001F626B">
      <w:fldChar w:fldCharType="separate"/>
    </w:r>
    <w:r w:rsidR="001F626B" w:rsidRPr="001F626B">
      <w:rPr>
        <w:noProof/>
      </w:rPr>
      <w:t>2</w:t>
    </w:r>
    <w:r w:rsidRPr="001F626B">
      <w:fldChar w:fldCharType="end"/>
    </w:r>
    <w:r w:rsidRPr="001F626B">
      <w:t>/</w:t>
    </w:r>
    <w:fldSimple w:instr=" NUMPAGES  \* MERGEFORMAT ">
      <w:r w:rsidR="001F626B" w:rsidRPr="001F626B">
        <w:rPr>
          <w:noProof/>
        </w:rPr>
        <w:t>4</w:t>
      </w:r>
    </w:fldSimple>
    <w:r w:rsidRPr="001F626B">
      <w:tab/>
    </w:r>
    <w:r w:rsidRPr="001F626B">
      <w:rPr>
        <w:rStyle w:val="HideTWBExt"/>
      </w:rPr>
      <w:t>&lt;PathFdR&gt;</w:t>
    </w:r>
    <w:r w:rsidRPr="001F626B">
      <w:t>RR\1298717FI.docx</w:t>
    </w:r>
    <w:r w:rsidRPr="001F626B">
      <w:rPr>
        <w:rStyle w:val="HideTWBExt"/>
      </w:rPr>
      <w:t>&lt;/</w:t>
    </w:r>
    <w:proofErr w:type="spellStart"/>
    <w:r w:rsidRPr="001F626B">
      <w:rPr>
        <w:rStyle w:val="HideTWBExt"/>
      </w:rPr>
      <w:t>PathFdR</w:t>
    </w:r>
    <w:proofErr w:type="spellEnd"/>
    <w:r w:rsidRPr="001F626B">
      <w:rPr>
        <w:rStyle w:val="HideTWBExt"/>
      </w:rPr>
      <w:t>&gt;</w:t>
    </w:r>
  </w:p>
  <w:p w:rsidR="00E346AC" w:rsidRPr="001F626B" w:rsidRDefault="00E346AC" w:rsidP="00F4176E">
    <w:pPr>
      <w:pStyle w:val="EPFooter2"/>
    </w:pPr>
    <w:r w:rsidRPr="001F626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6AC" w:rsidRPr="001F626B" w:rsidRDefault="00E346AC" w:rsidP="00F4176E">
    <w:pPr>
      <w:pStyle w:val="EPFooter"/>
    </w:pPr>
    <w:r w:rsidRPr="001F626B">
      <w:rPr>
        <w:rStyle w:val="HideTWBExt"/>
      </w:rPr>
      <w:t>&lt;PathFdR&gt;</w:t>
    </w:r>
    <w:r w:rsidRPr="001F626B">
      <w:t>RR\1298717FI.docx</w:t>
    </w:r>
    <w:r w:rsidRPr="001F626B">
      <w:rPr>
        <w:rStyle w:val="HideTWBExt"/>
      </w:rPr>
      <w:t>&lt;/</w:t>
    </w:r>
    <w:proofErr w:type="spellStart"/>
    <w:r w:rsidRPr="001F626B">
      <w:rPr>
        <w:rStyle w:val="HideTWBExt"/>
      </w:rPr>
      <w:t>PathFdR</w:t>
    </w:r>
    <w:proofErr w:type="spellEnd"/>
    <w:r w:rsidRPr="001F626B">
      <w:rPr>
        <w:rStyle w:val="HideTWBExt"/>
      </w:rPr>
      <w:t>&gt;</w:t>
    </w:r>
    <w:r w:rsidRPr="001F626B">
      <w:tab/>
    </w:r>
    <w:r w:rsidRPr="001F626B">
      <w:tab/>
      <w:t>PE</w:t>
    </w:r>
    <w:r w:rsidRPr="001F626B">
      <w:rPr>
        <w:rStyle w:val="HideTWBExt"/>
      </w:rPr>
      <w:t>&lt;</w:t>
    </w:r>
    <w:proofErr w:type="spellStart"/>
    <w:r w:rsidRPr="001F626B">
      <w:rPr>
        <w:rStyle w:val="HideTWBExt"/>
      </w:rPr>
      <w:t>NoPE</w:t>
    </w:r>
    <w:proofErr w:type="spellEnd"/>
    <w:r w:rsidRPr="001F626B">
      <w:rPr>
        <w:rStyle w:val="HideTWBExt"/>
      </w:rPr>
      <w:t>&gt;</w:t>
    </w:r>
    <w:r w:rsidRPr="001F626B">
      <w:t>753.488</w:t>
    </w:r>
    <w:r w:rsidRPr="001F626B">
      <w:rPr>
        <w:rStyle w:val="HideTWBExt"/>
      </w:rPr>
      <w:t>&lt;/</w:t>
    </w:r>
    <w:proofErr w:type="spellStart"/>
    <w:r w:rsidRPr="001F626B">
      <w:rPr>
        <w:rStyle w:val="HideTWBExt"/>
      </w:rPr>
      <w:t>NoPE</w:t>
    </w:r>
    <w:proofErr w:type="spellEnd"/>
    <w:r w:rsidRPr="001F626B">
      <w:rPr>
        <w:rStyle w:val="HideTWBExt"/>
      </w:rPr>
      <w:t>&gt;&lt;Version&gt;</w:t>
    </w:r>
    <w:r w:rsidRPr="001F626B">
      <w:t>v02-00</w:t>
    </w:r>
    <w:r w:rsidRPr="001F626B">
      <w:rPr>
        <w:rStyle w:val="HideTWBExt"/>
      </w:rPr>
      <w:t>&lt;/Version&gt;</w:t>
    </w:r>
  </w:p>
  <w:p w:rsidR="00E346AC" w:rsidRPr="001F626B" w:rsidRDefault="00E346AC" w:rsidP="00F4176E">
    <w:pPr>
      <w:pStyle w:val="EPFooter2"/>
    </w:pPr>
    <w:r w:rsidRPr="001F626B">
      <w:t>FI</w:t>
    </w:r>
    <w:r w:rsidRPr="001F626B">
      <w:tab/>
    </w:r>
    <w:r w:rsidRPr="001F626B">
      <w:rPr>
        <w:b w:val="0"/>
        <w:i/>
        <w:color w:val="C0C0C0"/>
        <w:sz w:val="22"/>
      </w:rPr>
      <w:t>Moninaisuudessaan yhtenäinen</w:t>
    </w:r>
    <w:r w:rsidRPr="001F626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26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A79" w:rsidRDefault="00064002" w:rsidP="00381A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2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C73" w:rsidRPr="001F626B" w:rsidRDefault="00E27C73">
      <w:r w:rsidRPr="001F626B">
        <w:separator/>
      </w:r>
    </w:p>
  </w:footnote>
  <w:footnote w:type="continuationSeparator" w:id="0">
    <w:p w:rsidR="00E27C73" w:rsidRPr="001F626B" w:rsidRDefault="00E27C73">
      <w:r w:rsidRPr="001F626B">
        <w:continuationSeparator/>
      </w:r>
    </w:p>
  </w:footnote>
  <w:footnote w:id="1">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C, C/2023/1025, 16.11.2023.</w:t>
      </w:r>
    </w:p>
  </w:footnote>
  <w:footnote w:id="2">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C, C/2023/112, 12.10.2023.</w:t>
      </w:r>
    </w:p>
  </w:footnote>
  <w:footnote w:id="3">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193, 30.7.2018, s. 1.</w:t>
      </w:r>
    </w:p>
  </w:footnote>
  <w:footnote w:id="4">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427, 30.11.2021, s. 17.</w:t>
      </w:r>
    </w:p>
  </w:footnote>
  <w:footnote w:id="5">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142, 29.5.2019, s. 16.</w:t>
      </w:r>
    </w:p>
  </w:footnote>
  <w:footnote w:id="6">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C, C/2023/1025, 16.11.2023.</w:t>
      </w:r>
    </w:p>
  </w:footnote>
  <w:footnote w:id="7">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C, C/2023/112, 12.10.2023.</w:t>
      </w:r>
    </w:p>
  </w:footnote>
  <w:footnote w:id="8">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193, 30.7.2018, s. 1.</w:t>
      </w:r>
    </w:p>
  </w:footnote>
  <w:footnote w:id="9">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427, 30.11.2021, s. 17.</w:t>
      </w:r>
    </w:p>
  </w:footnote>
  <w:footnote w:id="10">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EUVL L 142, 29.5.2019, s. 16.</w:t>
      </w:r>
    </w:p>
  </w:footnote>
  <w:footnote w:id="11">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 xml:space="preserve">Neuvoston asetus (EU) 2021/2085, annettu 19. marraskuuta 2021, Horisontti Eurooppa -ohjelman yhteisyritysten perustamisesta sekä asetusten (EY) </w:t>
      </w:r>
      <w:proofErr w:type="gramStart"/>
      <w:r w:rsidRPr="001F626B">
        <w:rPr>
          <w:sz w:val="24"/>
          <w:lang w:val="fi-FI"/>
        </w:rPr>
        <w:t>N:o</w:t>
      </w:r>
      <w:proofErr w:type="gramEnd"/>
      <w:r w:rsidRPr="001F626B">
        <w:rPr>
          <w:sz w:val="24"/>
          <w:lang w:val="fi-FI"/>
        </w:rPr>
        <w:t xml:space="preserve"> 219/2007, (EU) N:o 557/2014, (EU) N:o 558/2014, (EU) N:o 559/2014, (EU) N:o 560/2014, (EU) N:o 561/2014 ja (EU) N:o 642/2014 kumoamisesta (EUVL L 427, 30.11.2021, s. 17).</w:t>
      </w:r>
    </w:p>
  </w:footnote>
  <w:footnote w:id="12">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 xml:space="preserve">Neuvoston asetus (EU) </w:t>
      </w:r>
      <w:proofErr w:type="gramStart"/>
      <w:r w:rsidRPr="001F626B">
        <w:rPr>
          <w:sz w:val="24"/>
          <w:lang w:val="fi-FI"/>
        </w:rPr>
        <w:t>N:o</w:t>
      </w:r>
      <w:proofErr w:type="gramEnd"/>
      <w:r w:rsidRPr="001F626B">
        <w:rPr>
          <w:sz w:val="24"/>
          <w:lang w:val="fi-FI"/>
        </w:rPr>
        <w:t xml:space="preserve"> 560/2014, annettu 6. toukokuuta 2014, biopohjaisten teollisuudenalojen yhteisyrityksen perustamisesta (EUVL L 169, 7.6.2014, s. 130).</w:t>
      </w:r>
    </w:p>
  </w:footnote>
  <w:footnote w:id="13">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Euroopan tilintarkastustuomioistuin – Vuosikertomus EU:n yhteisyrityksistä varainhoitovuodelta 2022 (s. 96).</w:t>
      </w:r>
    </w:p>
  </w:footnote>
  <w:footnote w:id="14">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00200119">
        <w:fldChar w:fldCharType="begin"/>
      </w:r>
      <w:r w:rsidR="00200119" w:rsidRPr="00200119">
        <w:rPr>
          <w:lang w:val="fi-FI"/>
        </w:rPr>
        <w:instrText xml:space="preserve"> HYPERLINK "https://www.cbe.europa.eu/system/files?file=2023-07/CBE-JU-AAR-2022_0.pdf" </w:instrText>
      </w:r>
      <w:r w:rsidR="00200119">
        <w:fldChar w:fldCharType="separate"/>
      </w:r>
      <w:proofErr w:type="spellStart"/>
      <w:r w:rsidRPr="001F626B">
        <w:rPr>
          <w:rStyle w:val="Hyperlink"/>
          <w:sz w:val="24"/>
          <w:lang w:val="fi-FI"/>
        </w:rPr>
        <w:t>Konsolidoitu</w:t>
      </w:r>
      <w:proofErr w:type="spellEnd"/>
      <w:r w:rsidRPr="001F626B">
        <w:rPr>
          <w:rStyle w:val="Hyperlink"/>
          <w:sz w:val="24"/>
          <w:lang w:val="fi-FI"/>
        </w:rPr>
        <w:t xml:space="preserve"> vuotuinen toimintakertomus 2022 (s. 8)</w:t>
      </w:r>
      <w:r w:rsidR="00200119">
        <w:rPr>
          <w:rStyle w:val="Hyperlink"/>
          <w:sz w:val="24"/>
          <w:lang w:val="fi-FI"/>
        </w:rPr>
        <w:fldChar w:fldCharType="end"/>
      </w:r>
      <w:r w:rsidR="00701A67">
        <w:rPr>
          <w:rStyle w:val="Hyperlink"/>
          <w:sz w:val="24"/>
          <w:lang w:val="fi-FI"/>
        </w:rPr>
        <w:t>.</w:t>
      </w:r>
    </w:p>
  </w:footnote>
  <w:footnote w:id="15">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Kokonaistalousarvio sisältää toimintatalousarvion (käytetään valittujen hankkeiden rahoittamiseen) ja hallinnollisen talousarvion (käytetään ohjelmatoimiston toimintojen rahoittamiseen).</w:t>
      </w:r>
    </w:p>
  </w:footnote>
  <w:footnote w:id="16">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Osasto 1 – 2,9 miljoonaa euroa (63 prosenttia toteutettu), osasto 2 – 1,6 miljoonaa euroa (60 prosenttia toteutettu), osasto 2 – 120,5 miljoonaa euroa (48 prosenttia toteutettu).</w:t>
      </w:r>
    </w:p>
  </w:footnote>
  <w:footnote w:id="17">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Osasto 1 – 2,8 miljoonaa euroa (55 prosenttia toteutettu), osasto 2 – 1,9 miljoonaa euroa (68 prosenttia toteutettu), osasto 3 – 47,4 miljoonaa euroa (65 prosenttia toteutettu).</w:t>
      </w:r>
    </w:p>
  </w:footnote>
  <w:footnote w:id="18">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00200119">
        <w:fldChar w:fldCharType="begin"/>
      </w:r>
      <w:r w:rsidR="00200119" w:rsidRPr="00200119">
        <w:rPr>
          <w:lang w:val="fi-FI"/>
        </w:rPr>
        <w:instrText xml:space="preserve"> HYPERLINK "https://www.cbe.europa.eu/system/files?file=2023-07/CBE-JU-AAR-2022_0.pdf" </w:instrText>
      </w:r>
      <w:r w:rsidR="00200119">
        <w:fldChar w:fldCharType="separate"/>
      </w:r>
      <w:proofErr w:type="spellStart"/>
      <w:r w:rsidRPr="001F626B">
        <w:rPr>
          <w:rStyle w:val="Hyperlink"/>
          <w:sz w:val="24"/>
          <w:lang w:val="fi-FI"/>
        </w:rPr>
        <w:t>Konsolidoitu</w:t>
      </w:r>
      <w:proofErr w:type="spellEnd"/>
      <w:r w:rsidRPr="001F626B">
        <w:rPr>
          <w:rStyle w:val="Hyperlink"/>
          <w:sz w:val="24"/>
          <w:lang w:val="fi-FI"/>
        </w:rPr>
        <w:t xml:space="preserve"> vuotuinen toimintakertomus 2022</w:t>
      </w:r>
      <w:r w:rsidR="00200119">
        <w:rPr>
          <w:rStyle w:val="Hyperlink"/>
          <w:sz w:val="24"/>
          <w:lang w:val="fi-FI"/>
        </w:rPr>
        <w:fldChar w:fldCharType="end"/>
      </w:r>
      <w:r w:rsidRPr="001F626B">
        <w:rPr>
          <w:sz w:val="24"/>
          <w:lang w:val="fi-FI"/>
        </w:rPr>
        <w:t xml:space="preserve"> (s. 77)</w:t>
      </w:r>
      <w:r w:rsidR="00701A67">
        <w:rPr>
          <w:sz w:val="24"/>
          <w:lang w:val="fi-FI"/>
        </w:rPr>
        <w:t>.</w:t>
      </w:r>
    </w:p>
  </w:footnote>
  <w:footnote w:id="19">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Osasto 3: toimintamenot (CBE-yhteisyritykselle määritettyjen toimintojen ja tehtävien toteuttamiseen yhteisyrityksen perustamisesta annetun neuvoston asetuksen mukaisesti).</w:t>
      </w:r>
    </w:p>
  </w:footnote>
  <w:footnote w:id="20">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Osasto 2: hallinnolliset kustannukset (sisältää yleiset infrastruktuuri- ja toimintakustannukset, kuten rakennuksen vuokran, tietotekniikkakustannukset, toimistokalusteet ja -laitteet, viestinnän ja kokoukset sekä muut sekalaiset hallinnolliset kustannukset).</w:t>
      </w:r>
    </w:p>
  </w:footnote>
  <w:footnote w:id="21">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Yhteisyritys teki useita sopimuksia, joiden arvo oli alle 15 000 euroa.</w:t>
      </w:r>
    </w:p>
  </w:footnote>
  <w:footnote w:id="22">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 xml:space="preserve">Henkilöstötaulukon mukaan organisaation täysi henkilöstön määrä on 29 henkilöä. </w:t>
      </w:r>
      <w:proofErr w:type="spellStart"/>
      <w:r w:rsidRPr="001F626B">
        <w:rPr>
          <w:sz w:val="24"/>
          <w:lang w:val="fi-FI"/>
        </w:rPr>
        <w:t>CBE:n</w:t>
      </w:r>
      <w:proofErr w:type="spellEnd"/>
      <w:r w:rsidRPr="001F626B">
        <w:rPr>
          <w:sz w:val="24"/>
          <w:lang w:val="fi-FI"/>
        </w:rPr>
        <w:t xml:space="preserve"> odotetaan saavuttavan tämän vuoden 2024 alussa uuden pääjohtajan nimityksen jälkeen.</w:t>
      </w:r>
    </w:p>
  </w:footnote>
  <w:footnote w:id="23">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Pr="001F626B">
        <w:rPr>
          <w:sz w:val="24"/>
          <w:lang w:val="fi-FI"/>
        </w:rPr>
        <w:t>Kvantitatiivisesti ilmaistavissa olevien virheiden raportointikynnys, joka koskee edunsaajien tasolla testattuja avustusmaksuja, on yksi prosentti tarkastetuista kuluista.</w:t>
      </w:r>
    </w:p>
  </w:footnote>
  <w:footnote w:id="24">
    <w:p w:rsidR="00E346AC" w:rsidRPr="001F626B" w:rsidRDefault="00E346AC" w:rsidP="001F626B">
      <w:pPr>
        <w:pStyle w:val="FootnoteText"/>
        <w:ind w:left="567" w:hanging="567"/>
        <w:rPr>
          <w:sz w:val="24"/>
          <w:lang w:val="fi-FI"/>
        </w:rPr>
      </w:pPr>
      <w:r w:rsidRPr="001F626B">
        <w:rPr>
          <w:rStyle w:val="FootnoteReference"/>
          <w:sz w:val="24"/>
          <w:lang w:val="fi-FI"/>
        </w:rPr>
        <w:footnoteRef/>
      </w:r>
      <w:r w:rsidR="001F626B" w:rsidRPr="001F626B">
        <w:rPr>
          <w:sz w:val="24"/>
          <w:lang w:val="fi-FI"/>
        </w:rPr>
        <w:t xml:space="preserve"> </w:t>
      </w:r>
      <w:r w:rsidR="001F626B" w:rsidRPr="001F626B">
        <w:rPr>
          <w:sz w:val="24"/>
          <w:lang w:val="fi-FI"/>
        </w:rPr>
        <w:tab/>
      </w:r>
      <w:r w:rsidR="00200119">
        <w:fldChar w:fldCharType="begin"/>
      </w:r>
      <w:r w:rsidR="00200119" w:rsidRPr="00200119">
        <w:rPr>
          <w:lang w:val="fi-FI"/>
        </w:rPr>
        <w:instrText xml:space="preserve"> HYPERLINK "ht</w:instrText>
      </w:r>
      <w:r w:rsidR="00200119" w:rsidRPr="00200119">
        <w:rPr>
          <w:lang w:val="fi-FI"/>
        </w:rPr>
        <w:instrText xml:space="preserve">tps://ebn.eu/about-ebn/" </w:instrText>
      </w:r>
      <w:r w:rsidR="00200119">
        <w:fldChar w:fldCharType="separate"/>
      </w:r>
      <w:r w:rsidRPr="001F626B">
        <w:rPr>
          <w:rStyle w:val="Hyperlink"/>
          <w:sz w:val="24"/>
          <w:lang w:val="fi-FI"/>
        </w:rPr>
        <w:t>https://ebn.eu/about-ebn/</w:t>
      </w:r>
      <w:r w:rsidR="00200119">
        <w:rPr>
          <w:rStyle w:val="Hyperlink"/>
          <w:sz w:val="24"/>
          <w:lang w:val="fi-FI"/>
        </w:rPr>
        <w:fldChar w:fldCharType="end"/>
      </w:r>
      <w:r w:rsidRPr="001F626B">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2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2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2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FI"/>
    <w:docVar w:name="dvnumam" w:val="0"/>
    <w:docVar w:name="dvpe" w:val="753.488"/>
    <w:docVar w:name="dvrapporteur" w:val="Esittelijä: "/>
    <w:docVar w:name="dvtitre" w:val="1. Euroopan parlamentin päätöslauselma 11. huhtikuuta 2024 vastuuvapauden myöntämisestä Euroopan kiertotaloutta ja biopohjaisia ratkaisuja edistävän yhteisyrityksen talousarvion toteuttamisesta varainhoitovuonna 2022(2023/2174(DEC))"/>
  </w:docVars>
  <w:rsids>
    <w:rsidRoot w:val="00E27C73"/>
    <w:rsid w:val="00002272"/>
    <w:rsid w:val="00064002"/>
    <w:rsid w:val="000677B9"/>
    <w:rsid w:val="000831BA"/>
    <w:rsid w:val="000A42CC"/>
    <w:rsid w:val="000E7DD9"/>
    <w:rsid w:val="0010095E"/>
    <w:rsid w:val="00125B37"/>
    <w:rsid w:val="00187494"/>
    <w:rsid w:val="001F32AE"/>
    <w:rsid w:val="001F626B"/>
    <w:rsid w:val="00200119"/>
    <w:rsid w:val="002767FF"/>
    <w:rsid w:val="002B18FE"/>
    <w:rsid w:val="002B5493"/>
    <w:rsid w:val="00343214"/>
    <w:rsid w:val="00361C00"/>
    <w:rsid w:val="00381A7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1A6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C73"/>
    <w:rsid w:val="00E346AC"/>
    <w:rsid w:val="00E365E1"/>
    <w:rsid w:val="00E820A4"/>
    <w:rsid w:val="00EB006A"/>
    <w:rsid w:val="00EB4772"/>
    <w:rsid w:val="00ED169E"/>
    <w:rsid w:val="00ED4235"/>
    <w:rsid w:val="00F04346"/>
    <w:rsid w:val="00F075DC"/>
    <w:rsid w:val="00F149E9"/>
    <w:rsid w:val="00F5134D"/>
    <w:rsid w:val="00F74202"/>
    <w:rsid w:val="00F87713"/>
    <w:rsid w:val="00FB277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99A61B-1E02-4799-A181-B463A179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A7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46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46AC"/>
    <w:pPr>
      <w:spacing w:before="480" w:after="240"/>
    </w:pPr>
  </w:style>
  <w:style w:type="paragraph" w:customStyle="1" w:styleId="PageHeading">
    <w:name w:val="PageHeading"/>
    <w:basedOn w:val="Normal"/>
    <w:rsid w:val="00E346AC"/>
    <w:pPr>
      <w:keepNext/>
      <w:spacing w:after="480"/>
      <w:jc w:val="center"/>
    </w:pPr>
    <w:rPr>
      <w:rFonts w:ascii="Arial" w:hAnsi="Arial" w:cs="Arial"/>
      <w:b/>
    </w:rPr>
  </w:style>
  <w:style w:type="paragraph" w:customStyle="1" w:styleId="NormalBold">
    <w:name w:val="NormalBold"/>
    <w:basedOn w:val="Normal"/>
    <w:rsid w:val="00E346AC"/>
    <w:rPr>
      <w:b/>
    </w:rPr>
  </w:style>
  <w:style w:type="paragraph" w:customStyle="1" w:styleId="NormalHanging12a">
    <w:name w:val="NormalHanging12a"/>
    <w:basedOn w:val="Normal"/>
    <w:link w:val="NormalHanging12aChar"/>
    <w:qFormat/>
    <w:rsid w:val="00E346AC"/>
    <w:pPr>
      <w:spacing w:after="240"/>
      <w:ind w:left="567" w:hanging="567"/>
    </w:pPr>
  </w:style>
  <w:style w:type="paragraph" w:styleId="Header">
    <w:name w:val="header"/>
    <w:basedOn w:val="Normal"/>
    <w:link w:val="HeaderChar"/>
    <w:rsid w:val="00E346AC"/>
    <w:pPr>
      <w:tabs>
        <w:tab w:val="center" w:pos="4513"/>
        <w:tab w:val="right" w:pos="9026"/>
      </w:tabs>
    </w:pPr>
  </w:style>
  <w:style w:type="character" w:customStyle="1" w:styleId="HeaderChar">
    <w:name w:val="Header Char"/>
    <w:basedOn w:val="DefaultParagraphFont"/>
    <w:link w:val="Header"/>
    <w:rsid w:val="00E346AC"/>
    <w:rPr>
      <w:sz w:val="24"/>
      <w:lang w:val="fi-FI"/>
    </w:rPr>
  </w:style>
  <w:style w:type="paragraph" w:customStyle="1" w:styleId="EPFooter">
    <w:name w:val="EPFooter"/>
    <w:basedOn w:val="Normal"/>
    <w:rsid w:val="00E346AC"/>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E346AC"/>
    <w:rPr>
      <w:color w:val="0563C1" w:themeColor="hyperlink"/>
      <w:u w:val="single"/>
    </w:rPr>
  </w:style>
  <w:style w:type="character" w:customStyle="1" w:styleId="NormalHanging12aChar">
    <w:name w:val="NormalHanging12a Char"/>
    <w:basedOn w:val="DefaultParagraphFont"/>
    <w:link w:val="NormalHanging12a"/>
    <w:locked/>
    <w:rsid w:val="00E346AC"/>
    <w:rPr>
      <w:sz w:val="24"/>
      <w:lang w:val="fi-FI"/>
    </w:rPr>
  </w:style>
  <w:style w:type="paragraph" w:styleId="Footer">
    <w:name w:val="footer"/>
    <w:basedOn w:val="Normal"/>
    <w:link w:val="FooterChar"/>
    <w:rsid w:val="00381A79"/>
    <w:pPr>
      <w:tabs>
        <w:tab w:val="center" w:pos="4513"/>
        <w:tab w:val="right" w:pos="9026"/>
      </w:tabs>
    </w:pPr>
  </w:style>
  <w:style w:type="character" w:customStyle="1" w:styleId="FooterChar">
    <w:name w:val="Footer Char"/>
    <w:basedOn w:val="DefaultParagraphFont"/>
    <w:link w:val="Footer"/>
    <w:rsid w:val="00381A7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047C7-D2F6-4EBA-9AA1-BCE546651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2842</Words>
  <Characters>24598</Characters>
  <Application>Microsoft Office Word</Application>
  <DocSecurity>0</DocSecurity>
  <Lines>204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2024-05-15T15:20:00Z</dcterms:created>
  <dcterms:modified xsi:type="dcterms:W3CDTF">2024-05-15T15:20:00Z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P9_TA(2024)0273_</vt:lpwstr>
  </property>
  <property fmtid="{D5CDD505-2E9C-101B-9397-08002B2CF9AE}" pid="4" name="&lt;Type&gt;">
    <vt:lpwstr>RR</vt:lpwstr>
  </property>
</Properties>
</file>