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6BB" w:rsidTr="0010095E">
        <w:trPr>
          <w:trHeight w:hRule="exact" w:val="1418"/>
        </w:trPr>
        <w:tc>
          <w:tcPr>
            <w:tcW w:w="6804" w:type="dxa"/>
            <w:shd w:val="clear" w:color="auto" w:fill="auto"/>
            <w:vAlign w:val="center"/>
          </w:tcPr>
          <w:p w:rsidR="00751A4A" w:rsidRPr="00AA46BB" w:rsidRDefault="0049292D" w:rsidP="0010095E">
            <w:pPr>
              <w:pStyle w:val="EPName"/>
            </w:pPr>
            <w:r w:rsidRPr="00AA46BB">
              <w:t>Europos Parlamentas</w:t>
            </w:r>
          </w:p>
          <w:p w:rsidR="00751A4A" w:rsidRPr="00AA46BB" w:rsidRDefault="00817416" w:rsidP="00756632">
            <w:pPr>
              <w:pStyle w:val="EPTerm"/>
              <w:rPr>
                <w:rStyle w:val="HideTWBExt"/>
                <w:noProof w:val="0"/>
                <w:vanish w:val="0"/>
                <w:color w:val="auto"/>
              </w:rPr>
            </w:pPr>
            <w:r w:rsidRPr="00AA46BB">
              <w:t>2019-2024</w:t>
            </w:r>
          </w:p>
        </w:tc>
        <w:tc>
          <w:tcPr>
            <w:tcW w:w="2268" w:type="dxa"/>
            <w:shd w:val="clear" w:color="auto" w:fill="auto"/>
          </w:tcPr>
          <w:p w:rsidR="00751A4A" w:rsidRPr="00AA46BB" w:rsidRDefault="00187494" w:rsidP="0010095E">
            <w:pPr>
              <w:pStyle w:val="EPLogo"/>
            </w:pPr>
            <w:r w:rsidRPr="00AA46B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46BB" w:rsidRDefault="00D058B8" w:rsidP="004C5D52">
      <w:pPr>
        <w:pStyle w:val="LineTop"/>
      </w:pPr>
    </w:p>
    <w:p w:rsidR="00680577" w:rsidRPr="00AA46BB" w:rsidRDefault="0049292D" w:rsidP="00680577">
      <w:pPr>
        <w:pStyle w:val="EPBodyTA1"/>
      </w:pPr>
      <w:r w:rsidRPr="00AA46BB">
        <w:t>PRIIMTI TEKSTAI</w:t>
      </w:r>
    </w:p>
    <w:p w:rsidR="00D058B8" w:rsidRPr="00AA46BB" w:rsidRDefault="00D058B8" w:rsidP="00D058B8">
      <w:pPr>
        <w:pStyle w:val="LineBottom"/>
      </w:pPr>
    </w:p>
    <w:p w:rsidR="0049292D" w:rsidRPr="00AA46BB" w:rsidRDefault="0049292D" w:rsidP="0049292D">
      <w:pPr>
        <w:pStyle w:val="ATHeading1"/>
      </w:pPr>
      <w:bookmarkStart w:id="0" w:name="TANumber"/>
      <w:r w:rsidRPr="00AA46BB">
        <w:t>P9_TA(2024)0</w:t>
      </w:r>
      <w:r w:rsidR="00595454">
        <w:t>273</w:t>
      </w:r>
      <w:bookmarkEnd w:id="0"/>
    </w:p>
    <w:p w:rsidR="0049292D" w:rsidRPr="00AA46BB" w:rsidRDefault="0049292D" w:rsidP="0049292D">
      <w:pPr>
        <w:pStyle w:val="ATHeading2"/>
      </w:pPr>
      <w:bookmarkStart w:id="1" w:name="title"/>
      <w:r w:rsidRPr="00AA46BB">
        <w:t xml:space="preserve">2022 m. biudžeto įvykdymo patvirtinimas: Europos žiedinės </w:t>
      </w:r>
      <w:proofErr w:type="spellStart"/>
      <w:r w:rsidRPr="00AA46BB">
        <w:t>biožaliavinės</w:t>
      </w:r>
      <w:proofErr w:type="spellEnd"/>
      <w:r w:rsidRPr="00AA46BB">
        <w:t xml:space="preserve"> ekonomikos bendroji įmonė</w:t>
      </w:r>
      <w:bookmarkEnd w:id="1"/>
    </w:p>
    <w:p w:rsidR="0049292D" w:rsidRPr="00AA46BB" w:rsidRDefault="0049292D" w:rsidP="0049292D">
      <w:pPr>
        <w:rPr>
          <w:i/>
          <w:vanish/>
        </w:rPr>
      </w:pPr>
      <w:r w:rsidRPr="00AA46BB">
        <w:rPr>
          <w:i/>
        </w:rPr>
        <w:fldChar w:fldCharType="begin"/>
      </w:r>
      <w:r w:rsidRPr="00AA46BB">
        <w:rPr>
          <w:i/>
        </w:rPr>
        <w:instrText xml:space="preserve"> TC"(</w:instrText>
      </w:r>
      <w:bookmarkStart w:id="2" w:name="DocNumber"/>
      <w:r w:rsidRPr="00AA46BB">
        <w:rPr>
          <w:i/>
        </w:rPr>
        <w:instrText>A9-0088/2024</w:instrText>
      </w:r>
      <w:bookmarkEnd w:id="2"/>
      <w:r w:rsidRPr="00AA46BB">
        <w:rPr>
          <w:i/>
        </w:rPr>
        <w:instrText xml:space="preserve"> - Pranešėjas: Michal </w:instrText>
      </w:r>
      <w:proofErr w:type="spellStart"/>
      <w:r w:rsidRPr="00AA46BB">
        <w:rPr>
          <w:i/>
        </w:rPr>
        <w:instrText>Wiezik</w:instrText>
      </w:r>
      <w:proofErr w:type="spellEnd"/>
      <w:r w:rsidRPr="00AA46BB">
        <w:rPr>
          <w:i/>
        </w:rPr>
        <w:instrText xml:space="preserve">)"\l3 \n&gt; \* MERGEFORMAT </w:instrText>
      </w:r>
      <w:r w:rsidRPr="00AA46BB">
        <w:rPr>
          <w:i/>
        </w:rPr>
        <w:fldChar w:fldCharType="end"/>
      </w:r>
    </w:p>
    <w:p w:rsidR="0049292D" w:rsidRPr="00AA46BB" w:rsidRDefault="0049292D" w:rsidP="0049292D">
      <w:pPr>
        <w:rPr>
          <w:vanish/>
        </w:rPr>
      </w:pPr>
      <w:bookmarkStart w:id="3" w:name="Commission"/>
      <w:r w:rsidRPr="00AA46BB">
        <w:rPr>
          <w:vanish/>
        </w:rPr>
        <w:t>Biudžeto kontrolės komitetas</w:t>
      </w:r>
      <w:bookmarkEnd w:id="3"/>
    </w:p>
    <w:p w:rsidR="0049292D" w:rsidRPr="00AA46BB" w:rsidRDefault="0049292D" w:rsidP="0049292D">
      <w:pPr>
        <w:rPr>
          <w:vanish/>
        </w:rPr>
      </w:pPr>
      <w:bookmarkStart w:id="4" w:name="PE"/>
      <w:r w:rsidRPr="00AA46BB">
        <w:rPr>
          <w:vanish/>
        </w:rPr>
        <w:t>PE753.488</w:t>
      </w:r>
      <w:bookmarkEnd w:id="4"/>
    </w:p>
    <w:p w:rsidR="0049292D" w:rsidRPr="00AA46BB" w:rsidRDefault="00923EE5" w:rsidP="00923EE5">
      <w:pPr>
        <w:pStyle w:val="ATHeading3"/>
      </w:pPr>
      <w:bookmarkStart w:id="5" w:name="Sujet"/>
      <w:r>
        <w:t xml:space="preserve">1. 2024 m. balandžio 11 d. </w:t>
      </w:r>
      <w:r w:rsidR="0049292D" w:rsidRPr="00AA46BB">
        <w:t xml:space="preserve">Europos Parlamento sprendimas dėl Europos žiedinės </w:t>
      </w:r>
      <w:proofErr w:type="spellStart"/>
      <w:r w:rsidR="0049292D" w:rsidRPr="00AA46BB">
        <w:t>biožaliavinės</w:t>
      </w:r>
      <w:proofErr w:type="spellEnd"/>
      <w:r w:rsidR="0049292D" w:rsidRPr="00AA46BB">
        <w:t xml:space="preserve"> ekonomikos bendrosios įmonės 2022 finansinių metų biudžeto įvykdymo patvirtinimo</w:t>
      </w:r>
      <w:bookmarkEnd w:id="5"/>
      <w:r w:rsidR="0049292D" w:rsidRPr="00AA46BB">
        <w:t xml:space="preserve"> </w:t>
      </w:r>
      <w:bookmarkStart w:id="6" w:name="References"/>
      <w:r w:rsidR="0049292D" w:rsidRPr="00AA46BB">
        <w:t>(2023/2174(DEC))</w:t>
      </w:r>
      <w:bookmarkEnd w:id="6"/>
    </w:p>
    <w:p w:rsidR="00350FB7" w:rsidRPr="00AA46BB" w:rsidRDefault="00350FB7" w:rsidP="00350FB7">
      <w:pPr>
        <w:pStyle w:val="EPComma"/>
      </w:pPr>
      <w:bookmarkStart w:id="7" w:name="TextBodyBegin"/>
      <w:bookmarkEnd w:id="7"/>
      <w:r w:rsidRPr="00AA46BB">
        <w:rPr>
          <w:i/>
        </w:rPr>
        <w:t>Europos Parlamentas</w:t>
      </w:r>
      <w:r w:rsidRPr="00AA46BB">
        <w:t>,</w:t>
      </w:r>
    </w:p>
    <w:p w:rsidR="00350FB7" w:rsidRPr="00AA46BB" w:rsidRDefault="00350FB7" w:rsidP="00350FB7">
      <w:pPr>
        <w:pStyle w:val="NormalHanging12a"/>
      </w:pPr>
      <w:r w:rsidRPr="00AA46BB">
        <w:t>–</w:t>
      </w:r>
      <w:r w:rsidRPr="00AA46BB">
        <w:tab/>
        <w:t xml:space="preserve">atsižvelgdamas į Europos žiedinės </w:t>
      </w:r>
      <w:proofErr w:type="spellStart"/>
      <w:r w:rsidRPr="00AA46BB">
        <w:t>biožaliavinės</w:t>
      </w:r>
      <w:proofErr w:type="spellEnd"/>
      <w:r w:rsidRPr="00AA46BB">
        <w:t xml:space="preserve"> ekonomikos bendrosios įmonės 2022 finansinių metų galutines metines ataskaitas,</w:t>
      </w:r>
    </w:p>
    <w:p w:rsidR="00350FB7" w:rsidRPr="00AA46BB" w:rsidRDefault="00350FB7" w:rsidP="00350FB7">
      <w:pPr>
        <w:pStyle w:val="NormalHanging12a"/>
      </w:pPr>
      <w:r w:rsidRPr="00AA46BB">
        <w:t>–</w:t>
      </w:r>
      <w:r w:rsidRPr="00AA46BB">
        <w:tab/>
        <w:t>atsižvelgdamas į Audito Rūmų 2022 finansinių metų metinę ataskaitą dėl ES bendrųjų įmonių kartu su bendrųjų įmonių atsakymais</w:t>
      </w:r>
      <w:r w:rsidRPr="00AA46BB">
        <w:rPr>
          <w:rStyle w:val="FootnoteReference"/>
        </w:rPr>
        <w:footnoteReference w:id="1"/>
      </w:r>
      <w:r w:rsidRPr="00AA46BB">
        <w:t>,</w:t>
      </w:r>
    </w:p>
    <w:p w:rsidR="00350FB7" w:rsidRPr="00AA46BB" w:rsidRDefault="00350FB7" w:rsidP="00350FB7">
      <w:pPr>
        <w:pStyle w:val="NormalHanging12a"/>
      </w:pPr>
      <w:r w:rsidRPr="00AA46BB">
        <w:t>–</w:t>
      </w:r>
      <w:r w:rsidRPr="00AA46BB">
        <w:tab/>
        <w:t>atsižvelgdamas į Audito Rūmų pagal Sutarties dėl Europos Sąjungos veikimo 287 straipsnį pateiktą 2022 finansinių metų sąskaitų patikimumo ir pagal jas atliktų operacijų teisėtumo ir tvarkingumo patikinimo pareiškimą</w:t>
      </w:r>
      <w:r w:rsidRPr="00AA46BB">
        <w:rPr>
          <w:rStyle w:val="FootnoteReference"/>
        </w:rPr>
        <w:footnoteReference w:id="2"/>
      </w:r>
      <w:r w:rsidRPr="00AA46BB">
        <w:t>,</w:t>
      </w:r>
    </w:p>
    <w:p w:rsidR="00350FB7" w:rsidRPr="00AA46BB" w:rsidRDefault="00350FB7" w:rsidP="00350FB7">
      <w:pPr>
        <w:pStyle w:val="NormalHanging12a"/>
      </w:pPr>
      <w:r w:rsidRPr="00AA46BB">
        <w:t>–</w:t>
      </w:r>
      <w:r w:rsidRPr="00AA46BB">
        <w:tab/>
        <w:t xml:space="preserve">atsižvelgdamas į 2024 m. vasario 22 d. </w:t>
      </w:r>
      <w:r w:rsidR="00F27E4C" w:rsidRPr="00AA46BB">
        <w:t xml:space="preserve">Tarybos </w:t>
      </w:r>
      <w:r w:rsidRPr="00AA46BB">
        <w:t>rekomendaciją dėl patvirtinimo, kad bendroji įmonė įvykdė 2022 finansinių metų biud</w:t>
      </w:r>
      <w:r w:rsidRPr="00F27E4C">
        <w:t>žetą (</w:t>
      </w:r>
      <w:r w:rsidRPr="00F54B10">
        <w:t>0</w:t>
      </w:r>
      <w:r w:rsidR="00F27E4C">
        <w:t>6182</w:t>
      </w:r>
      <w:r w:rsidRPr="00F27E4C">
        <w:t>/2024 – C9</w:t>
      </w:r>
      <w:r w:rsidRPr="00F27E4C">
        <w:noBreakHyphen/>
      </w:r>
      <w:r w:rsidRPr="00F54B10">
        <w:t>0</w:t>
      </w:r>
      <w:r w:rsidR="00F27E4C">
        <w:t>112</w:t>
      </w:r>
      <w:r w:rsidRPr="00F27E4C">
        <w:t>/2024),</w:t>
      </w:r>
    </w:p>
    <w:p w:rsidR="00350FB7" w:rsidRPr="00AA46BB" w:rsidRDefault="00350FB7" w:rsidP="00350FB7">
      <w:pPr>
        <w:pStyle w:val="NormalHanging12a"/>
      </w:pPr>
      <w:r w:rsidRPr="00AA46BB">
        <w:t>–</w:t>
      </w:r>
      <w:r w:rsidRPr="00AA46BB">
        <w:tab/>
        <w:t>atsižvelgdamas į Sutarties dėl Europos Sąjungos veikimo 319 straipsnį,</w:t>
      </w:r>
    </w:p>
    <w:p w:rsidR="00350FB7" w:rsidRPr="00AA46BB" w:rsidRDefault="00350FB7" w:rsidP="00350FB7">
      <w:pPr>
        <w:pStyle w:val="NormalHanging12a"/>
      </w:pPr>
      <w:r w:rsidRPr="00AA46BB">
        <w:t>–</w:t>
      </w:r>
      <w:r w:rsidRPr="00AA46BB">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A46BB">
        <w:rPr>
          <w:rStyle w:val="FootnoteReference"/>
        </w:rPr>
        <w:footnoteReference w:id="3"/>
      </w:r>
      <w:r w:rsidRPr="00AA46BB">
        <w:t>, ypač į jo 71 straipsnį,</w:t>
      </w:r>
    </w:p>
    <w:p w:rsidR="00350FB7" w:rsidRPr="00AA46BB" w:rsidRDefault="00350FB7" w:rsidP="00350FB7">
      <w:pPr>
        <w:pStyle w:val="NormalHanging12a"/>
      </w:pPr>
      <w:r w:rsidRPr="00AA46BB">
        <w:t>–</w:t>
      </w:r>
      <w:r w:rsidRPr="00AA46BB">
        <w:tab/>
        <w:t xml:space="preserve">atsižvelgdamas į 2021 m. lapkričio 19 d. Tarybos reglamentą (ES) 2021/2085, kuriuo pagal programą „Europos horizontas“ steigiamos bendrosios įmonės ir panaikinami </w:t>
      </w:r>
      <w:r w:rsidRPr="00AA46BB">
        <w:lastRenderedPageBreak/>
        <w:t>reglamentai (EB) Nr. 219/2007, (ES) Nr. 557/2014, (ES) Nr. 558/2014, (ES) Nr. 559/2014, (ES) Nr. 560/2014, (ES) Nr. 561/2014 bei (ES) Nr. 642/2014</w:t>
      </w:r>
      <w:r w:rsidRPr="00AA46BB">
        <w:rPr>
          <w:rStyle w:val="FootnoteReference"/>
        </w:rPr>
        <w:footnoteReference w:id="4"/>
      </w:r>
      <w:r w:rsidRPr="00AA46BB">
        <w:t>, ypač į jo 26 straipsnį,</w:t>
      </w:r>
    </w:p>
    <w:p w:rsidR="00350FB7" w:rsidRPr="00AA46BB" w:rsidRDefault="00350FB7" w:rsidP="00350FB7">
      <w:pPr>
        <w:pStyle w:val="NormalHanging12a"/>
      </w:pPr>
      <w:r w:rsidRPr="00AA46BB">
        <w:t>–</w:t>
      </w:r>
      <w:r w:rsidRPr="00AA46BB">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AA46BB">
        <w:rPr>
          <w:rStyle w:val="FootnoteReference"/>
        </w:rPr>
        <w:footnoteReference w:id="5"/>
      </w:r>
      <w:r w:rsidRPr="00AA46BB">
        <w:t>,</w:t>
      </w:r>
    </w:p>
    <w:p w:rsidR="00350FB7" w:rsidRPr="00AA46BB" w:rsidRDefault="00350FB7" w:rsidP="00350FB7">
      <w:pPr>
        <w:pStyle w:val="NormalHanging12a"/>
      </w:pPr>
      <w:r w:rsidRPr="00AA46BB">
        <w:t>–</w:t>
      </w:r>
      <w:r w:rsidRPr="00AA46BB">
        <w:tab/>
        <w:t>atsižvelgdamas į Darbo tvarkos taisyklių 100 straipsnį ir V priedą,</w:t>
      </w:r>
    </w:p>
    <w:p w:rsidR="00350FB7" w:rsidRPr="00AA46BB" w:rsidRDefault="00350FB7" w:rsidP="00350FB7">
      <w:pPr>
        <w:pStyle w:val="NormalHanging12a"/>
      </w:pPr>
      <w:r w:rsidRPr="00AA46BB">
        <w:t>–</w:t>
      </w:r>
      <w:r w:rsidRPr="00AA46BB">
        <w:tab/>
        <w:t>atsižvelgdamas į Regioninės plėtros komiteto ir Pramonės, mokslinių tyrimų ir energetikos komiteto nuomones,</w:t>
      </w:r>
    </w:p>
    <w:p w:rsidR="00350FB7" w:rsidRPr="00AA46BB" w:rsidRDefault="00350FB7" w:rsidP="00350FB7">
      <w:pPr>
        <w:pStyle w:val="NormalHanging12a"/>
      </w:pPr>
      <w:r w:rsidRPr="00AA46BB">
        <w:t>–</w:t>
      </w:r>
      <w:r w:rsidRPr="00AA46BB">
        <w:tab/>
        <w:t>atsižvelgdamas į Biudžeto kontrolės komiteto pranešimą (A9-0088/2024),</w:t>
      </w:r>
    </w:p>
    <w:p w:rsidR="00350FB7" w:rsidRPr="00AA46BB" w:rsidRDefault="00350FB7" w:rsidP="00350FB7">
      <w:pPr>
        <w:pStyle w:val="NormalHanging12a"/>
      </w:pPr>
      <w:r w:rsidRPr="00AA46BB">
        <w:t>1.</w:t>
      </w:r>
      <w:r w:rsidRPr="00AA46BB">
        <w:tab/>
        <w:t xml:space="preserve">patvirtina Europos žiedinės </w:t>
      </w:r>
      <w:proofErr w:type="spellStart"/>
      <w:r w:rsidRPr="00AA46BB">
        <w:t>biožaliavinės</w:t>
      </w:r>
      <w:proofErr w:type="spellEnd"/>
      <w:r w:rsidRPr="00AA46BB">
        <w:t xml:space="preserve"> ekonomikos bendrosios įmonės laikinajam vykdomajam direktoriui, kad bendrosios įmonės 2022 finansinių metų biudžetas įvykdytas;</w:t>
      </w:r>
    </w:p>
    <w:p w:rsidR="00350FB7" w:rsidRPr="00AA46BB" w:rsidRDefault="00350FB7" w:rsidP="00350FB7">
      <w:pPr>
        <w:pStyle w:val="NormalHanging12a"/>
      </w:pPr>
      <w:r w:rsidRPr="00AA46BB">
        <w:t>2.</w:t>
      </w:r>
      <w:r w:rsidRPr="00AA46BB">
        <w:tab/>
        <w:t>išdėsto savo pastabas toliau pateikiamoje rezoliucijoje;</w:t>
      </w:r>
    </w:p>
    <w:p w:rsidR="00350FB7" w:rsidRPr="00AA46BB" w:rsidRDefault="00350FB7" w:rsidP="00350FB7">
      <w:pPr>
        <w:pStyle w:val="NormalHanging12a"/>
      </w:pPr>
      <w:r w:rsidRPr="00AA46BB">
        <w:t>3.</w:t>
      </w:r>
      <w:r w:rsidRPr="00AA46BB">
        <w:tab/>
        <w:t xml:space="preserve">paveda Pirmininkei perduoti šį sprendimą ir rezoliuciją, kuri yra neatskiriama jo dalis, Europos žiedinės </w:t>
      </w:r>
      <w:proofErr w:type="spellStart"/>
      <w:r w:rsidRPr="00AA46BB">
        <w:t>biožaliavinės</w:t>
      </w:r>
      <w:proofErr w:type="spellEnd"/>
      <w:r w:rsidRPr="00AA46BB">
        <w:t xml:space="preserve"> ekonomikos bendrosios įmonės laikinajam vykdomajam direktoriui, Tarybai, Komisijai ir Audito Rūmams ir pasirūpinti, kad jie būtų paskelbti </w:t>
      </w:r>
      <w:r w:rsidRPr="00AA46BB">
        <w:rPr>
          <w:i/>
        </w:rPr>
        <w:t>Europos Sąjungos oficialiajame leidinyje</w:t>
      </w:r>
      <w:r w:rsidRPr="00AA46BB">
        <w:t xml:space="preserve"> (L serijoje).</w:t>
      </w:r>
    </w:p>
    <w:p w:rsidR="00350FB7" w:rsidRPr="00AA46BB" w:rsidRDefault="00350FB7" w:rsidP="00350FB7"/>
    <w:p w:rsidR="00350FB7" w:rsidRPr="00AA46BB" w:rsidRDefault="00350FB7" w:rsidP="00350FB7">
      <w:pPr>
        <w:pStyle w:val="PageHeading"/>
        <w:sectPr w:rsidR="00350FB7" w:rsidRPr="00AA46BB" w:rsidSect="00AA46B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50FB7" w:rsidRPr="00AA46BB" w:rsidRDefault="00923EE5" w:rsidP="00923EE5">
      <w:pPr>
        <w:pStyle w:val="ATHeading3"/>
      </w:pPr>
      <w:r>
        <w:lastRenderedPageBreak/>
        <w:t xml:space="preserve">2. 2024 m. balandžio 11 d. </w:t>
      </w:r>
      <w:r w:rsidRPr="00AA46BB">
        <w:t xml:space="preserve">Europos Parlamento sprendimas </w:t>
      </w:r>
      <w:r w:rsidR="00350FB7" w:rsidRPr="00AA46BB">
        <w:t xml:space="preserve">dėl Europos žiedinės </w:t>
      </w:r>
      <w:proofErr w:type="spellStart"/>
      <w:r w:rsidR="00350FB7" w:rsidRPr="00AA46BB">
        <w:t>biožaliavinės</w:t>
      </w:r>
      <w:proofErr w:type="spellEnd"/>
      <w:r w:rsidR="00350FB7" w:rsidRPr="00AA46BB">
        <w:t xml:space="preserve"> ekonomikos bendrosios įmonės 2022 finansinių metų sąskaitų uždarymo</w:t>
      </w:r>
      <w:r>
        <w:t xml:space="preserve"> </w:t>
      </w:r>
      <w:r w:rsidR="00350FB7" w:rsidRPr="00AA46BB">
        <w:t>(2023/2174(DEC))</w:t>
      </w:r>
    </w:p>
    <w:p w:rsidR="00350FB7" w:rsidRPr="00AA46BB" w:rsidRDefault="00350FB7" w:rsidP="00350FB7">
      <w:pPr>
        <w:pStyle w:val="EPComma"/>
      </w:pPr>
      <w:r w:rsidRPr="00AA46BB">
        <w:rPr>
          <w:i/>
        </w:rPr>
        <w:t>Europos Parlamentas</w:t>
      </w:r>
      <w:r w:rsidRPr="00AA46BB">
        <w:t>,</w:t>
      </w:r>
    </w:p>
    <w:p w:rsidR="00350FB7" w:rsidRPr="00AA46BB" w:rsidRDefault="00350FB7" w:rsidP="00350FB7">
      <w:pPr>
        <w:pStyle w:val="NormalHanging12a"/>
      </w:pPr>
      <w:r w:rsidRPr="00AA46BB">
        <w:t>–</w:t>
      </w:r>
      <w:r w:rsidRPr="00AA46BB">
        <w:tab/>
        <w:t xml:space="preserve">atsižvelgdamas į Europos žiedinės </w:t>
      </w:r>
      <w:proofErr w:type="spellStart"/>
      <w:r w:rsidRPr="00AA46BB">
        <w:t>biožaliavinės</w:t>
      </w:r>
      <w:proofErr w:type="spellEnd"/>
      <w:r w:rsidRPr="00AA46BB">
        <w:t xml:space="preserve"> ekonomikos bendrosios įmonės 2022 finansinių metų galutines metines ataskaitas,</w:t>
      </w:r>
    </w:p>
    <w:p w:rsidR="00350FB7" w:rsidRPr="00AA46BB" w:rsidRDefault="00350FB7" w:rsidP="00350FB7">
      <w:pPr>
        <w:pStyle w:val="NormalHanging12a"/>
      </w:pPr>
      <w:r w:rsidRPr="00AA46BB">
        <w:t>–</w:t>
      </w:r>
      <w:r w:rsidRPr="00AA46BB">
        <w:tab/>
        <w:t>atsižvelgdamas į Audito Rūmų 2022 finansinių metų metinę ataskaitą dėl ES bendrųjų įmonių kartu su bendrųjų įmonių atsakymais</w:t>
      </w:r>
      <w:r w:rsidRPr="00AA46BB">
        <w:rPr>
          <w:rStyle w:val="FootnoteReference"/>
        </w:rPr>
        <w:footnoteReference w:id="6"/>
      </w:r>
      <w:r w:rsidRPr="00AA46BB">
        <w:t>,</w:t>
      </w:r>
    </w:p>
    <w:p w:rsidR="00350FB7" w:rsidRPr="00AA46BB" w:rsidRDefault="00350FB7" w:rsidP="00350FB7">
      <w:pPr>
        <w:pStyle w:val="NormalHanging12a"/>
      </w:pPr>
      <w:r w:rsidRPr="00AA46BB">
        <w:t>–</w:t>
      </w:r>
      <w:r w:rsidRPr="00AA46BB">
        <w:tab/>
        <w:t>atsižvelgdamas į Audito Rūmų pagal Sutarties dėl Europos Sąjungos veikimo 287 straipsnį pateiktą 2022 finansinių metų sąskaitų patikimumo ir pagal jas atliktų operacijų teisėtumo ir tvarkingumo patikinimo pareiškimą</w:t>
      </w:r>
      <w:r w:rsidRPr="00AA46BB">
        <w:rPr>
          <w:rStyle w:val="FootnoteReference"/>
        </w:rPr>
        <w:footnoteReference w:id="7"/>
      </w:r>
      <w:r w:rsidRPr="00AA46BB">
        <w:t>,</w:t>
      </w:r>
    </w:p>
    <w:p w:rsidR="00350FB7" w:rsidRPr="00AA46BB" w:rsidRDefault="00350FB7" w:rsidP="00350FB7">
      <w:pPr>
        <w:pStyle w:val="NormalHanging12a"/>
      </w:pPr>
      <w:r w:rsidRPr="00AA46BB">
        <w:t>–</w:t>
      </w:r>
      <w:r w:rsidRPr="00AA46BB">
        <w:tab/>
        <w:t xml:space="preserve">atsižvelgdamas į 2024 m. vasario 22 d. </w:t>
      </w:r>
      <w:r w:rsidR="00F27E4C" w:rsidRPr="00AA46BB">
        <w:t xml:space="preserve">Tarybos </w:t>
      </w:r>
      <w:r w:rsidRPr="00AA46BB">
        <w:t>rekomendaciją dėl patvirtinimo, kad bendroji įmonė įvykdė 2022 finansinių metų biudžetą (0</w:t>
      </w:r>
      <w:r w:rsidR="00F27E4C">
        <w:t>6182</w:t>
      </w:r>
      <w:r w:rsidRPr="00AA46BB">
        <w:t>/2024 – C9</w:t>
      </w:r>
      <w:r w:rsidRPr="00AA46BB">
        <w:noBreakHyphen/>
        <w:t>0</w:t>
      </w:r>
      <w:r w:rsidR="00F27E4C">
        <w:t>112</w:t>
      </w:r>
      <w:r w:rsidRPr="00AA46BB">
        <w:t>/2024),</w:t>
      </w:r>
    </w:p>
    <w:p w:rsidR="00350FB7" w:rsidRPr="00AA46BB" w:rsidRDefault="00350FB7" w:rsidP="00350FB7">
      <w:pPr>
        <w:pStyle w:val="NormalHanging12a"/>
      </w:pPr>
      <w:r w:rsidRPr="00AA46BB">
        <w:t>–</w:t>
      </w:r>
      <w:r w:rsidRPr="00AA46BB">
        <w:tab/>
        <w:t>atsižvelgdamas į Sutarties dėl Europos Sąjungos veikimo 319 straipsnį,</w:t>
      </w:r>
    </w:p>
    <w:p w:rsidR="00350FB7" w:rsidRPr="00AA46BB" w:rsidRDefault="00350FB7" w:rsidP="00350FB7">
      <w:pPr>
        <w:pStyle w:val="NormalHanging12a"/>
      </w:pPr>
      <w:r w:rsidRPr="00AA46BB">
        <w:t>–</w:t>
      </w:r>
      <w:r w:rsidRPr="00AA46BB">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A46BB">
        <w:rPr>
          <w:rStyle w:val="FootnoteReference"/>
        </w:rPr>
        <w:footnoteReference w:id="8"/>
      </w:r>
      <w:r w:rsidRPr="00AA46BB">
        <w:t>, ypač į jo 71 straipsnį,</w:t>
      </w:r>
    </w:p>
    <w:p w:rsidR="00350FB7" w:rsidRPr="00AA46BB" w:rsidRDefault="00350FB7" w:rsidP="00350FB7">
      <w:pPr>
        <w:pStyle w:val="NormalHanging12a"/>
      </w:pPr>
      <w:r w:rsidRPr="00AA46BB">
        <w:t>–</w:t>
      </w:r>
      <w:r w:rsidRPr="00AA46BB">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AA46BB">
        <w:rPr>
          <w:rStyle w:val="FootnoteReference"/>
        </w:rPr>
        <w:footnoteReference w:id="9"/>
      </w:r>
      <w:r w:rsidRPr="00AA46BB">
        <w:t>, ypač į jo 26 straipsnį,</w:t>
      </w:r>
    </w:p>
    <w:p w:rsidR="00350FB7" w:rsidRPr="00AA46BB" w:rsidRDefault="00350FB7" w:rsidP="00350FB7">
      <w:pPr>
        <w:pStyle w:val="NormalHanging12a"/>
      </w:pPr>
      <w:r w:rsidRPr="00AA46BB">
        <w:t>–</w:t>
      </w:r>
      <w:r w:rsidRPr="00AA46BB">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AA46BB">
        <w:rPr>
          <w:rStyle w:val="FootnoteReference"/>
        </w:rPr>
        <w:footnoteReference w:id="10"/>
      </w:r>
      <w:r w:rsidRPr="00AA46BB">
        <w:t>,</w:t>
      </w:r>
    </w:p>
    <w:p w:rsidR="00350FB7" w:rsidRPr="00AA46BB" w:rsidRDefault="00350FB7" w:rsidP="00350FB7">
      <w:pPr>
        <w:pStyle w:val="NormalHanging12a"/>
      </w:pPr>
      <w:r w:rsidRPr="00AA46BB">
        <w:t>–</w:t>
      </w:r>
      <w:r w:rsidRPr="00AA46BB">
        <w:tab/>
        <w:t>atsižvelgdamas į Darbo tvarkos taisyklių 100 straipsnį ir V priedą,</w:t>
      </w:r>
    </w:p>
    <w:p w:rsidR="00350FB7" w:rsidRPr="00AA46BB" w:rsidRDefault="00350FB7" w:rsidP="00350FB7">
      <w:pPr>
        <w:pStyle w:val="NormalHanging12a"/>
      </w:pPr>
      <w:r w:rsidRPr="00AA46BB">
        <w:t>–</w:t>
      </w:r>
      <w:r w:rsidRPr="00AA46BB">
        <w:tab/>
        <w:t>atsižvelgdamas į Biudžeto kontrolės komiteto pranešimą (A9-0088/2024),</w:t>
      </w:r>
    </w:p>
    <w:p w:rsidR="00350FB7" w:rsidRPr="00AA46BB" w:rsidRDefault="00350FB7" w:rsidP="00350FB7">
      <w:pPr>
        <w:pStyle w:val="NormalHanging12a"/>
      </w:pPr>
      <w:r w:rsidRPr="00AA46BB">
        <w:t>1.</w:t>
      </w:r>
      <w:r w:rsidRPr="00AA46BB">
        <w:tab/>
        <w:t xml:space="preserve">pritaria Europos žiedinės </w:t>
      </w:r>
      <w:proofErr w:type="spellStart"/>
      <w:r w:rsidRPr="00AA46BB">
        <w:t>biožaliavinės</w:t>
      </w:r>
      <w:proofErr w:type="spellEnd"/>
      <w:r w:rsidRPr="00AA46BB">
        <w:t xml:space="preserve"> ekonomikos bendrosios įmonės 2022 finansinių metų sąskaitų uždarymui;</w:t>
      </w:r>
    </w:p>
    <w:p w:rsidR="00350FB7" w:rsidRPr="00AA46BB" w:rsidRDefault="00350FB7" w:rsidP="00350FB7">
      <w:pPr>
        <w:pStyle w:val="NormalHanging12a"/>
      </w:pPr>
      <w:r w:rsidRPr="00AA46BB">
        <w:lastRenderedPageBreak/>
        <w:t>2.</w:t>
      </w:r>
      <w:r w:rsidRPr="00AA46BB">
        <w:tab/>
        <w:t xml:space="preserve">paveda Pirmininkei perduoti šį sprendimą Europos žiedinės </w:t>
      </w:r>
      <w:proofErr w:type="spellStart"/>
      <w:r w:rsidRPr="00AA46BB">
        <w:t>biožaliavinės</w:t>
      </w:r>
      <w:proofErr w:type="spellEnd"/>
      <w:r w:rsidRPr="00AA46BB">
        <w:t xml:space="preserve"> ekonomikos bendrosios įmonės laikinajam vykdomajam direktoriui, Tarybai, Komisijai ir Audito Rūmams ir pasirūpinti, kad jis būtų paskelbtas </w:t>
      </w:r>
      <w:r w:rsidRPr="00AA46BB">
        <w:rPr>
          <w:i/>
        </w:rPr>
        <w:t>Europos Sąjungos oficialiajame leidinyje</w:t>
      </w:r>
      <w:r w:rsidRPr="00AA46BB">
        <w:t xml:space="preserve"> (L serijoje).</w:t>
      </w:r>
    </w:p>
    <w:p w:rsidR="00350FB7" w:rsidRPr="00AA46BB" w:rsidRDefault="00350FB7" w:rsidP="00350FB7"/>
    <w:p w:rsidR="00350FB7" w:rsidRPr="00AA46BB" w:rsidRDefault="00350FB7" w:rsidP="00350FB7">
      <w:pPr>
        <w:pStyle w:val="PageHeading"/>
        <w:sectPr w:rsidR="00350FB7" w:rsidRPr="00AA46BB" w:rsidSect="00AA46BB">
          <w:footnotePr>
            <w:numRestart w:val="eachPage"/>
          </w:footnotePr>
          <w:endnotePr>
            <w:numFmt w:val="decimal"/>
          </w:endnotePr>
          <w:pgSz w:w="11906" w:h="16838" w:code="9"/>
          <w:pgMar w:top="1134" w:right="1418" w:bottom="1418" w:left="1418" w:header="567" w:footer="567" w:gutter="0"/>
          <w:cols w:space="720"/>
          <w:noEndnote/>
          <w:docGrid w:linePitch="326"/>
        </w:sectPr>
      </w:pPr>
    </w:p>
    <w:p w:rsidR="00350FB7" w:rsidRPr="00AA46BB" w:rsidRDefault="00923EE5" w:rsidP="00923EE5">
      <w:pPr>
        <w:pStyle w:val="ATHeading3"/>
      </w:pPr>
      <w:r>
        <w:lastRenderedPageBreak/>
        <w:t xml:space="preserve">3. 2024 m. balandžio 11 d. </w:t>
      </w:r>
      <w:r w:rsidRPr="00AA46BB">
        <w:t xml:space="preserve">Europos Parlamento </w:t>
      </w:r>
      <w:r>
        <w:t>rezoliucija</w:t>
      </w:r>
      <w:r w:rsidRPr="00AA46BB">
        <w:t xml:space="preserve"> </w:t>
      </w:r>
      <w:r w:rsidR="00350FB7" w:rsidRPr="00AA46BB">
        <w:t xml:space="preserve">su pastabomis, sudarančiomis neatskiriamą sprendimo dėl Europos žiedinės </w:t>
      </w:r>
      <w:proofErr w:type="spellStart"/>
      <w:r w:rsidR="00350FB7" w:rsidRPr="00AA46BB">
        <w:t>biožaliavinės</w:t>
      </w:r>
      <w:proofErr w:type="spellEnd"/>
      <w:r w:rsidR="00350FB7" w:rsidRPr="00AA46BB">
        <w:t xml:space="preserve"> ekonomikos bendrosios įmonės 2022 finansinių metų biudžeto įvykdymo patvirtinimo dalį</w:t>
      </w:r>
      <w:r>
        <w:t xml:space="preserve"> </w:t>
      </w:r>
      <w:r w:rsidR="00350FB7" w:rsidRPr="00AA46BB">
        <w:t>(2023/2174(DEC))</w:t>
      </w:r>
    </w:p>
    <w:p w:rsidR="00350FB7" w:rsidRPr="00AA46BB" w:rsidRDefault="00350FB7" w:rsidP="00350FB7">
      <w:pPr>
        <w:pStyle w:val="EPComma"/>
      </w:pPr>
      <w:r w:rsidRPr="00AA46BB">
        <w:rPr>
          <w:i/>
        </w:rPr>
        <w:t>Europos Parlamentas</w:t>
      </w:r>
      <w:r w:rsidRPr="00AA46BB">
        <w:t>,</w:t>
      </w:r>
    </w:p>
    <w:p w:rsidR="00350FB7" w:rsidRPr="00AA46BB" w:rsidRDefault="00350FB7" w:rsidP="00350FB7">
      <w:pPr>
        <w:pStyle w:val="NormalHanging12a"/>
      </w:pPr>
      <w:r w:rsidRPr="00AA46BB">
        <w:t>–</w:t>
      </w:r>
      <w:r w:rsidRPr="00AA46BB">
        <w:tab/>
        <w:t xml:space="preserve">atsižvelgdamas į savo sprendimą dėl Europos žiedinės </w:t>
      </w:r>
      <w:proofErr w:type="spellStart"/>
      <w:r w:rsidRPr="00AA46BB">
        <w:t>biožaliavinės</w:t>
      </w:r>
      <w:proofErr w:type="spellEnd"/>
      <w:r w:rsidRPr="00AA46BB">
        <w:t xml:space="preserve"> ekonomikos bendrosios įmonės 2022 finansinių metų biudžeto įvykdymo patvirtinimo,</w:t>
      </w:r>
    </w:p>
    <w:p w:rsidR="00350FB7" w:rsidRPr="00AA46BB" w:rsidRDefault="00350FB7" w:rsidP="00350FB7">
      <w:pPr>
        <w:pStyle w:val="NormalHanging12a"/>
      </w:pPr>
      <w:r w:rsidRPr="00AA46BB">
        <w:t>–</w:t>
      </w:r>
      <w:r w:rsidRPr="00AA46BB">
        <w:tab/>
        <w:t>atsižvelgdamas į Darbo tvarkos taisyklių 100 straipsnį ir V priedą,</w:t>
      </w:r>
    </w:p>
    <w:p w:rsidR="00350FB7" w:rsidRPr="00AA46BB" w:rsidRDefault="00350FB7" w:rsidP="00350FB7">
      <w:pPr>
        <w:pStyle w:val="NormalHanging12a"/>
      </w:pPr>
      <w:r w:rsidRPr="00AA46BB">
        <w:t>–</w:t>
      </w:r>
      <w:r w:rsidRPr="00AA46BB">
        <w:tab/>
        <w:t>atsižvelgdamas į Regioninės plėtros komiteto ir Pramonės, mokslinių tyrimų ir energetikos komiteto nuomones,</w:t>
      </w:r>
    </w:p>
    <w:p w:rsidR="00350FB7" w:rsidRPr="00AA46BB" w:rsidRDefault="00350FB7" w:rsidP="00350FB7">
      <w:pPr>
        <w:pStyle w:val="NormalHanging12a"/>
      </w:pPr>
      <w:r w:rsidRPr="00AA46BB">
        <w:t>–</w:t>
      </w:r>
      <w:r w:rsidRPr="00AA46BB">
        <w:tab/>
        <w:t>atsižvelgdamas į Biudžeto kontrolės komiteto pranešimą (A9-0088/2024),</w:t>
      </w:r>
    </w:p>
    <w:p w:rsidR="00350FB7" w:rsidRPr="00AA46BB" w:rsidRDefault="00350FB7" w:rsidP="00350FB7">
      <w:pPr>
        <w:pStyle w:val="NormalHanging12a"/>
      </w:pPr>
      <w:r w:rsidRPr="00AA46BB">
        <w:t>A.</w:t>
      </w:r>
      <w:r w:rsidRPr="00AA46BB">
        <w:tab/>
        <w:t xml:space="preserve">kadangi Briuselyje įsikūrusi Europos žiedinės </w:t>
      </w:r>
      <w:proofErr w:type="spellStart"/>
      <w:r w:rsidRPr="00AA46BB">
        <w:t>biožaliavinės</w:t>
      </w:r>
      <w:proofErr w:type="spellEnd"/>
      <w:r w:rsidRPr="00AA46BB">
        <w:t xml:space="preserve"> ekonomikos bendroji įmonė (EŽBE BĮ) įsteigta 2021 m. lapkričio mėn. pagal programą „Europos horizontas“ laikotarpiui iki 2031 m. gruodžio 31 d.</w:t>
      </w:r>
      <w:r w:rsidRPr="00AA46BB">
        <w:rPr>
          <w:rStyle w:val="FootnoteReference"/>
        </w:rPr>
        <w:footnoteReference w:id="11"/>
      </w:r>
      <w:r w:rsidRPr="00AA46BB">
        <w:t>; kadangi EŽBE BĮ pakeitė 2014 m. gegužės mėn. pagal programą „Horizontas 2020“ laikotarpiui iki 2024 m. gruodžio 31 d. įsteigtą Biologinės pramonės sektorių bendrąją įmonę (BPS bendrąją įmonę) ir perėmė jos teises bei pareigas</w:t>
      </w:r>
      <w:r w:rsidRPr="00AA46BB">
        <w:rPr>
          <w:rStyle w:val="FootnoteReference"/>
        </w:rPr>
        <w:footnoteReference w:id="12"/>
      </w:r>
      <w:r w:rsidRPr="00AA46BB">
        <w:t>;</w:t>
      </w:r>
    </w:p>
    <w:p w:rsidR="00350FB7" w:rsidRPr="00AA46BB" w:rsidRDefault="00350FB7" w:rsidP="00350FB7">
      <w:pPr>
        <w:pStyle w:val="NormalHanging12a"/>
      </w:pPr>
      <w:r w:rsidRPr="00AA46BB">
        <w:t>B.</w:t>
      </w:r>
      <w:r w:rsidRPr="00AA46BB">
        <w:tab/>
        <w:t xml:space="preserve">kadangi EŽBE BĮ yra viešojo ir privačiojo sektorių partnerystės pagrindu veikiantis subjektas, kurio veikla orientuota į mokslinius tyrimus ir inovacijas, kuriais siekiama tvaraus ir konkurencingo žiedinės </w:t>
      </w:r>
      <w:proofErr w:type="spellStart"/>
      <w:r w:rsidRPr="00AA46BB">
        <w:t>biožaliavinės</w:t>
      </w:r>
      <w:proofErr w:type="spellEnd"/>
      <w:r w:rsidRPr="00AA46BB">
        <w:t xml:space="preserve"> pramonės sektoriaus; kadangi jos nariai steigėjai yra Sąjunga, kuriai atstovauja Komisija, ir pramonės partneriai, kuriems atstovauja </w:t>
      </w:r>
      <w:proofErr w:type="spellStart"/>
      <w:r w:rsidRPr="00AA46BB">
        <w:t>Biožaliavinės</w:t>
      </w:r>
      <w:proofErr w:type="spellEnd"/>
      <w:r w:rsidRPr="00AA46BB">
        <w:t xml:space="preserve"> pramonės sektorių konsorciumas;</w:t>
      </w:r>
    </w:p>
    <w:p w:rsidR="00350FB7" w:rsidRPr="00AA46BB" w:rsidRDefault="00350FB7" w:rsidP="00350FB7">
      <w:pPr>
        <w:pStyle w:val="NormalHanging12a"/>
      </w:pPr>
      <w:r w:rsidRPr="00AA46BB">
        <w:t>C.</w:t>
      </w:r>
      <w:r w:rsidRPr="00AA46BB">
        <w:tab/>
        <w:t>kadangi tam, kad padidintų skaidrumą, EŽBE BĮ savo metinėse finansinėse ataskaitose turėtų atskleisti atitinkamą informaciją apie narių įnašus programos lygmeniu; kadangi EŽBE BĮ dėl kiekvienos programos, pagal kurią vykdo veiklą, iki metų pabaigos turėtų pateikti visą svarbią informaciją pagal narių kategorijas, įskaitant atitinkamai programai nustatytus teisiškai įpareigojančius įnašų tikslus, gautų įnašų sumą ir teisinių įsipareigojimų sumą; kadangi EŽBE BĮ turėtų toliau didinti skaidrumą;</w:t>
      </w:r>
    </w:p>
    <w:p w:rsidR="00350FB7" w:rsidRPr="00AA46BB" w:rsidRDefault="00350FB7" w:rsidP="00350FB7">
      <w:pPr>
        <w:pStyle w:val="NormalHanging12a"/>
        <w:jc w:val="both"/>
        <w:rPr>
          <w:b/>
          <w:i/>
        </w:rPr>
      </w:pPr>
      <w:r w:rsidRPr="00AA46BB">
        <w:rPr>
          <w:b/>
          <w:i/>
        </w:rPr>
        <w:t>Bendrosios nuostatos</w:t>
      </w:r>
    </w:p>
    <w:p w:rsidR="00350FB7" w:rsidRPr="00AA46BB" w:rsidRDefault="00350FB7" w:rsidP="00350FB7">
      <w:pPr>
        <w:pStyle w:val="NormalHanging12a"/>
      </w:pPr>
      <w:r w:rsidRPr="00AA46BB">
        <w:t>1.</w:t>
      </w:r>
      <w:r w:rsidRPr="00AA46BB">
        <w:tab/>
        <w:t>atkreipia dėmesį į tai, jog remiantis Audito Rūmų ataskaita dėl EŽBE BĮ 2022 finansinių metų EŽBE BĮ metinių finansinių ataskaitų (toliau – Audito Rūmų ataskaita)</w:t>
      </w:r>
      <w:r w:rsidRPr="00AA46BB">
        <w:rPr>
          <w:rStyle w:val="FootnoteReference"/>
        </w:rPr>
        <w:footnoteReference w:id="13"/>
      </w:r>
      <w:r w:rsidRPr="00AA46BB">
        <w:t xml:space="preserve">, EŽBE BĮ finansinė būklė 2022 m. gruodžio 31 d., tą dieną pasibaigusių </w:t>
      </w:r>
      <w:r w:rsidRPr="00AA46BB">
        <w:lastRenderedPageBreak/>
        <w:t>finansinių metų operacijų ir pinigų srautų rezultatai bei grynojo turto pokyčiai visais reikšmingais aspektais yra pateikti teisingai, kaip to reikalaujama pagal jos finansinį reglamentą ir Komisijos apskaitos pareigūno priimtas apskaitos taisykles; taip pat pažymi, kad, remiantis Audito Rūmų ataskaita, finansinėse ataskaitose atspindimos operacijos visais reikšmingais aspektais yra teisėtos ir tvarkingos;</w:t>
      </w:r>
    </w:p>
    <w:p w:rsidR="00350FB7" w:rsidRPr="00AA46BB" w:rsidRDefault="00350FB7" w:rsidP="00350FB7">
      <w:pPr>
        <w:pStyle w:val="NormalHanging12a"/>
      </w:pPr>
      <w:r w:rsidRPr="00AA46BB">
        <w:t>2.</w:t>
      </w:r>
      <w:r w:rsidRPr="00AA46BB">
        <w:tab/>
        <w:t xml:space="preserve">Palankiai vertina EŽBE BĮ vaidmenį skatinant konkurencingą žiedinę </w:t>
      </w:r>
      <w:proofErr w:type="spellStart"/>
      <w:r w:rsidRPr="00AA46BB">
        <w:t>biožaliavinės</w:t>
      </w:r>
      <w:proofErr w:type="spellEnd"/>
      <w:r w:rsidRPr="00AA46BB">
        <w:t xml:space="preserve"> pramonės pramonę Sąjungoje;</w:t>
      </w:r>
    </w:p>
    <w:p w:rsidR="00350FB7" w:rsidRPr="00AA46BB" w:rsidRDefault="00350FB7" w:rsidP="00350FB7">
      <w:pPr>
        <w:pStyle w:val="NormalHanging12a"/>
      </w:pPr>
      <w:r w:rsidRPr="00AA46BB">
        <w:t>3.</w:t>
      </w:r>
      <w:r w:rsidRPr="00AA46BB">
        <w:tab/>
        <w:t>pažymi, kad EŽBE BĮ biudžeto dydžio pokyčiai labai priklauso nuo daugiamečių mokslinių tyrimų ir inovacijų programų, kurias jos įgyvendina, įgyvendinimo etapo;</w:t>
      </w:r>
    </w:p>
    <w:p w:rsidR="00350FB7" w:rsidRPr="00AA46BB" w:rsidRDefault="00350FB7" w:rsidP="00350FB7">
      <w:pPr>
        <w:pStyle w:val="NormalHanging12a"/>
      </w:pPr>
      <w:r w:rsidRPr="00AA46BB">
        <w:t>4.</w:t>
      </w:r>
      <w:r w:rsidRPr="00AA46BB">
        <w:tab/>
        <w:t>pažymi, kad 2022 m. EŽBE BĮ pradėjo įgyvendinti programą „Europos horizontas“, taigi į 2022 m. biudžetą įtrauktas pirmųjų 2021 ir 2022 m. suplanuotų kvietimų teikti pasiūlymus pagal programą „Europos horizontas“ įsipareigojimų biudžetas;</w:t>
      </w:r>
    </w:p>
    <w:p w:rsidR="00350FB7" w:rsidRPr="00AA46BB" w:rsidRDefault="00350FB7" w:rsidP="00350FB7">
      <w:pPr>
        <w:pStyle w:val="NormalHanging12a"/>
        <w:jc w:val="both"/>
        <w:rPr>
          <w:b/>
          <w:i/>
        </w:rPr>
      </w:pPr>
      <w:r w:rsidRPr="00AA46BB">
        <w:rPr>
          <w:b/>
          <w:i/>
        </w:rPr>
        <w:t>Biudžeto ir finansų valdymas</w:t>
      </w:r>
    </w:p>
    <w:p w:rsidR="00350FB7" w:rsidRPr="00AA46BB" w:rsidRDefault="00350FB7" w:rsidP="00350FB7">
      <w:pPr>
        <w:pStyle w:val="NormalHanging12a"/>
      </w:pPr>
      <w:r w:rsidRPr="00AA46BB">
        <w:t>5.</w:t>
      </w:r>
      <w:r w:rsidRPr="00AA46BB">
        <w:tab/>
        <w:t>pažymi, kad, remiantis EŽBE BĮ 2022 m. konsoliduotosios metinės veiklos ataskaita</w:t>
      </w:r>
      <w:r w:rsidRPr="00AA46BB">
        <w:rPr>
          <w:rStyle w:val="FootnoteReference"/>
        </w:rPr>
        <w:footnoteReference w:id="14"/>
      </w:r>
      <w:r w:rsidRPr="00AA46BB">
        <w:t>, 2022 m. bendrą turimą biudžetą sudarė 264,2 mln. EUR įsipareigojimų asignavimų ir 80,3 mln. EUR mokėjimų asignavimų</w:t>
      </w:r>
      <w:r w:rsidRPr="00AA46BB">
        <w:rPr>
          <w:rStyle w:val="FootnoteReference"/>
        </w:rPr>
        <w:footnoteReference w:id="15"/>
      </w:r>
      <w:r w:rsidRPr="00AA46BB">
        <w:t>; pažymi, kad kalbant apie biudžeto įgyvendinimą ir (arba) vykdymą, įsipareigojimų asignavimų suma sudarė 125 mln. EUR (įvykdyti 47 %)</w:t>
      </w:r>
      <w:r w:rsidRPr="00AA46BB">
        <w:rPr>
          <w:rStyle w:val="FootnoteReference"/>
        </w:rPr>
        <w:footnoteReference w:id="16"/>
      </w:r>
      <w:r w:rsidRPr="00AA46BB">
        <w:t>, o mokėjimų asignavimų – 52 mln. EUR (įvykdyti 65 %)</w:t>
      </w:r>
      <w:r w:rsidRPr="00AA46BB">
        <w:rPr>
          <w:rStyle w:val="FootnoteReference"/>
        </w:rPr>
        <w:footnoteReference w:id="17"/>
      </w:r>
      <w:r w:rsidRPr="00AA46BB">
        <w:t>;</w:t>
      </w:r>
    </w:p>
    <w:p w:rsidR="00350FB7" w:rsidRPr="00AA46BB" w:rsidRDefault="00350FB7" w:rsidP="00350FB7">
      <w:pPr>
        <w:pStyle w:val="NormalHanging12a"/>
      </w:pPr>
      <w:r w:rsidRPr="00AA46BB">
        <w:t>6.</w:t>
      </w:r>
      <w:r w:rsidRPr="00AA46BB">
        <w:tab/>
        <w:t>pažymi, kad BĮ valdyba priėmė 2022 m. EŽBE BĮ biudžetą dviem etapais. 2021 m. gruodžio 16 d. nubalsuota dėl senosios BPS BĮ biudžeto dalies: 6 mln. EUR įsipareigojimų asignavimų ir 85,6 mln. EUR mokėjimų asignavimų</w:t>
      </w:r>
      <w:r w:rsidRPr="00AA46BB">
        <w:rPr>
          <w:rStyle w:val="FootnoteReference"/>
        </w:rPr>
        <w:footnoteReference w:id="18"/>
      </w:r>
      <w:r w:rsidRPr="00AA46BB">
        <w:t>;</w:t>
      </w:r>
    </w:p>
    <w:p w:rsidR="00350FB7" w:rsidRPr="00AA46BB" w:rsidRDefault="00350FB7" w:rsidP="00350FB7">
      <w:pPr>
        <w:pStyle w:val="NormalHanging12a"/>
      </w:pPr>
      <w:r w:rsidRPr="00AA46BB">
        <w:t>7.</w:t>
      </w:r>
      <w:r w:rsidRPr="00AA46BB">
        <w:tab/>
        <w:t>be to, pažymi, kad pagal EŽBE BĮ įgaliojimus nebuvo pasirašyta dėl jokių dotacijų, o dėl 142 dotacijų pasirašyta pagal BPS BĮ įgaliojimus. Bendra jų vertė – 822 mln. EUR;</w:t>
      </w:r>
    </w:p>
    <w:p w:rsidR="00350FB7" w:rsidRPr="00AA46BB" w:rsidRDefault="00350FB7" w:rsidP="00350FB7">
      <w:pPr>
        <w:pStyle w:val="NormalHanging12a"/>
      </w:pPr>
      <w:r w:rsidRPr="00AA46BB">
        <w:t>8.</w:t>
      </w:r>
      <w:r w:rsidRPr="00AA46BB">
        <w:tab/>
        <w:t>pažymi, kad 2022 m. gegužės 31 d. biudžeto pakeitimu EŽBE BĮ skirtas 2022 m. (naujas) biudžetas – 254,9 mln. EUR įsipareigojimų asignavimų ir 1,7 mln. EUR mokėjimų asignavimų; pažymi, kad pakeitimu taip pat numatyta skirti 11,2 mln. EUR mažiau BPS BĮ veiklos mokėjimų asignavimų pakartotiniam aktyvinimui, nes tuo metu buvo manoma, kad skirta suma viršija poreikius (taigi bendras įsipareigojimų asignavimų biudžeto pakeitimas buvo: -9,6 mln. EUR (biudžetas sumažėjo));</w:t>
      </w:r>
    </w:p>
    <w:p w:rsidR="00350FB7" w:rsidRPr="00AA46BB" w:rsidRDefault="00350FB7" w:rsidP="00350FB7">
      <w:pPr>
        <w:pStyle w:val="NormalHanging12a"/>
      </w:pPr>
      <w:r w:rsidRPr="00AA46BB">
        <w:t>9.</w:t>
      </w:r>
      <w:r w:rsidRPr="00AA46BB">
        <w:tab/>
        <w:t>pažymi, kad 2022 m. lapkričio 28 d. kitu biudžeto pakeitimu papildomai skirtas 1 mln. EUR mokėjimų asignavimų EŽBE BĮ ekspertų vertintojams pagal 3 antraštinę dalį</w:t>
      </w:r>
      <w:r w:rsidRPr="00AA46BB">
        <w:rPr>
          <w:rStyle w:val="FootnoteReference"/>
        </w:rPr>
        <w:footnoteReference w:id="19"/>
      </w:r>
      <w:r w:rsidRPr="00AA46BB">
        <w:t xml:space="preserve">, siekiant apskaitos lygmeniu atspindėti Europos Komisijos požiūrį į vertintojų ekspertų </w:t>
      </w:r>
      <w:r w:rsidRPr="00AA46BB">
        <w:lastRenderedPageBreak/>
        <w:t>atliekamą mokėjimų asignavimų vertinimą kvietimuose teikti pasiūlymus;</w:t>
      </w:r>
    </w:p>
    <w:p w:rsidR="00350FB7" w:rsidRPr="00AA46BB" w:rsidRDefault="00350FB7" w:rsidP="00350FB7">
      <w:pPr>
        <w:pStyle w:val="NormalHanging12a"/>
      </w:pPr>
      <w:r w:rsidRPr="00AA46BB">
        <w:t>10.</w:t>
      </w:r>
      <w:r w:rsidRPr="00AA46BB">
        <w:tab/>
        <w:t>pažymi, kad į pradinį BPS BĮ biudžetą buvo įtrauktas santykinai didelis nepanaudoto ankstesnių metų (2019, 2020 ir 2021 m.) biudžeto perteklius: kalbant apie administracinį aspektą, 1,1 mln. EUR įsipareigojimų asignavimų ir 1,6 mln. EUR mokėjimų asignavimų, o kalbant apie veiklos aspektą, 40 mln. EUR mokėjimų asignavimų;</w:t>
      </w:r>
    </w:p>
    <w:p w:rsidR="00350FB7" w:rsidRPr="00AA46BB" w:rsidRDefault="00350FB7" w:rsidP="00350FB7">
      <w:pPr>
        <w:pStyle w:val="NormalHanging12a"/>
      </w:pPr>
      <w:r w:rsidRPr="00AA46BB">
        <w:t>11.</w:t>
      </w:r>
      <w:r w:rsidRPr="00AA46BB">
        <w:tab/>
        <w:t xml:space="preserve">pažymi, kad šie </w:t>
      </w:r>
      <w:proofErr w:type="spellStart"/>
      <w:r w:rsidRPr="00AA46BB">
        <w:t>reaktyvuoti</w:t>
      </w:r>
      <w:proofErr w:type="spellEnd"/>
      <w:r w:rsidRPr="00AA46BB">
        <w:t xml:space="preserve"> asignavimai buvo panaudoti laikantis EŽBE BĮ finansinių taisyklių 6 straipsnio 5 dalies ir iki metų pabaigos buvo panaudoti 69 % administracinių įsipareigojimų asignavimų, 88 % administracinių mokėjimų asignavimų ir 100 % veiklos mokėjimų asignavimų; pažymi, kad pagrindinė mažesnio administracinio biudžeto įvykdymo lygio priežastis yra ta, kad 2 antraštinės dalies</w:t>
      </w:r>
      <w:r w:rsidRPr="00AA46BB">
        <w:rPr>
          <w:rStyle w:val="FootnoteReference"/>
        </w:rPr>
        <w:footnoteReference w:id="20"/>
      </w:r>
      <w:r w:rsidRPr="00AA46BB">
        <w:t xml:space="preserve"> komunikacijos biudžeto eilutėse iki pat metų pabaigos buvo palikta daug asignavimų, siekiant sudaryti įsipareigojimus dėl sutarties dėl suinteresuotųjų šalių forumo renginio, vykusio 2023 m.;</w:t>
      </w:r>
    </w:p>
    <w:p w:rsidR="00350FB7" w:rsidRPr="00AA46BB" w:rsidRDefault="00350FB7" w:rsidP="00350FB7">
      <w:pPr>
        <w:pStyle w:val="NormalHanging12a"/>
      </w:pPr>
      <w:r w:rsidRPr="00AA46BB">
        <w:t>12.</w:t>
      </w:r>
      <w:r w:rsidRPr="00AA46BB">
        <w:tab/>
        <w:t xml:space="preserve">tačiau pažymi, kad, pasak EŽBE BĮ, to nebuvo įmanoma suvaldyti, tad sutartis galiausiai buvo pasirašyta 2023 m. sausio mėn. viduryje, o asignavimai </w:t>
      </w:r>
      <w:proofErr w:type="spellStart"/>
      <w:r w:rsidRPr="00AA46BB">
        <w:t>reaktyvuoti</w:t>
      </w:r>
      <w:proofErr w:type="spellEnd"/>
      <w:r w:rsidRPr="00AA46BB">
        <w:t xml:space="preserve"> 2023 m. ir 2024 m. biudžetuose;</w:t>
      </w:r>
    </w:p>
    <w:p w:rsidR="00350FB7" w:rsidRPr="00AA46BB" w:rsidRDefault="00350FB7" w:rsidP="00350FB7">
      <w:pPr>
        <w:pStyle w:val="NormalHanging12a"/>
      </w:pPr>
      <w:r w:rsidRPr="00AA46BB">
        <w:t>13.</w:t>
      </w:r>
      <w:r w:rsidRPr="00AA46BB">
        <w:tab/>
        <w:t>pažymi, kad 2022 m. pabaigoje bendras BPS BĮ nepanaudotų asignavimų perteklius sudarė 1,1 mln. EUR administracinių įsipareigojimų asignavimų ir 1,5 mln. EUR administracinių mokėjimų asignavimų, o veiklos mokėjimų asignavimų – 25,2 mln. EUR;</w:t>
      </w:r>
    </w:p>
    <w:p w:rsidR="00350FB7" w:rsidRPr="00AA46BB" w:rsidRDefault="00350FB7" w:rsidP="00350FB7">
      <w:pPr>
        <w:pStyle w:val="NormalHanging12a"/>
      </w:pPr>
      <w:r w:rsidRPr="00AA46BB">
        <w:t>14.</w:t>
      </w:r>
      <w:r w:rsidRPr="00AA46BB">
        <w:tab/>
        <w:t xml:space="preserve">pažymi, kad, kalbant apie EŽBE BĮ, nebūta reikšmingų </w:t>
      </w:r>
      <w:proofErr w:type="spellStart"/>
      <w:r w:rsidRPr="00AA46BB">
        <w:t>reaktyvuotų</w:t>
      </w:r>
      <w:proofErr w:type="spellEnd"/>
      <w:r w:rsidRPr="00AA46BB">
        <w:t xml:space="preserve"> asignavimų, nes nebuvo prašyta biudžeto iki 2021 m.; tačiau pažymi, kad iš pradžių EŽBE BĮ numatytą biudžetą įsipareigojo skirti Komisijos Mokslinių tyrimų ir inovacijų generalinis direktoratas (RTD GD) (įskaitant 2021 m. kvietimą teikti pasiūlymus, kuris niekada nebuvo paskelbtas). EŽBE BĮ savo 2022 m. administraciniame ir veiklos biudžete turėjo prisiimti 2021 ir 2022 m. EŽBE BĮ numatytus įsipareigojimų </w:t>
      </w:r>
      <w:proofErr w:type="spellStart"/>
      <w:r w:rsidRPr="00AA46BB">
        <w:t>asignavimus</w:t>
      </w:r>
      <w:proofErr w:type="spellEnd"/>
      <w:r w:rsidRPr="00AA46BB">
        <w:t xml:space="preserve"> ir mokėjimų </w:t>
      </w:r>
      <w:proofErr w:type="spellStart"/>
      <w:r w:rsidRPr="00AA46BB">
        <w:t>asignavimus</w:t>
      </w:r>
      <w:proofErr w:type="spellEnd"/>
      <w:r w:rsidRPr="00AA46BB">
        <w:t>;</w:t>
      </w:r>
    </w:p>
    <w:p w:rsidR="00350FB7" w:rsidRPr="00AA46BB" w:rsidRDefault="00350FB7" w:rsidP="00350FB7">
      <w:pPr>
        <w:pStyle w:val="NormalHanging12a"/>
      </w:pPr>
      <w:r w:rsidRPr="00AA46BB">
        <w:t>15.</w:t>
      </w:r>
      <w:r w:rsidRPr="00AA46BB">
        <w:tab/>
        <w:t>be to, pažymi, kad iki 2024 m. pabaigos, kalbant apie administracinį aspektą, pirmenybė bus teikiama BPS BĮ senojo biudžeto vykdymui, nes 2022 m. nebuvo įvykdytas beveik nė vienas EŽBE BĮ administracinis biudžetas; pažymi, kad dėl to sumažėja bendras biudžeto vykdymo lygis, tačiau, kad būtų galima iš tikrųjų palyginti, atliekant šį veiksmą taip pat bus pateikiamas BPS BĮ vykdymo lygis (tik administracinis biudžetas);</w:t>
      </w:r>
    </w:p>
    <w:p w:rsidR="00350FB7" w:rsidRPr="00AA46BB" w:rsidRDefault="00350FB7" w:rsidP="00350FB7">
      <w:pPr>
        <w:pStyle w:val="NormalHanging12a"/>
      </w:pPr>
      <w:r w:rsidRPr="00AA46BB">
        <w:t>16.</w:t>
      </w:r>
      <w:r w:rsidRPr="00AA46BB">
        <w:tab/>
        <w:t>pažymi, kad, remiantis Audito Rūmų ataskaita, bendrosios įmonės 2022 m. metinėse finansinėse ataskaitose kiekvienos narių kategorijos (Sąjungos ir privačiųjų narių) pripažintos įnašų sumos labai skiriasi viena nuo kitos; pažymi, kad Sąjungos piniginiai įnašai patvirtinami ir pripažįstami, kai jie sumokami EŽBE BĮ pradedant įgyvendinti projektą, tačiau narių nepiniginiai įnašai pripažįstami tik patvirtinus patirtas ir deklaruotas projekto įgyvendinimo išlaidas;</w:t>
      </w:r>
    </w:p>
    <w:p w:rsidR="00350FB7" w:rsidRPr="00AA46BB" w:rsidRDefault="00350FB7" w:rsidP="00350FB7">
      <w:pPr>
        <w:pStyle w:val="NormalHanging12a"/>
      </w:pPr>
      <w:r w:rsidRPr="00AA46BB">
        <w:lastRenderedPageBreak/>
        <w:t>17.</w:t>
      </w:r>
      <w:r w:rsidRPr="00AA46BB">
        <w:tab/>
        <w:t>ragina EŽBE BĮ pašalinti atotrūkį tarp pripažintos piniginių įnašų sumos ir nepiniginių įnašų sumos, pateikiant informaciją apie BĮ narių teisinius įsipareigojimus pagal pasirašytus dotacijų susitarimus ir sutartis metų pabaigoje; palankiai vertina EŽBE BĮ įsipareigojimą spręsti šį klausimą kitų metų metinėse finansinėse ataskaitose;</w:t>
      </w:r>
    </w:p>
    <w:p w:rsidR="00350FB7" w:rsidRPr="00AA46BB" w:rsidRDefault="00350FB7" w:rsidP="00350FB7">
      <w:pPr>
        <w:pStyle w:val="NormalHanging12a"/>
      </w:pPr>
      <w:r w:rsidRPr="00AA46BB">
        <w:t>18.</w:t>
      </w:r>
      <w:r w:rsidRPr="00AA46BB">
        <w:tab/>
        <w:t>pažymi, kad patvirtintų privačiųjų narių pagrindinei veiklai skirtų nepiniginių įnašų lygis išliko žemas – 65,9 milijono eurų, nes EŽBE BĮ patvirtina įnašus tik tada, kai programos „Horizontas 2020“ projektams atliekami galutiniai mokėjimai ir turi būti pateikti finansinių ataskaitų sertifikatai;</w:t>
      </w:r>
    </w:p>
    <w:p w:rsidR="00350FB7" w:rsidRPr="00AA46BB" w:rsidRDefault="00350FB7" w:rsidP="00350FB7">
      <w:pPr>
        <w:pStyle w:val="NormalHanging12a"/>
      </w:pPr>
      <w:r w:rsidRPr="00AA46BB">
        <w:t>19.</w:t>
      </w:r>
      <w:r w:rsidRPr="00AA46BB">
        <w:tab/>
        <w:t>susirūpinęs pažymi, kad programos „Horizontas 2020“ įgyvendinimo pabaigoje privatieji nariai nebus pasiekę orientacinio pagrindinei veiklai skirto įnašo tikslo;</w:t>
      </w:r>
    </w:p>
    <w:p w:rsidR="00350FB7" w:rsidRPr="00AA46BB" w:rsidRDefault="00350FB7" w:rsidP="00350FB7">
      <w:pPr>
        <w:pStyle w:val="NormalHanging12a"/>
      </w:pPr>
      <w:r w:rsidRPr="00AA46BB">
        <w:t>20.</w:t>
      </w:r>
      <w:r w:rsidRPr="00AA46BB">
        <w:tab/>
        <w:t>atkreipia dėmesį į riziką, susijusią su EŽBE BĮ programos įgyvendinimu, jei iki programos „Horizontas 2020“ pabaigos nepasieks savo privačių narių minimalių įnašų tikslų;</w:t>
      </w:r>
    </w:p>
    <w:p w:rsidR="00350FB7" w:rsidRPr="00AA46BB" w:rsidRDefault="00350FB7" w:rsidP="00350FB7">
      <w:pPr>
        <w:pStyle w:val="NormalHanging12a"/>
      </w:pPr>
      <w:r w:rsidRPr="00AA46BB">
        <w:t>21.</w:t>
      </w:r>
      <w:r w:rsidRPr="00AA46BB">
        <w:tab/>
        <w:t>pažymi, kad kalbant apie EŽBE BĮ pasiekimus, susijusius su programa „Horizontas 2020“, 2022 m. pabaigoje EŽBE BĮ buvo visiškai įsipareigojusi skirti maksimalų Sąjungos veiklos įnašą – 815,8 mln. EUR – pagal programą „Horizontas 2020“ pasirašytiems dotacijų susitarimams; taip pat atkreipia dėmesį į tai, kad iš šios įsipareigotos skirti sumos artimiausiais metais apie 94 mln. EUR (arba 11,5 %) dar reikės sumokėti projektams, kurie dar turi būti užbaigti;</w:t>
      </w:r>
    </w:p>
    <w:p w:rsidR="00350FB7" w:rsidRPr="00AA46BB" w:rsidRDefault="00350FB7" w:rsidP="00350FB7">
      <w:pPr>
        <w:pStyle w:val="NormalHanging12a"/>
      </w:pPr>
      <w:r w:rsidRPr="00AA46BB">
        <w:t>22.</w:t>
      </w:r>
      <w:r w:rsidRPr="00AA46BB">
        <w:tab/>
        <w:t>be to, pažymi, kad 2022 m. pabaigoje privatieji nariai buvo teisiškai įsipareigoję EŽBE BĮ pagrindinei veiklai suteikti 258,4 mln. EUR vertės nepiniginius ir finansinius įnašus, arba 54 % BĮ priimtose metinėse darbo programose nustatyto 475,3 mln. EUR orientacinio tikslo; pažymi, kad iš šios įsipareigotos skirti sumos 2022 m. pabaigoje EŽBE BĮ buvo deklaravusi 154,7 mln. EUR vertės įnašus (arba 32,5 % tikslo);</w:t>
      </w:r>
    </w:p>
    <w:p w:rsidR="00350FB7" w:rsidRPr="00AA46BB" w:rsidRDefault="00350FB7" w:rsidP="00350FB7">
      <w:pPr>
        <w:pStyle w:val="NormalHanging12a"/>
      </w:pPr>
      <w:r w:rsidRPr="00AA46BB">
        <w:t>23.</w:t>
      </w:r>
      <w:r w:rsidRPr="00AA46BB">
        <w:tab/>
        <w:t>taip pat pažymi, kad 2022 m. BĮ teko panaikinti apie 8,2 mln. EUR pasirašytų projektų asignavimų dėl nenumatyto pavyzdinio projekto „Horizontas 2020“ užbaigimo ir kelių kitų projektų sustabdymo. Be to, kadangi visi programos „Horizontas 2020“ kvietimai teikti pasiūlymus buvo užbaigti 2020 m. pabaigoje, iki programos laikotarpio pabaigos EŽBE BĮ nebus pasiekusi orientacinio privačiųjų narių įnašo į BĮ pagrindinę veiklą tikslo;</w:t>
      </w:r>
    </w:p>
    <w:p w:rsidR="00350FB7" w:rsidRPr="00AA46BB" w:rsidRDefault="00350FB7" w:rsidP="00350FB7">
      <w:pPr>
        <w:pStyle w:val="NormalHanging12a"/>
      </w:pPr>
      <w:r w:rsidRPr="00AA46BB">
        <w:t>24.</w:t>
      </w:r>
      <w:r w:rsidRPr="00AA46BB">
        <w:tab/>
        <w:t>palankiai vertina tai, kad EŽBE BĮ pareiškė, jog pasiekė savo kvietimų teikti pasiūlymus pagal programą „Horizontas 2020“ veiklos tikslus; vis dėlto pažymi, kad Audito Rūmai mano, jog šis reikšmingas privačiųjų narių įnašų sumažinimas kelia riziką bendram BĮ programos „Horizontas 2020“ įgyvendinimui;</w:t>
      </w:r>
    </w:p>
    <w:p w:rsidR="00350FB7" w:rsidRPr="00AA46BB" w:rsidRDefault="00350FB7" w:rsidP="00350FB7">
      <w:pPr>
        <w:pStyle w:val="NormalHanging12a"/>
      </w:pPr>
      <w:r w:rsidRPr="00AA46BB">
        <w:t>25.</w:t>
      </w:r>
      <w:r w:rsidRPr="00AA46BB">
        <w:tab/>
        <w:t>pažymi, jog siekdama užtikrinti, kad iki programos laikotarpio pabaigos būtų pasiektas EŽBE BĮ steigimo reglamente nustatytas bendras privačiųjų narių 2 730 mln. EUR įnašų tikslas, BĮ padidino papildomai veiklai privačiųjų narių skirtų nepiniginių įnašų tikslą iki 2 235,5 mln. EUR; pažymi, jog 2022 m. pabaigoje privatieji nariai pranešė, kad bendra papildomai veiklai skirtų nepiniginių įnašų suma sudarė 1 797,9 mln. EUR, arba 73,8 % naujo tikslo, tačiau dėl 658 mln. EUR, arba 37 % nurodytos sumos, nebuvo užbaigtas sertifikavimo procesas;</w:t>
      </w:r>
    </w:p>
    <w:p w:rsidR="00350FB7" w:rsidRPr="00AA46BB" w:rsidRDefault="00350FB7" w:rsidP="00350FB7">
      <w:pPr>
        <w:pStyle w:val="NormalHanging12a"/>
      </w:pPr>
      <w:r w:rsidRPr="00AA46BB">
        <w:t>26.</w:t>
      </w:r>
      <w:r w:rsidRPr="00AA46BB">
        <w:tab/>
        <w:t xml:space="preserve">palankiai vertina tai, kad siekdamas sumažinti riziką, kad EŽBE BĮ iki programos </w:t>
      </w:r>
      <w:r w:rsidRPr="00AA46BB">
        <w:lastRenderedPageBreak/>
        <w:t xml:space="preserve">pabaigos gali nepasiekti naujo nepiniginių įnašų į papildomą veiklą tikslo, 2022 m. lapkričio mėn. </w:t>
      </w:r>
      <w:proofErr w:type="spellStart"/>
      <w:r w:rsidRPr="00AA46BB">
        <w:t>Biožaliavinės</w:t>
      </w:r>
      <w:proofErr w:type="spellEnd"/>
      <w:r w:rsidRPr="00AA46BB">
        <w:t xml:space="preserve"> pramonės sektorių konsorciumas EŽBE BĮ valdybai pasiūlė patvirtinti papildomas 416 mln. EUR privačiųjų narių investicijas, skirtas 2023 m. papildomai veiklai;</w:t>
      </w:r>
    </w:p>
    <w:p w:rsidR="00350FB7" w:rsidRPr="00AA46BB" w:rsidRDefault="00350FB7" w:rsidP="00350FB7">
      <w:pPr>
        <w:pStyle w:val="NormalHanging12a"/>
      </w:pPr>
      <w:r w:rsidRPr="00AA46BB">
        <w:t>27.</w:t>
      </w:r>
      <w:r w:rsidRPr="00AA46BB">
        <w:tab/>
        <w:t>susirūpinęs pažymi, kad, Audito Rūmų manymu, programos „Horizontas 2020“ veiklai skirtas mokėjimų biudžetas 2022 m. buvo vykdomas prasčiau;</w:t>
      </w:r>
      <w:r w:rsidRPr="00AA46BB">
        <w:rPr>
          <w:b/>
          <w:i/>
        </w:rPr>
        <w:t xml:space="preserve"> </w:t>
      </w:r>
      <w:r w:rsidRPr="00AA46BB">
        <w:t>pripažįsta, kad taip atsitiko dėl to, kad paramos gavėjai susidūrė su didėjančiomis išlaidomis ir įgyvendinimo problemomis;</w:t>
      </w:r>
    </w:p>
    <w:p w:rsidR="00350FB7" w:rsidRPr="00AA46BB" w:rsidRDefault="00350FB7" w:rsidP="00350FB7">
      <w:pPr>
        <w:pStyle w:val="NormalHanging12a"/>
      </w:pPr>
      <w:r w:rsidRPr="00AA46BB">
        <w:t>28.</w:t>
      </w:r>
      <w:r w:rsidRPr="00AA46BB">
        <w:tab/>
        <w:t>pažymi, kad programos „Horizontas 2020“ veiklai vykdyti naujų veiklos įsipareigojimų asignavimų EŽBE BĮ negavo, nes paskutinį kvietimą teikti pasiūlymus ji buvo užbaigusi iki 2020 m. pabaigos; pažymi, kad veiklos mokėjimų asignavimų panaudojimo lygis sumažėjo iki 65 % (2021 m. – 85 %). EŽBE BĮ teigimu, taip atsitiko dėl didėjančių išlaidų ir įgyvendinimo problemų, su kuriomis susidūrė paramos gavėjai dėl COVID-19 krizės ir karo Ukrainoje, todėl daugumos programos „Horizontas 2020“ projektų trukmė turėjo būti pratęsta, o galutiniai mokėjimai turėjo būti atidėti iki 2023 m.;</w:t>
      </w:r>
    </w:p>
    <w:p w:rsidR="00350FB7" w:rsidRPr="00AA46BB" w:rsidRDefault="00350FB7" w:rsidP="00350FB7">
      <w:pPr>
        <w:pStyle w:val="NormalHanging12a"/>
      </w:pPr>
      <w:r w:rsidRPr="00AA46BB">
        <w:t>29.</w:t>
      </w:r>
      <w:r w:rsidRPr="00AA46BB">
        <w:tab/>
        <w:t>pritaria Audito Rūmams, kad EŽBE BĮ turėtų parengti pagal tvarkaraštį vykdomą veiksmų planą, skirtą pagal ankstesnes daugiametes finansines programas (DFP) patvirtintų projektų įgyvendinimui užbaigti;</w:t>
      </w:r>
    </w:p>
    <w:p w:rsidR="00350FB7" w:rsidRPr="00AA46BB" w:rsidRDefault="00350FB7" w:rsidP="00350FB7">
      <w:pPr>
        <w:pStyle w:val="NormalHanging12a"/>
      </w:pPr>
      <w:r w:rsidRPr="00AA46BB">
        <w:t>30.</w:t>
      </w:r>
      <w:r w:rsidRPr="00AA46BB">
        <w:tab/>
        <w:t>pritaria Audito Rūmams, jog siekdamos užtikrinti, kad būtų pasiekti 2021–2027 m. DFP nustatyti privačiųjų narių įnašų tikslai, EŽBE BĮ, remdamosi strateginiu programų įgyvendinimo planu, turėtų vykdyti metinę privačiųjų narių atskirų įnašų tikslų įgyvendinimo stebėseną;</w:t>
      </w:r>
    </w:p>
    <w:p w:rsidR="00350FB7" w:rsidRPr="00AA46BB" w:rsidRDefault="00350FB7" w:rsidP="00350FB7">
      <w:pPr>
        <w:pStyle w:val="NormalHanging12a"/>
      </w:pPr>
      <w:r w:rsidRPr="00AA46BB">
        <w:t>31.</w:t>
      </w:r>
      <w:r w:rsidRPr="00AA46BB">
        <w:tab/>
        <w:t>pažymi, kad 2022 m. BĮ įvykdė tik 47 % savo įsipareigojimų biudžeto, skirto projektams pagal pirmąjį reikšmingą 120 mln. EUR vertės programos „Europos horizontas“ kvietimą teikti pasiūlymus, kurį ji buvo paskelbusi anksčiau tais metais;</w:t>
      </w:r>
    </w:p>
    <w:p w:rsidR="00350FB7" w:rsidRPr="00AA46BB" w:rsidRDefault="00350FB7" w:rsidP="00350FB7">
      <w:pPr>
        <w:pStyle w:val="NormalHanging12a"/>
      </w:pPr>
      <w:r w:rsidRPr="00AA46BB">
        <w:t>32.</w:t>
      </w:r>
      <w:r w:rsidRPr="00AA46BB">
        <w:tab/>
        <w:t>pažymi, kad 2022 m. Komisija ir privatieji nariai skyrė po 0,8 mln. EUR piniginių įnašų EŽBE BĮ administracinėms išlaidoms padengti; pažymi, kad EŽBE BĮ neprašė piniginių įnašų savo pagal programą „Europos horizontas“ vykdomai veiklai, nes tikėjosi, kad pirmąjį 2022 m. pradžioje paskelbtą kvietimą teikti pasiūlymus pagal programą „Europos horizontas“ ji užbaigs tik 2023 m. pirmąjį pusmetį;</w:t>
      </w:r>
    </w:p>
    <w:p w:rsidR="00350FB7" w:rsidRPr="00AA46BB" w:rsidRDefault="00350FB7" w:rsidP="00350FB7">
      <w:pPr>
        <w:pStyle w:val="NormalHanging12a"/>
      </w:pPr>
      <w:r w:rsidRPr="00AA46BB">
        <w:t>33.</w:t>
      </w:r>
      <w:r w:rsidRPr="00AA46BB">
        <w:tab/>
        <w:t>pažymi, kad 2022 m. pabaigoje EŽBE BĮ atlyginimams mokėti skirto biudžeto vykdymo lygis buvo žemas (1 antraštinė dalis) – 55 % ir kad, anot EŽBE BĮ, taip atsitiko dėl to, kad buvo atidėtas 2022 m. įdarbintų naujų darbuotojų darbo sutarčių įsigaliojimas;</w:t>
      </w:r>
    </w:p>
    <w:p w:rsidR="00350FB7" w:rsidRPr="00AA46BB" w:rsidRDefault="00350FB7" w:rsidP="00350FB7">
      <w:pPr>
        <w:pStyle w:val="NormalHanging12a"/>
        <w:rPr>
          <w:b/>
          <w:i/>
        </w:rPr>
      </w:pPr>
      <w:r w:rsidRPr="00AA46BB">
        <w:rPr>
          <w:b/>
          <w:i/>
        </w:rPr>
        <w:t>Viešieji pirkimai ir darbuotojai</w:t>
      </w:r>
    </w:p>
    <w:p w:rsidR="00350FB7" w:rsidRPr="00AA46BB" w:rsidRDefault="00350FB7" w:rsidP="00350FB7">
      <w:pPr>
        <w:pStyle w:val="NormalHanging12a"/>
      </w:pPr>
      <w:r w:rsidRPr="00AA46BB">
        <w:t>34.</w:t>
      </w:r>
      <w:r w:rsidRPr="00AA46BB">
        <w:tab/>
        <w:t>pažymi, kad 2022 m. EŽBE BĮ toliau kiek įmanoma naudojo esamas preliminariąsias sutartis Europos Komisijos lygmeniu; pažymi, kad kai šių sutarčių EŽBE BĮ neturėjo arba jos nustojo galioti, reikėjo pradėti specialias konkurso procedūras, daugiausia dėl žemos vertės sutarčių</w:t>
      </w:r>
      <w:r w:rsidRPr="00AA46BB">
        <w:rPr>
          <w:rStyle w:val="FootnoteReference"/>
        </w:rPr>
        <w:footnoteReference w:id="21"/>
      </w:r>
      <w:r w:rsidRPr="00AA46BB">
        <w:t>;</w:t>
      </w:r>
    </w:p>
    <w:p w:rsidR="00350FB7" w:rsidRPr="00AA46BB" w:rsidRDefault="00350FB7" w:rsidP="00350FB7">
      <w:pPr>
        <w:pStyle w:val="NormalHanging12a"/>
      </w:pPr>
      <w:r w:rsidRPr="00AA46BB">
        <w:lastRenderedPageBreak/>
        <w:t>35.</w:t>
      </w:r>
      <w:r w:rsidRPr="00AA46BB">
        <w:tab/>
        <w:t>pažymi, kad EŽBE BĮ taip pat pasirašė konkrečias sutartis pagal preliminariąją sutartį, tvarkomą kartu su kitomis BĮ, būtent dėl ​​bendrų IT paslaugų; be to, pažymi, kad 2022 m. EŽBE BĮ naudojo galiojančius susitarimus dėl paslaugų lygio, kuriuos yra pasirašiusi ir Europos Komisija;</w:t>
      </w:r>
    </w:p>
    <w:p w:rsidR="00350FB7" w:rsidRPr="00AA46BB" w:rsidRDefault="00350FB7" w:rsidP="00350FB7">
      <w:pPr>
        <w:pStyle w:val="NormalHanging12a"/>
      </w:pPr>
      <w:r w:rsidRPr="00AA46BB">
        <w:t>36.</w:t>
      </w:r>
      <w:r w:rsidRPr="00AA46BB">
        <w:tab/>
        <w:t>remdamasis konsoliduotosios metinės veiklos ataskaita pažymi, kad 2022 m. buvo perėjimo nuo BPS BĮ prie EŽBE BĮ metai; pažymi, kad iki 2022 m. pabaigos EŽBE BĮ programų biure dirbo 26 darbuotojai (2021 m. – 22), taigi pagal naujus savo įgaliojimus jis beveik visiškai pasiekė personalo etatų planą</w:t>
      </w:r>
      <w:r w:rsidRPr="00AA46BB">
        <w:rPr>
          <w:rStyle w:val="FootnoteReference"/>
        </w:rPr>
        <w:footnoteReference w:id="22"/>
      </w:r>
      <w:r w:rsidRPr="00AA46BB">
        <w:t>; palankiai vertina tai, kad pagal naujus EŽBE BĮ įgaliojimus prisijungė aštuoni nauji kolegos;</w:t>
      </w:r>
    </w:p>
    <w:p w:rsidR="00350FB7" w:rsidRPr="00AA46BB" w:rsidRDefault="00350FB7" w:rsidP="00350FB7">
      <w:pPr>
        <w:pStyle w:val="NormalHanging12a"/>
      </w:pPr>
      <w:r w:rsidRPr="00AA46BB">
        <w:t>37.</w:t>
      </w:r>
      <w:r w:rsidRPr="00AA46BB">
        <w:tab/>
        <w:t>pažymi, kad 2022 m. EŽBE BĮ patvirtino, kad vadovaujamose pareigose užtikrino lyčių pusiausvyrą – 50 % tokias pareigas einančių darbuotojų yra moterys;</w:t>
      </w:r>
    </w:p>
    <w:p w:rsidR="00350FB7" w:rsidRPr="00AA46BB" w:rsidRDefault="00350FB7" w:rsidP="00350FB7">
      <w:pPr>
        <w:pStyle w:val="NormalHanging12a"/>
      </w:pPr>
      <w:r w:rsidRPr="00AA46BB">
        <w:t>38.</w:t>
      </w:r>
      <w:r w:rsidRPr="00AA46BB">
        <w:tab/>
        <w:t xml:space="preserve">pažymi, kad EŽBE BĮ darbuotojai vienu metu valdė vis daugiau vykdomų projektų, įgyvendinamų pagal kelias DFP programas; atkreipia dėmesį į tai, kad tokia tendencija neturi </w:t>
      </w:r>
      <w:proofErr w:type="spellStart"/>
      <w:r w:rsidRPr="00AA46BB">
        <w:t>susilpninti</w:t>
      </w:r>
      <w:proofErr w:type="spellEnd"/>
      <w:r w:rsidRPr="00AA46BB">
        <w:t xml:space="preserve"> EŽBE BĮ vidaus kontrolės ir jų atliekamo lėšų valdymo veiksmingumą ir lemti naujų programų įgyvendinimo vėlavimą;</w:t>
      </w:r>
    </w:p>
    <w:p w:rsidR="00350FB7" w:rsidRPr="00AA46BB" w:rsidRDefault="00350FB7" w:rsidP="00350FB7">
      <w:pPr>
        <w:pStyle w:val="NormalHanging12a"/>
        <w:ind w:left="0" w:firstLine="0"/>
        <w:jc w:val="both"/>
        <w:rPr>
          <w:b/>
          <w:i/>
        </w:rPr>
      </w:pPr>
      <w:r w:rsidRPr="00AA46BB">
        <w:rPr>
          <w:b/>
          <w:i/>
        </w:rPr>
        <w:t>Valdymo ir kontrolės sistemos</w:t>
      </w:r>
    </w:p>
    <w:p w:rsidR="00350FB7" w:rsidRPr="00AA46BB" w:rsidRDefault="00350FB7" w:rsidP="00350FB7">
      <w:pPr>
        <w:pStyle w:val="NormalHanging12a"/>
      </w:pPr>
      <w:r w:rsidRPr="00AA46BB">
        <w:t>39.</w:t>
      </w:r>
      <w:r w:rsidRPr="00AA46BB">
        <w:tab/>
        <w:t xml:space="preserve">pažymi, kad, remiantis Audito Rūmų pastabomis dėl valdymo ir kontrolės sistemų, už programų „Horizontas 2020“ ir „Europos horizontas“ išlaidų </w:t>
      </w:r>
      <w:proofErr w:type="spellStart"/>
      <w:r w:rsidRPr="00AA46BB">
        <w:rPr>
          <w:i/>
        </w:rPr>
        <w:t>ex</w:t>
      </w:r>
      <w:proofErr w:type="spellEnd"/>
      <w:r w:rsidRPr="00AA46BB">
        <w:rPr>
          <w:i/>
        </w:rPr>
        <w:t> </w:t>
      </w:r>
      <w:proofErr w:type="spellStart"/>
      <w:r w:rsidRPr="00AA46BB">
        <w:rPr>
          <w:i/>
        </w:rPr>
        <w:t>post</w:t>
      </w:r>
      <w:proofErr w:type="spellEnd"/>
      <w:r w:rsidRPr="00AA46BB">
        <w:t xml:space="preserve"> auditus atsakinga Komisijos RTD GD Bendroji audito tarnyba;</w:t>
      </w:r>
    </w:p>
    <w:p w:rsidR="00350FB7" w:rsidRPr="00AA46BB" w:rsidRDefault="00350FB7" w:rsidP="00350FB7">
      <w:pPr>
        <w:pStyle w:val="NormalHanging12a"/>
      </w:pPr>
      <w:r w:rsidRPr="00AA46BB">
        <w:t>40.</w:t>
      </w:r>
      <w:r w:rsidRPr="00AA46BB">
        <w:tab/>
        <w:t>pažymi, jog BĮ nurodė, kad programos „Horizontas 2020“ išlaidų (patvirtinimų ir galutinių mokėjimų) srityje reprezentatyvusis klaidų lygis yra 1,9 %, o likutinis klaidų lygis – 1,2 %;</w:t>
      </w:r>
    </w:p>
    <w:p w:rsidR="00350FB7" w:rsidRPr="00AA46BB" w:rsidRDefault="00350FB7" w:rsidP="00350FB7">
      <w:pPr>
        <w:pStyle w:val="NormalHanging12a"/>
      </w:pPr>
      <w:r w:rsidRPr="00AA46BB">
        <w:t>41.</w:t>
      </w:r>
      <w:r w:rsidRPr="00AA46BB">
        <w:tab/>
        <w:t xml:space="preserve">pažymi, kad su programa „Europos horizontas“ susiję </w:t>
      </w:r>
      <w:proofErr w:type="spellStart"/>
      <w:r w:rsidRPr="00AA46BB">
        <w:rPr>
          <w:i/>
        </w:rPr>
        <w:t>ex</w:t>
      </w:r>
      <w:proofErr w:type="spellEnd"/>
      <w:r w:rsidRPr="00AA46BB">
        <w:rPr>
          <w:i/>
        </w:rPr>
        <w:t> </w:t>
      </w:r>
      <w:proofErr w:type="spellStart"/>
      <w:r w:rsidRPr="00AA46BB">
        <w:rPr>
          <w:i/>
        </w:rPr>
        <w:t>post</w:t>
      </w:r>
      <w:proofErr w:type="spellEnd"/>
      <w:r w:rsidRPr="00AA46BB">
        <w:t xml:space="preserve"> auditai dar neatlikti, nes pirmieji tarpiniai mokėjimai numatyti tik 2024 m.;</w:t>
      </w:r>
    </w:p>
    <w:p w:rsidR="00350FB7" w:rsidRPr="00AA46BB" w:rsidRDefault="00350FB7" w:rsidP="00350FB7">
      <w:pPr>
        <w:pStyle w:val="NormalHanging12a"/>
      </w:pPr>
      <w:r w:rsidRPr="00AA46BB">
        <w:t>42.</w:t>
      </w:r>
      <w:r w:rsidRPr="00AA46BB">
        <w:tab/>
        <w:t>pažymi, kad siekdami įvertinti EŽBE BĮ veiklos mokėjimų kontrolės priemones, Audito Rūmai atliko atsitiktine tvarka į imtį įtrauktų pagal programą „Horizontas 2020“ 2022 m. atliktų mokėjimų auditą galutinių paramos gavėjų lygmeniu</w:t>
      </w:r>
      <w:r w:rsidRPr="00AA46BB">
        <w:rPr>
          <w:rStyle w:val="FootnoteReference"/>
        </w:rPr>
        <w:footnoteReference w:id="23"/>
      </w:r>
      <w:r w:rsidRPr="00AA46BB">
        <w:t>; pažymi, kad vienu atveju Europos Audito Rūmai nustatė ir kiekybiškai įvertino didelę klaidą, atsiradusią dėl per didelių deklaruotų personalo išlaidų, nes paramos gavėjas finansiniais metais pakeitė valandinio įkainio apskaičiavimo metodą ir į deklaruojamas išlaidas įtraukė netinkamas finansuoti pensijų išlaidas ir premijas;</w:t>
      </w:r>
    </w:p>
    <w:p w:rsidR="00350FB7" w:rsidRPr="00AA46BB" w:rsidRDefault="00350FB7" w:rsidP="00350FB7">
      <w:pPr>
        <w:pStyle w:val="NormalHanging12a"/>
      </w:pPr>
      <w:r w:rsidRPr="00AA46BB">
        <w:t>43.</w:t>
      </w:r>
      <w:r w:rsidRPr="00AA46BB">
        <w:tab/>
        <w:t xml:space="preserve">džiaugiasi, kad EŽBE BĮ parengė </w:t>
      </w:r>
      <w:proofErr w:type="spellStart"/>
      <w:r w:rsidRPr="00AA46BB">
        <w:rPr>
          <w:i/>
        </w:rPr>
        <w:t>ex</w:t>
      </w:r>
      <w:proofErr w:type="spellEnd"/>
      <w:r w:rsidRPr="00AA46BB">
        <w:rPr>
          <w:i/>
        </w:rPr>
        <w:t> </w:t>
      </w:r>
      <w:proofErr w:type="spellStart"/>
      <w:r w:rsidRPr="00AA46BB">
        <w:rPr>
          <w:i/>
        </w:rPr>
        <w:t>post</w:t>
      </w:r>
      <w:proofErr w:type="spellEnd"/>
      <w:r w:rsidRPr="00AA46BB">
        <w:t xml:space="preserve"> auditui taikomą rizika grindžiamą metodą, kad būtų sumažintas klaidų lygis geriau parinkus tikslinę imtį daugiausia klaidų linkusiems daryti gavėjams nustatyti ir taip sustiprinus </w:t>
      </w:r>
      <w:proofErr w:type="spellStart"/>
      <w:r w:rsidRPr="00AA46BB">
        <w:rPr>
          <w:i/>
        </w:rPr>
        <w:t>ex</w:t>
      </w:r>
      <w:proofErr w:type="spellEnd"/>
      <w:r w:rsidRPr="00AA46BB">
        <w:rPr>
          <w:i/>
        </w:rPr>
        <w:t> </w:t>
      </w:r>
      <w:proofErr w:type="spellStart"/>
      <w:r w:rsidRPr="00AA46BB">
        <w:rPr>
          <w:i/>
        </w:rPr>
        <w:t>post</w:t>
      </w:r>
      <w:proofErr w:type="spellEnd"/>
      <w:r w:rsidRPr="00AA46BB">
        <w:t xml:space="preserve"> auditų klaidų mažinimo poveikį. Tai svarbus teigiamas </w:t>
      </w:r>
      <w:proofErr w:type="spellStart"/>
      <w:r w:rsidRPr="00AA46BB">
        <w:rPr>
          <w:i/>
        </w:rPr>
        <w:t>ex</w:t>
      </w:r>
      <w:proofErr w:type="spellEnd"/>
      <w:r w:rsidRPr="00AA46BB">
        <w:rPr>
          <w:i/>
        </w:rPr>
        <w:t xml:space="preserve"> </w:t>
      </w:r>
      <w:proofErr w:type="spellStart"/>
      <w:r w:rsidRPr="00AA46BB">
        <w:rPr>
          <w:i/>
        </w:rPr>
        <w:t>post</w:t>
      </w:r>
      <w:proofErr w:type="spellEnd"/>
      <w:r w:rsidRPr="00AA46BB">
        <w:t xml:space="preserve"> audito metodo pokytis, nes pagal Komisijos vidaus kontrolės sistemą, taikomą programos „Europos horizontas“ dotacijoms, neleidžiama sudaryti EŽBE BĮ konkrečių reprezentatyvių imčių ir atitinkamai apskaičiuoti bendrųjų įmonių </w:t>
      </w:r>
      <w:r w:rsidRPr="00AA46BB">
        <w:lastRenderedPageBreak/>
        <w:t>konkrečių reprezentatyviojo ir likutinio klaidų lygių;</w:t>
      </w:r>
    </w:p>
    <w:p w:rsidR="00350FB7" w:rsidRPr="00AA46BB" w:rsidRDefault="00350FB7" w:rsidP="00350FB7">
      <w:pPr>
        <w:pStyle w:val="NormalHanging12a"/>
      </w:pPr>
      <w:r w:rsidRPr="00AA46BB">
        <w:t>44.</w:t>
      </w:r>
      <w:r w:rsidRPr="00AA46BB">
        <w:tab/>
        <w:t xml:space="preserve">pažymi, kad Europos Audito Rūmai nustatė, jog tinkamai parengtą rizika grindžiamą </w:t>
      </w:r>
      <w:proofErr w:type="spellStart"/>
      <w:r w:rsidRPr="00AA46BB">
        <w:rPr>
          <w:i/>
        </w:rPr>
        <w:t>ex</w:t>
      </w:r>
      <w:proofErr w:type="spellEnd"/>
      <w:r w:rsidRPr="00AA46BB">
        <w:rPr>
          <w:i/>
        </w:rPr>
        <w:t> </w:t>
      </w:r>
      <w:proofErr w:type="spellStart"/>
      <w:r w:rsidRPr="00AA46BB">
        <w:rPr>
          <w:i/>
        </w:rPr>
        <w:t>post</w:t>
      </w:r>
      <w:proofErr w:type="spellEnd"/>
      <w:r w:rsidRPr="00AA46BB">
        <w:t xml:space="preserve"> audito metodą taikančių bendrųjų įmonių likutinis klaidų lygis yra žemesnis už tokio metodo netaikančių bendrųjų įmonių vidurkį ir tai yra susiję su sistemingu rizikingiausių paramos gavėjų nustatymu ir jų auditu;</w:t>
      </w:r>
    </w:p>
    <w:p w:rsidR="00350FB7" w:rsidRPr="00AA46BB" w:rsidRDefault="00350FB7" w:rsidP="00350FB7">
      <w:pPr>
        <w:pStyle w:val="NormalHanging12a"/>
        <w:ind w:left="0" w:firstLine="0"/>
        <w:rPr>
          <w:b/>
          <w:i/>
        </w:rPr>
      </w:pPr>
      <w:r w:rsidRPr="00AA46BB">
        <w:rPr>
          <w:b/>
          <w:i/>
        </w:rPr>
        <w:t>Atsižvelgimas į praėjusių metų pastabas</w:t>
      </w:r>
    </w:p>
    <w:p w:rsidR="00350FB7" w:rsidRPr="00AA46BB" w:rsidRDefault="00350FB7" w:rsidP="00350FB7">
      <w:pPr>
        <w:pStyle w:val="NormalHanging12a"/>
      </w:pPr>
      <w:r w:rsidRPr="00AA46BB">
        <w:t>45.</w:t>
      </w:r>
      <w:r w:rsidRPr="00AA46BB">
        <w:tab/>
        <w:t>pažymi, kad „pastabos“ EŽBE BĮ specialiosiose metinėse ataskaitose iš tiesų yra Audito Rūmų rekomendacijos be laiko nuorodos; pažymi, kad Audito Rūmai kasmet stebi, kaip reaguojama į tas pastabas, įvertindami jų statusą kaip dar neįvykdyta arba įvykdyta;</w:t>
      </w:r>
    </w:p>
    <w:p w:rsidR="00350FB7" w:rsidRPr="00AA46BB" w:rsidRDefault="00350FB7" w:rsidP="00350FB7">
      <w:pPr>
        <w:pStyle w:val="NormalHanging12a"/>
      </w:pPr>
      <w:r w:rsidRPr="00AA46BB">
        <w:t>46.</w:t>
      </w:r>
      <w:r w:rsidRPr="00AA46BB">
        <w:tab/>
        <w:t>pažymi, kad Europos Audito Rūmai pateikė 3 pastabas (2020/2021): 2 iš jų dar reikėtų nagrinėti. Jos susijusios su EŽBE BĮ pramone ir privačiaisiais nariais;</w:t>
      </w:r>
    </w:p>
    <w:p w:rsidR="00E365E1" w:rsidRPr="00AA46BB" w:rsidRDefault="00350FB7" w:rsidP="00923EE5">
      <w:pPr>
        <w:ind w:left="567" w:hanging="567"/>
      </w:pPr>
      <w:r w:rsidRPr="00AA46BB">
        <w:t>47.</w:t>
      </w:r>
      <w:r w:rsidRPr="00AA46BB">
        <w:tab/>
        <w:t>pažymi, kad EŽBE BĮ pripažįsta mažą privačiųjų narių nepiniginių įnašų į jos pagrindinę veiklą lygį ir mano, jog šią situaciją iš dalies galima paaiškinti EŽBE BĮ kvietimų teikti pasiūlymus atvirumu – ir BIC nepriklausantys asmenys</w:t>
      </w:r>
      <w:r w:rsidRPr="00AA46BB">
        <w:rPr>
          <w:rStyle w:val="FootnoteReference"/>
        </w:rPr>
        <w:footnoteReference w:id="24"/>
      </w:r>
      <w:r w:rsidRPr="00AA46BB">
        <w:t xml:space="preserve"> gali kreiptis dėl BPS dotacijos neįsipareigodami remti EŽBE BĮ iniciatyvos nepiniginiais įnašais; supranta, kad sėkmingų BIC pareiškėjų skaičius per paskutiniuosius tris kvietimus teikti pasiūlymus sumažėjo iki minimalaus l</w:t>
      </w:r>
      <w:bookmarkStart w:id="8" w:name="_GoBack"/>
      <w:bookmarkEnd w:id="8"/>
      <w:r w:rsidRPr="00AA46BB">
        <w:t>ygio, todėl labai sumažėjo nepiniginių įnašų.</w:t>
      </w:r>
      <w:bookmarkStart w:id="9" w:name="TextBodyEnd"/>
      <w:bookmarkEnd w:id="9"/>
    </w:p>
    <w:sectPr w:rsidR="00E365E1" w:rsidRPr="00AA46BB" w:rsidSect="00AA46B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92D" w:rsidRPr="00AA46BB" w:rsidRDefault="0049292D">
      <w:r w:rsidRPr="00AA46BB">
        <w:separator/>
      </w:r>
    </w:p>
  </w:endnote>
  <w:endnote w:type="continuationSeparator" w:id="0">
    <w:p w:rsidR="0049292D" w:rsidRPr="00AA46BB" w:rsidRDefault="0049292D">
      <w:r w:rsidRPr="00AA46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B7" w:rsidRPr="00AA46BB" w:rsidRDefault="00350FB7" w:rsidP="003C4647">
    <w:pPr>
      <w:pStyle w:val="EPFooter"/>
    </w:pPr>
    <w:r w:rsidRPr="00AA46BB">
      <w:t>PE</w:t>
    </w:r>
    <w:r w:rsidRPr="00AA46BB">
      <w:rPr>
        <w:rStyle w:val="HideTWBExt"/>
      </w:rPr>
      <w:t>&lt;</w:t>
    </w:r>
    <w:proofErr w:type="spellStart"/>
    <w:r w:rsidRPr="00AA46BB">
      <w:rPr>
        <w:rStyle w:val="HideTWBExt"/>
      </w:rPr>
      <w:t>NoPE</w:t>
    </w:r>
    <w:proofErr w:type="spellEnd"/>
    <w:r w:rsidRPr="00AA46BB">
      <w:rPr>
        <w:rStyle w:val="HideTWBExt"/>
      </w:rPr>
      <w:t>&gt;</w:t>
    </w:r>
    <w:r w:rsidRPr="00AA46BB">
      <w:t>753.488</w:t>
    </w:r>
    <w:r w:rsidRPr="00AA46BB">
      <w:rPr>
        <w:rStyle w:val="HideTWBExt"/>
      </w:rPr>
      <w:t>&lt;/</w:t>
    </w:r>
    <w:proofErr w:type="spellStart"/>
    <w:r w:rsidRPr="00AA46BB">
      <w:rPr>
        <w:rStyle w:val="HideTWBExt"/>
      </w:rPr>
      <w:t>NoPE</w:t>
    </w:r>
    <w:proofErr w:type="spellEnd"/>
    <w:r w:rsidRPr="00AA46BB">
      <w:rPr>
        <w:rStyle w:val="HideTWBExt"/>
      </w:rPr>
      <w:t>&gt;&lt;Version&gt;</w:t>
    </w:r>
    <w:r w:rsidRPr="00AA46BB">
      <w:t>v02-00</w:t>
    </w:r>
    <w:r w:rsidRPr="00AA46BB">
      <w:rPr>
        <w:rStyle w:val="HideTWBExt"/>
      </w:rPr>
      <w:t>&lt;/</w:t>
    </w:r>
    <w:proofErr w:type="spellStart"/>
    <w:r w:rsidRPr="00AA46BB">
      <w:rPr>
        <w:rStyle w:val="HideTWBExt"/>
      </w:rPr>
      <w:t>Version</w:t>
    </w:r>
    <w:proofErr w:type="spellEnd"/>
    <w:r w:rsidRPr="00AA46BB">
      <w:rPr>
        <w:rStyle w:val="HideTWBExt"/>
      </w:rPr>
      <w:t>&gt;</w:t>
    </w:r>
    <w:r w:rsidRPr="00AA46BB">
      <w:tab/>
    </w:r>
    <w:r w:rsidRPr="00AA46BB">
      <w:fldChar w:fldCharType="begin"/>
    </w:r>
    <w:r w:rsidRPr="00AA46BB">
      <w:instrText xml:space="preserve"> PAGE  \* MERGEFORMAT </w:instrText>
    </w:r>
    <w:r w:rsidRPr="00AA46BB">
      <w:fldChar w:fldCharType="separate"/>
    </w:r>
    <w:r w:rsidRPr="00AA46BB">
      <w:rPr>
        <w:noProof/>
      </w:rPr>
      <w:t>4</w:t>
    </w:r>
    <w:r w:rsidRPr="00AA46BB">
      <w:fldChar w:fldCharType="end"/>
    </w:r>
    <w:r w:rsidRPr="00AA46BB">
      <w:t>/</w:t>
    </w:r>
    <w:fldSimple w:instr=" NUMPAGES  \* MERGEFORMAT ">
      <w:r w:rsidRPr="00AA46BB">
        <w:rPr>
          <w:noProof/>
        </w:rPr>
        <w:t>4</w:t>
      </w:r>
    </w:fldSimple>
    <w:r w:rsidRPr="00AA46BB">
      <w:tab/>
    </w:r>
    <w:r w:rsidRPr="00AA46BB">
      <w:rPr>
        <w:rStyle w:val="HideTWBExt"/>
      </w:rPr>
      <w:t>&lt;PathFdR&gt;</w:t>
    </w:r>
    <w:r w:rsidRPr="00AA46BB">
      <w:t>RR\1298717LT.docx</w:t>
    </w:r>
    <w:r w:rsidRPr="00AA46BB">
      <w:rPr>
        <w:rStyle w:val="HideTWBExt"/>
      </w:rPr>
      <w:t>&lt;/</w:t>
    </w:r>
    <w:proofErr w:type="spellStart"/>
    <w:r w:rsidRPr="00AA46BB">
      <w:rPr>
        <w:rStyle w:val="HideTWBExt"/>
      </w:rPr>
      <w:t>PathFdR</w:t>
    </w:r>
    <w:proofErr w:type="spellEnd"/>
    <w:r w:rsidRPr="00AA46BB">
      <w:rPr>
        <w:rStyle w:val="HideTWBExt"/>
      </w:rPr>
      <w:t>&gt;</w:t>
    </w:r>
  </w:p>
  <w:p w:rsidR="00350FB7" w:rsidRPr="00AA46BB" w:rsidRDefault="00350FB7" w:rsidP="003C4647">
    <w:pPr>
      <w:pStyle w:val="EPFooter2"/>
    </w:pPr>
    <w:r w:rsidRPr="00AA46B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B7" w:rsidRPr="00AA46BB" w:rsidRDefault="00350FB7" w:rsidP="003C4647">
    <w:pPr>
      <w:pStyle w:val="EPFooter"/>
    </w:pPr>
    <w:r w:rsidRPr="00AA46BB">
      <w:rPr>
        <w:rStyle w:val="HideTWBExt"/>
      </w:rPr>
      <w:t>&lt;PathFdR&gt;</w:t>
    </w:r>
    <w:r w:rsidRPr="00AA46BB">
      <w:t>RR\1298717LT.docx</w:t>
    </w:r>
    <w:r w:rsidRPr="00AA46BB">
      <w:rPr>
        <w:rStyle w:val="HideTWBExt"/>
      </w:rPr>
      <w:t>&lt;/</w:t>
    </w:r>
    <w:proofErr w:type="spellStart"/>
    <w:r w:rsidRPr="00AA46BB">
      <w:rPr>
        <w:rStyle w:val="HideTWBExt"/>
      </w:rPr>
      <w:t>PathFdR</w:t>
    </w:r>
    <w:proofErr w:type="spellEnd"/>
    <w:r w:rsidRPr="00AA46BB">
      <w:rPr>
        <w:rStyle w:val="HideTWBExt"/>
      </w:rPr>
      <w:t>&gt;</w:t>
    </w:r>
    <w:r w:rsidRPr="00AA46BB">
      <w:tab/>
    </w:r>
    <w:r w:rsidRPr="00AA46BB">
      <w:tab/>
      <w:t>PE</w:t>
    </w:r>
    <w:r w:rsidRPr="00AA46BB">
      <w:rPr>
        <w:rStyle w:val="HideTWBExt"/>
      </w:rPr>
      <w:t>&lt;</w:t>
    </w:r>
    <w:proofErr w:type="spellStart"/>
    <w:r w:rsidRPr="00AA46BB">
      <w:rPr>
        <w:rStyle w:val="HideTWBExt"/>
      </w:rPr>
      <w:t>NoPE</w:t>
    </w:r>
    <w:proofErr w:type="spellEnd"/>
    <w:r w:rsidRPr="00AA46BB">
      <w:rPr>
        <w:rStyle w:val="HideTWBExt"/>
      </w:rPr>
      <w:t>&gt;</w:t>
    </w:r>
    <w:r w:rsidRPr="00AA46BB">
      <w:t>753.488</w:t>
    </w:r>
    <w:r w:rsidRPr="00AA46BB">
      <w:rPr>
        <w:rStyle w:val="HideTWBExt"/>
      </w:rPr>
      <w:t>&lt;/</w:t>
    </w:r>
    <w:proofErr w:type="spellStart"/>
    <w:r w:rsidRPr="00AA46BB">
      <w:rPr>
        <w:rStyle w:val="HideTWBExt"/>
      </w:rPr>
      <w:t>NoPE</w:t>
    </w:r>
    <w:proofErr w:type="spellEnd"/>
    <w:r w:rsidRPr="00AA46BB">
      <w:rPr>
        <w:rStyle w:val="HideTWBExt"/>
      </w:rPr>
      <w:t>&gt;&lt;Version&gt;</w:t>
    </w:r>
    <w:r w:rsidRPr="00AA46BB">
      <w:t>v02-00</w:t>
    </w:r>
    <w:r w:rsidRPr="00AA46BB">
      <w:rPr>
        <w:rStyle w:val="HideTWBExt"/>
      </w:rPr>
      <w:t>&lt;/</w:t>
    </w:r>
    <w:proofErr w:type="spellStart"/>
    <w:r w:rsidRPr="00AA46BB">
      <w:rPr>
        <w:rStyle w:val="HideTWBExt"/>
      </w:rPr>
      <w:t>Version</w:t>
    </w:r>
    <w:proofErr w:type="spellEnd"/>
    <w:r w:rsidRPr="00AA46BB">
      <w:rPr>
        <w:rStyle w:val="HideTWBExt"/>
      </w:rPr>
      <w:t>&gt;</w:t>
    </w:r>
  </w:p>
  <w:p w:rsidR="00350FB7" w:rsidRPr="00AA46BB" w:rsidRDefault="00350FB7" w:rsidP="003C4647">
    <w:pPr>
      <w:pStyle w:val="EPFooter2"/>
    </w:pPr>
    <w:r w:rsidRPr="00AA46BB">
      <w:t>LT</w:t>
    </w:r>
    <w:r w:rsidRPr="00AA46BB">
      <w:tab/>
    </w:r>
    <w:r w:rsidRPr="00AA46BB">
      <w:rPr>
        <w:b w:val="0"/>
        <w:i/>
        <w:color w:val="C0C0C0"/>
        <w:sz w:val="22"/>
      </w:rPr>
      <w:t>Suvienijusi įvairovę</w:t>
    </w:r>
    <w:r w:rsidRPr="00AA46B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6B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6B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6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92D" w:rsidRPr="00AA46BB" w:rsidRDefault="0049292D">
      <w:r w:rsidRPr="00AA46BB">
        <w:separator/>
      </w:r>
    </w:p>
  </w:footnote>
  <w:footnote w:type="continuationSeparator" w:id="0">
    <w:p w:rsidR="0049292D" w:rsidRPr="00AA46BB" w:rsidRDefault="0049292D">
      <w:r w:rsidRPr="00AA46BB">
        <w:continuationSeparator/>
      </w:r>
    </w:p>
  </w:footnote>
  <w:footnote w:id="1">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C, C/2023/1025, 2023 11 16.</w:t>
      </w:r>
    </w:p>
  </w:footnote>
  <w:footnote w:id="2">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C, C/2023/112, 2023 10 12.</w:t>
      </w:r>
    </w:p>
  </w:footnote>
  <w:footnote w:id="3">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L 193, 2018 7 30, p. 1.</w:t>
      </w:r>
    </w:p>
  </w:footnote>
  <w:footnote w:id="4">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L 427, 2021 11 30, p. 17.</w:t>
      </w:r>
    </w:p>
  </w:footnote>
  <w:footnote w:id="5">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L 142, 2019 5 29, p. 16.</w:t>
      </w:r>
    </w:p>
  </w:footnote>
  <w:footnote w:id="6">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C, C/2023/1025, 2023 11 16.</w:t>
      </w:r>
    </w:p>
  </w:footnote>
  <w:footnote w:id="7">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C, C/2023/112, 2023 10 12.</w:t>
      </w:r>
    </w:p>
  </w:footnote>
  <w:footnote w:id="8">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L 193, 2018 7 30, p. 1.</w:t>
      </w:r>
    </w:p>
  </w:footnote>
  <w:footnote w:id="9">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L 427, 2021 11 30, p. 17.</w:t>
      </w:r>
    </w:p>
  </w:footnote>
  <w:footnote w:id="10">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OL L 142, 2019 5 29, p. 16.</w:t>
      </w:r>
    </w:p>
  </w:footnote>
  <w:footnote w:id="11">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2021 m. lapkričio 19 d. Tarybos reglamentas (ES) 2021/2085, kuriuo pagal programą „Europos horizontas“ steigiamos bendrosios įmonės ir panaikinami reglamentai (EB) Nr. 219/2007, (ES) Nr. 557/2014, (ES) Nr. 558/2014, (ES) Nr. 559/2014, (ES) Nr. 560/2014, (ES) Nr. 561/2014 bei (ES) Nr. 642/2014 (OL L 427, 2021 11 30, p. 17).</w:t>
      </w:r>
    </w:p>
  </w:footnote>
  <w:footnote w:id="12">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2014 m. gegužės 6 d. Tarybos reglamentas (ES) Nr. 560/2014, kuriuo įsteigiama biologinės pramonės sektorių bendroji įmonė (OL L 169, 2014 6 7, p. 130).</w:t>
      </w:r>
    </w:p>
  </w:footnote>
  <w:footnote w:id="13">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2022 finansinių metų Europos Audito Rūmų metinė ataskaita dėl ES bendrųjų įmonių (p. 96).</w:t>
      </w:r>
    </w:p>
  </w:footnote>
  <w:footnote w:id="14">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hyperlink r:id="rId1" w:history="1">
        <w:r w:rsidRPr="00AA46BB">
          <w:rPr>
            <w:rStyle w:val="Hyperlink"/>
            <w:sz w:val="24"/>
            <w:lang w:val="lt-LT"/>
          </w:rPr>
          <w:t xml:space="preserve">2022 m. konsoliduotosios metinės veiklos ataskaita, </w:t>
        </w:r>
      </w:hyperlink>
      <w:r w:rsidRPr="00AA46BB">
        <w:rPr>
          <w:rStyle w:val="Hyperlink"/>
          <w:sz w:val="24"/>
          <w:lang w:val="lt-LT"/>
        </w:rPr>
        <w:t>8 p.</w:t>
      </w:r>
    </w:p>
  </w:footnote>
  <w:footnote w:id="15">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Į visą biudžetą įtrauktas veiklos biudžetas (naudojamas atrinktiems projektams finansuoti) ir administracinis biudžetas (naudojamas programų biuro veiklai finansuoti).</w:t>
      </w:r>
    </w:p>
  </w:footnote>
  <w:footnote w:id="16">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1 antraštinė dalis – 2,9 mln. EUR (įvykdyti 63 %), 2 antraštinė dalis – 1,6 mln. EUR (įvykdyta 60 %), 2 antraštinė dalis – 120,5 mln. EUR (įvykdyti 48 %).</w:t>
      </w:r>
    </w:p>
  </w:footnote>
  <w:footnote w:id="17">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1 antraštinė dalis – 2,8 mln. EUR (įvykdyti 55 %), 2 antraštinė dalis – 1,9 mln. EUR (įvykdyti 68 %), 3 antraštinė dalis – 47,4 mln. EUR (įvykdyti 65 %).</w:t>
      </w:r>
    </w:p>
  </w:footnote>
  <w:footnote w:id="18">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hyperlink r:id="rId2" w:history="1">
        <w:r w:rsidRPr="00AA46BB">
          <w:rPr>
            <w:rStyle w:val="Hyperlink"/>
            <w:sz w:val="24"/>
            <w:lang w:val="lt-LT"/>
          </w:rPr>
          <w:t xml:space="preserve">2022 m. konsoliduotosios metinės veiklos ataskaita </w:t>
        </w:r>
      </w:hyperlink>
      <w:r w:rsidRPr="00AA46BB">
        <w:rPr>
          <w:sz w:val="24"/>
          <w:lang w:val="lt-LT"/>
        </w:rPr>
        <w:t>(77 p.)</w:t>
      </w:r>
    </w:p>
  </w:footnote>
  <w:footnote w:id="19">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3 antraštinė dalis. Veiklos išlaidos (EŽBE BĮ pavestos veiklos ir užduočių įgyvendinimas pagal EŽBE BĮ steigiantį Tarybos reglamentą).</w:t>
      </w:r>
    </w:p>
  </w:footnote>
  <w:footnote w:id="20">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2 antraštinė dalis. Administracinės išlaidos (pvz., bendroji infrastruktūra ir veiklos sąnaudos, kaip antai: pastato nuoma, IT srities išlaidos, biuro baldai ir įranga, komunikacija ir susitikimai bei kitos įvairios administracinės išlaidos).</w:t>
      </w:r>
    </w:p>
  </w:footnote>
  <w:footnote w:id="21">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Kelios sutartys buvo sudarytos už mažiau nei 15 tūkst. EUR.</w:t>
      </w:r>
    </w:p>
  </w:footnote>
  <w:footnote w:id="22">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Išsamiame personalo etatų plane numatyti 29 darbuotojai – EŽBE šį darbuotojų skaičių pasieks 2024 m. pradžioje paskyrus naują vykdomąjį direktorių.</w:t>
      </w:r>
    </w:p>
  </w:footnote>
  <w:footnote w:id="23">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r w:rsidRPr="00AA46BB">
        <w:rPr>
          <w:sz w:val="24"/>
          <w:lang w:val="lt-LT"/>
        </w:rPr>
        <w:t>Kalbant apie dotacijų mokėjimo operacijas, patikrintas lankantis pas paramos gavėjus, pranešimo apie kiekybiškai įvertinamas klaidas riba yra 1 % audituotų išlaidų.</w:t>
      </w:r>
    </w:p>
  </w:footnote>
  <w:footnote w:id="24">
    <w:p w:rsidR="00350FB7" w:rsidRPr="00AA46BB" w:rsidRDefault="00350FB7" w:rsidP="00AA46BB">
      <w:pPr>
        <w:pStyle w:val="FootnoteText"/>
        <w:ind w:left="567" w:hanging="567"/>
        <w:rPr>
          <w:sz w:val="24"/>
          <w:lang w:val="lt-LT"/>
        </w:rPr>
      </w:pPr>
      <w:r w:rsidRPr="00AA46BB">
        <w:rPr>
          <w:rStyle w:val="FootnoteReference"/>
          <w:sz w:val="24"/>
          <w:lang w:val="lt-LT"/>
        </w:rPr>
        <w:footnoteRef/>
      </w:r>
      <w:r w:rsidR="00AA46BB" w:rsidRPr="00AA46BB">
        <w:rPr>
          <w:sz w:val="24"/>
          <w:lang w:val="lt-LT"/>
        </w:rPr>
        <w:t xml:space="preserve"> </w:t>
      </w:r>
      <w:r w:rsidR="00AA46BB" w:rsidRPr="00AA46BB">
        <w:rPr>
          <w:sz w:val="24"/>
          <w:lang w:val="lt-LT"/>
        </w:rPr>
        <w:tab/>
      </w:r>
      <w:hyperlink r:id="rId3" w:history="1">
        <w:r w:rsidRPr="00AA46BB">
          <w:rPr>
            <w:rStyle w:val="Hyperlink"/>
            <w:sz w:val="24"/>
            <w:lang w:val="lt-LT"/>
          </w:rPr>
          <w:t>https://ebn.eu/about-ebn/</w:t>
        </w:r>
      </w:hyperlink>
      <w:r w:rsidRPr="00AA46BB">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6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6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6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LT"/>
    <w:docVar w:name="dvnumam" w:val="0"/>
    <w:docVar w:name="dvpe" w:val="753.488"/>
    <w:docVar w:name="dvrapporteur" w:val="Pranešėjas: "/>
    <w:docVar w:name="dvtitre" w:val="Europos Parlamento sprendimas dėl Europos žiedinės biožaliavinės ekonomikos bendrosios įmonės 2022 finansinių metų biudžeto įvykdymo patvirtinimo(2023/2174(DEC))"/>
  </w:docVars>
  <w:rsids>
    <w:rsidRoot w:val="004929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FB7"/>
    <w:rsid w:val="00361C00"/>
    <w:rsid w:val="00395FA1"/>
    <w:rsid w:val="003E15D4"/>
    <w:rsid w:val="00411CCE"/>
    <w:rsid w:val="0041666E"/>
    <w:rsid w:val="00421060"/>
    <w:rsid w:val="00471C19"/>
    <w:rsid w:val="004867E3"/>
    <w:rsid w:val="0049292D"/>
    <w:rsid w:val="00494A28"/>
    <w:rsid w:val="004C0004"/>
    <w:rsid w:val="004C5D52"/>
    <w:rsid w:val="0050519A"/>
    <w:rsid w:val="005072A1"/>
    <w:rsid w:val="00514517"/>
    <w:rsid w:val="00545827"/>
    <w:rsid w:val="00560270"/>
    <w:rsid w:val="0059545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EE5"/>
    <w:rsid w:val="00930C23"/>
    <w:rsid w:val="0093193B"/>
    <w:rsid w:val="009509D8"/>
    <w:rsid w:val="00950B64"/>
    <w:rsid w:val="00981893"/>
    <w:rsid w:val="00A1687D"/>
    <w:rsid w:val="00A43E52"/>
    <w:rsid w:val="00A4678D"/>
    <w:rsid w:val="00A778C7"/>
    <w:rsid w:val="00AA46B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E4C"/>
    <w:rsid w:val="00F5134D"/>
    <w:rsid w:val="00F54B1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A372A"/>
  <w15:chartTrackingRefBased/>
  <w15:docId w15:val="{3B3B4DEC-11DD-45E9-A769-712482D0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0F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50FB7"/>
    <w:pPr>
      <w:spacing w:before="480" w:after="240"/>
    </w:pPr>
  </w:style>
  <w:style w:type="paragraph" w:customStyle="1" w:styleId="PageHeading">
    <w:name w:val="PageHeading"/>
    <w:basedOn w:val="Normal"/>
    <w:rsid w:val="00350FB7"/>
    <w:pPr>
      <w:keepNext/>
      <w:spacing w:after="480"/>
      <w:jc w:val="center"/>
    </w:pPr>
    <w:rPr>
      <w:rFonts w:ascii="Arial" w:hAnsi="Arial" w:cs="Arial"/>
      <w:b/>
    </w:rPr>
  </w:style>
  <w:style w:type="paragraph" w:customStyle="1" w:styleId="NormalBold">
    <w:name w:val="NormalBold"/>
    <w:basedOn w:val="Normal"/>
    <w:rsid w:val="00350FB7"/>
    <w:rPr>
      <w:b/>
    </w:rPr>
  </w:style>
  <w:style w:type="paragraph" w:customStyle="1" w:styleId="NormalHanging12a">
    <w:name w:val="NormalHanging12a"/>
    <w:basedOn w:val="Normal"/>
    <w:link w:val="NormalHanging12aChar"/>
    <w:qFormat/>
    <w:rsid w:val="00350FB7"/>
    <w:pPr>
      <w:spacing w:after="240"/>
      <w:ind w:left="567" w:hanging="567"/>
    </w:pPr>
  </w:style>
  <w:style w:type="paragraph" w:styleId="Header">
    <w:name w:val="header"/>
    <w:basedOn w:val="Normal"/>
    <w:link w:val="HeaderChar"/>
    <w:rsid w:val="00350FB7"/>
    <w:pPr>
      <w:tabs>
        <w:tab w:val="center" w:pos="4513"/>
        <w:tab w:val="right" w:pos="9026"/>
      </w:tabs>
    </w:pPr>
  </w:style>
  <w:style w:type="character" w:customStyle="1" w:styleId="HeaderChar">
    <w:name w:val="Header Char"/>
    <w:basedOn w:val="DefaultParagraphFont"/>
    <w:link w:val="Header"/>
    <w:rsid w:val="00350FB7"/>
    <w:rPr>
      <w:sz w:val="24"/>
      <w:lang w:val="lt-LT"/>
    </w:rPr>
  </w:style>
  <w:style w:type="paragraph" w:customStyle="1" w:styleId="EPFooter">
    <w:name w:val="EPFooter"/>
    <w:basedOn w:val="Normal"/>
    <w:rsid w:val="00350FB7"/>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350FB7"/>
    <w:rPr>
      <w:color w:val="0563C1" w:themeColor="hyperlink"/>
      <w:u w:val="single"/>
    </w:rPr>
  </w:style>
  <w:style w:type="character" w:customStyle="1" w:styleId="NormalHanging12aChar">
    <w:name w:val="NormalHanging12a Char"/>
    <w:basedOn w:val="DefaultParagraphFont"/>
    <w:link w:val="NormalHanging12a"/>
    <w:locked/>
    <w:rsid w:val="00350FB7"/>
    <w:rPr>
      <w:sz w:val="24"/>
      <w:lang w:val="lt-LT"/>
    </w:rPr>
  </w:style>
  <w:style w:type="paragraph" w:styleId="Footer">
    <w:name w:val="footer"/>
    <w:basedOn w:val="Normal"/>
    <w:link w:val="FooterChar"/>
    <w:rsid w:val="00923EE5"/>
    <w:pPr>
      <w:tabs>
        <w:tab w:val="center" w:pos="4513"/>
        <w:tab w:val="right" w:pos="9026"/>
      </w:tabs>
    </w:pPr>
  </w:style>
  <w:style w:type="character" w:customStyle="1" w:styleId="FooterChar">
    <w:name w:val="Footer Char"/>
    <w:basedOn w:val="DefaultParagraphFont"/>
    <w:link w:val="Footer"/>
    <w:rsid w:val="00923EE5"/>
    <w:rPr>
      <w:sz w:val="24"/>
      <w:lang w:val="lt-LT"/>
    </w:rPr>
  </w:style>
  <w:style w:type="paragraph" w:styleId="BalloonText">
    <w:name w:val="Balloon Text"/>
    <w:basedOn w:val="Normal"/>
    <w:link w:val="BalloonTextChar"/>
    <w:rsid w:val="00F27E4C"/>
    <w:rPr>
      <w:rFonts w:ascii="Segoe UI" w:hAnsi="Segoe UI" w:cs="Segoe UI"/>
      <w:sz w:val="18"/>
      <w:szCs w:val="18"/>
    </w:rPr>
  </w:style>
  <w:style w:type="character" w:customStyle="1" w:styleId="BalloonTextChar">
    <w:name w:val="Balloon Text Char"/>
    <w:basedOn w:val="DefaultParagraphFont"/>
    <w:link w:val="BalloonText"/>
    <w:rsid w:val="00F27E4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67606-845D-48B1-AD82-31831AB42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3166</Words>
  <Characters>20229</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2024-04-10T08:03:00Z</dcterms:created>
  <dcterms:modified xsi:type="dcterms:W3CDTF">2024-04-11T12:27:00Z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A9-0088/2024</vt:lpwstr>
  </property>
  <property fmtid="{D5CDD505-2E9C-101B-9397-08002B2CF9AE}" pid="4" name="&lt;Type&gt;">
    <vt:lpwstr>RR</vt:lpwstr>
  </property>
</Properties>
</file>