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6DD" w:rsidTr="0010095E">
        <w:trPr>
          <w:trHeight w:hRule="exact" w:val="1418"/>
        </w:trPr>
        <w:tc>
          <w:tcPr>
            <w:tcW w:w="6804" w:type="dxa"/>
            <w:shd w:val="clear" w:color="auto" w:fill="auto"/>
            <w:vAlign w:val="center"/>
          </w:tcPr>
          <w:p w:rsidR="00751A4A" w:rsidRPr="004E26DD" w:rsidRDefault="00B94BD3" w:rsidP="0010095E">
            <w:pPr>
              <w:pStyle w:val="EPName"/>
            </w:pPr>
            <w:r w:rsidRPr="004E26DD">
              <w:t>Eiropas Parlaments</w:t>
            </w:r>
          </w:p>
          <w:p w:rsidR="00751A4A" w:rsidRPr="004E26DD" w:rsidRDefault="00817416" w:rsidP="00756632">
            <w:pPr>
              <w:pStyle w:val="EPTerm"/>
              <w:rPr>
                <w:rStyle w:val="HideTWBExt"/>
                <w:noProof w:val="0"/>
                <w:vanish w:val="0"/>
                <w:color w:val="auto"/>
              </w:rPr>
            </w:pPr>
            <w:r w:rsidRPr="004E26DD">
              <w:t>2019-2024</w:t>
            </w:r>
          </w:p>
        </w:tc>
        <w:tc>
          <w:tcPr>
            <w:tcW w:w="2268" w:type="dxa"/>
            <w:shd w:val="clear" w:color="auto" w:fill="auto"/>
          </w:tcPr>
          <w:p w:rsidR="00751A4A" w:rsidRPr="004E26DD" w:rsidRDefault="00187494" w:rsidP="0010095E">
            <w:pPr>
              <w:pStyle w:val="EPLogo"/>
            </w:pPr>
            <w:r w:rsidRPr="004E26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26DD" w:rsidRDefault="00D058B8" w:rsidP="004C5D52">
      <w:pPr>
        <w:pStyle w:val="LineTop"/>
      </w:pPr>
    </w:p>
    <w:p w:rsidR="00680577" w:rsidRPr="004E26DD" w:rsidRDefault="00B94BD3" w:rsidP="00680577">
      <w:pPr>
        <w:pStyle w:val="EPBodyTA1"/>
      </w:pPr>
      <w:r w:rsidRPr="004E26DD">
        <w:t>PIEŅEMTIE TEKSTI</w:t>
      </w:r>
    </w:p>
    <w:p w:rsidR="00D058B8" w:rsidRPr="004E26DD" w:rsidRDefault="00D058B8" w:rsidP="00D058B8">
      <w:pPr>
        <w:pStyle w:val="LineBottom"/>
      </w:pPr>
    </w:p>
    <w:p w:rsidR="00B94BD3" w:rsidRPr="004E26DD" w:rsidRDefault="00B94BD3" w:rsidP="00B94BD3">
      <w:pPr>
        <w:pStyle w:val="ATHeading1"/>
      </w:pPr>
      <w:bookmarkStart w:id="0" w:name="TANumber"/>
      <w:r w:rsidRPr="004E26DD">
        <w:t>P9_TA(2024)0</w:t>
      </w:r>
      <w:r w:rsidR="004E26DD" w:rsidRPr="004E26DD">
        <w:t>273</w:t>
      </w:r>
      <w:bookmarkEnd w:id="0"/>
    </w:p>
    <w:p w:rsidR="00B94BD3" w:rsidRPr="004E26DD" w:rsidRDefault="003A1650" w:rsidP="00B94BD3">
      <w:pPr>
        <w:pStyle w:val="ATHeading2"/>
      </w:pPr>
      <w:bookmarkStart w:id="1" w:name="title"/>
      <w:r w:rsidRPr="004E26DD">
        <w:t>2022. finanšu gada budžeta izpildes apstiprināšana: kopuzņēmums “</w:t>
      </w:r>
      <w:proofErr w:type="spellStart"/>
      <w:r w:rsidRPr="004E26DD">
        <w:t>Apritīga</w:t>
      </w:r>
      <w:proofErr w:type="spellEnd"/>
      <w:r w:rsidRPr="004E26DD">
        <w:t xml:space="preserve"> </w:t>
      </w:r>
      <w:proofErr w:type="spellStart"/>
      <w:r w:rsidRPr="004E26DD">
        <w:t>biobāzēta</w:t>
      </w:r>
      <w:proofErr w:type="spellEnd"/>
      <w:r w:rsidRPr="004E26DD">
        <w:t xml:space="preserve"> Eiropa”</w:t>
      </w:r>
      <w:bookmarkEnd w:id="1"/>
    </w:p>
    <w:p w:rsidR="00B94BD3" w:rsidRPr="004E26DD" w:rsidRDefault="00B94BD3" w:rsidP="00B94BD3">
      <w:pPr>
        <w:rPr>
          <w:i/>
          <w:vanish/>
        </w:rPr>
      </w:pPr>
      <w:r w:rsidRPr="004E26DD">
        <w:rPr>
          <w:i/>
        </w:rPr>
        <w:fldChar w:fldCharType="begin"/>
      </w:r>
      <w:r w:rsidRPr="004E26DD">
        <w:rPr>
          <w:i/>
        </w:rPr>
        <w:instrText xml:space="preserve"> TC"(</w:instrText>
      </w:r>
      <w:bookmarkStart w:id="2" w:name="DocNumber"/>
      <w:r w:rsidRPr="004E26DD">
        <w:rPr>
          <w:i/>
        </w:rPr>
        <w:instrText>A9-0088/2024</w:instrText>
      </w:r>
      <w:bookmarkEnd w:id="2"/>
      <w:r w:rsidRPr="004E26DD">
        <w:rPr>
          <w:i/>
        </w:rPr>
        <w:instrText xml:space="preserve"> - Referents: Michal Wiezik)"\l3 \n&gt; \* MERGEFORMAT </w:instrText>
      </w:r>
      <w:r w:rsidRPr="004E26DD">
        <w:rPr>
          <w:i/>
        </w:rPr>
        <w:fldChar w:fldCharType="end"/>
      </w:r>
    </w:p>
    <w:p w:rsidR="00B94BD3" w:rsidRPr="004E26DD" w:rsidRDefault="00B94BD3" w:rsidP="00B94BD3">
      <w:pPr>
        <w:rPr>
          <w:vanish/>
        </w:rPr>
      </w:pPr>
      <w:bookmarkStart w:id="3" w:name="Commission"/>
      <w:r w:rsidRPr="004E26DD">
        <w:rPr>
          <w:vanish/>
        </w:rPr>
        <w:t>Budžeta kontroles komiteja</w:t>
      </w:r>
      <w:bookmarkEnd w:id="3"/>
    </w:p>
    <w:p w:rsidR="00B94BD3" w:rsidRPr="004E26DD" w:rsidRDefault="00B94BD3" w:rsidP="00B94BD3">
      <w:pPr>
        <w:rPr>
          <w:vanish/>
        </w:rPr>
      </w:pPr>
      <w:bookmarkStart w:id="4" w:name="PE"/>
      <w:r w:rsidRPr="004E26DD">
        <w:rPr>
          <w:vanish/>
        </w:rPr>
        <w:t>PE753.488</w:t>
      </w:r>
      <w:bookmarkEnd w:id="4"/>
    </w:p>
    <w:p w:rsidR="00B94BD3" w:rsidRPr="004E26DD" w:rsidRDefault="003A1650" w:rsidP="00B94BD3">
      <w:pPr>
        <w:pStyle w:val="ATHeading3"/>
      </w:pPr>
      <w:bookmarkStart w:id="5" w:name="Sujet"/>
      <w:r w:rsidRPr="004E26DD">
        <w:t>1. E</w:t>
      </w:r>
      <w:r w:rsidR="00B94BD3" w:rsidRPr="004E26DD">
        <w:t xml:space="preserve">iropas Parlamenta 2024. gada </w:t>
      </w:r>
      <w:r w:rsidRPr="004E26DD">
        <w:t>11. aprīļa</w:t>
      </w:r>
      <w:r w:rsidR="00B94BD3" w:rsidRPr="004E26DD">
        <w:t xml:space="preserve"> lēmums par kopuzņēmuma "</w:t>
      </w:r>
      <w:proofErr w:type="spellStart"/>
      <w:r w:rsidR="00B94BD3" w:rsidRPr="004E26DD">
        <w:t>Apritīga</w:t>
      </w:r>
      <w:proofErr w:type="spellEnd"/>
      <w:r w:rsidR="00B94BD3" w:rsidRPr="004E26DD">
        <w:t xml:space="preserve"> </w:t>
      </w:r>
      <w:proofErr w:type="spellStart"/>
      <w:r w:rsidR="00B94BD3" w:rsidRPr="004E26DD">
        <w:t>biobāzēta</w:t>
      </w:r>
      <w:proofErr w:type="spellEnd"/>
      <w:r w:rsidR="00B94BD3" w:rsidRPr="004E26DD">
        <w:t xml:space="preserve"> Eiropa" 2022. finanšu gada budžeta izpildes apstiprināšanu</w:t>
      </w:r>
      <w:bookmarkEnd w:id="5"/>
      <w:r w:rsidR="00B94BD3" w:rsidRPr="004E26DD">
        <w:t xml:space="preserve"> </w:t>
      </w:r>
      <w:bookmarkStart w:id="6" w:name="References"/>
      <w:r w:rsidR="00B94BD3" w:rsidRPr="004E26DD">
        <w:t>(2023/2174(DEC))</w:t>
      </w:r>
      <w:bookmarkEnd w:id="6"/>
    </w:p>
    <w:p w:rsidR="00B94BD3" w:rsidRPr="004E26DD" w:rsidRDefault="00B94BD3" w:rsidP="00B94BD3"/>
    <w:p w:rsidR="000F59AB" w:rsidRPr="004E26DD" w:rsidRDefault="000F59AB" w:rsidP="000F59AB">
      <w:pPr>
        <w:pStyle w:val="EPComma"/>
      </w:pPr>
      <w:bookmarkStart w:id="7" w:name="TextBodyBegin"/>
      <w:bookmarkEnd w:id="7"/>
      <w:r w:rsidRPr="004E26DD">
        <w:rPr>
          <w:i/>
          <w:iCs/>
        </w:rPr>
        <w:t>Eiropas Parlaments</w:t>
      </w:r>
      <w:r w:rsidRPr="004E26DD">
        <w:t>,</w:t>
      </w:r>
    </w:p>
    <w:p w:rsidR="000F59AB" w:rsidRPr="004E26DD" w:rsidRDefault="000F59AB" w:rsidP="000F59AB">
      <w:pPr>
        <w:pStyle w:val="NormalHanging12a"/>
      </w:pPr>
      <w:r w:rsidRPr="004E26DD">
        <w:t>–</w:t>
      </w:r>
      <w:r w:rsidRPr="004E26DD">
        <w:tab/>
        <w:t>ņemot vērā kopuzņēmuma "</w:t>
      </w:r>
      <w:proofErr w:type="spellStart"/>
      <w:r w:rsidRPr="004E26DD">
        <w:t>Apritīga</w:t>
      </w:r>
      <w:proofErr w:type="spellEnd"/>
      <w:r w:rsidRPr="004E26DD">
        <w:t xml:space="preserve"> </w:t>
      </w:r>
      <w:proofErr w:type="spellStart"/>
      <w:r w:rsidRPr="004E26DD">
        <w:t>biobāzēta</w:t>
      </w:r>
      <w:proofErr w:type="spellEnd"/>
      <w:r w:rsidRPr="004E26DD">
        <w:t xml:space="preserve"> Eiropa" 2022. finanšu gada galīgos pārskatus,</w:t>
      </w:r>
    </w:p>
    <w:p w:rsidR="000F59AB" w:rsidRPr="004E26DD" w:rsidRDefault="000F59AB" w:rsidP="000F59AB">
      <w:pPr>
        <w:pStyle w:val="NormalHanging12a"/>
      </w:pPr>
      <w:r w:rsidRPr="004E26DD">
        <w:t>–</w:t>
      </w:r>
      <w:r w:rsidRPr="004E26DD">
        <w:tab/>
        <w:t>ņemot vērā Revīzijas palātas gada ziņojumu par ES kopuzņēmumiem attiecībā uz 2022. finanšu gadu ar kopuzņēmumu atbildēm</w:t>
      </w:r>
      <w:r w:rsidRPr="004E26DD">
        <w:rPr>
          <w:rStyle w:val="FootnoteReference"/>
        </w:rPr>
        <w:footnoteReference w:id="1"/>
      </w:r>
      <w:r w:rsidRPr="004E26DD">
        <w:t>,</w:t>
      </w:r>
    </w:p>
    <w:p w:rsidR="000F59AB" w:rsidRPr="004E26DD" w:rsidRDefault="000F59AB" w:rsidP="000F59AB">
      <w:pPr>
        <w:pStyle w:val="NormalHanging12a"/>
      </w:pPr>
      <w:r w:rsidRPr="004E26DD">
        <w:t>–</w:t>
      </w:r>
      <w:r w:rsidRPr="004E26DD">
        <w:tab/>
        <w:t>ņemot vērā deklarāciju</w:t>
      </w:r>
      <w:r w:rsidRPr="004E26DD">
        <w:rPr>
          <w:rStyle w:val="FootnoteReference"/>
        </w:rPr>
        <w:footnoteReference w:id="2"/>
      </w:r>
      <w:r w:rsidRPr="004E26DD">
        <w:t xml:space="preserve"> par pārskatu ticamību, kā arī par pakārtoto darījumu likumību un pareizību, kuru Revīzijas palāta sniegusi par 2022. finanšu gadu saskaņā ar Līguma par Eiropas Savienības darbību 287. pantu,</w:t>
      </w:r>
    </w:p>
    <w:p w:rsidR="000F59AB" w:rsidRPr="004E26DD" w:rsidRDefault="000F59AB" w:rsidP="000F59AB">
      <w:pPr>
        <w:pStyle w:val="NormalHanging12a"/>
      </w:pPr>
      <w:r w:rsidRPr="004E26DD">
        <w:t>–</w:t>
      </w:r>
      <w:r w:rsidRPr="004E26DD">
        <w:tab/>
        <w:t>ņemot vērā Padomes 2024. gada 22. februāra ieteikumu par apstiprinājumu, ko sniedz Kopuzņēmumam par 2022. finanšu gada budžeta izpildi (</w:t>
      </w:r>
      <w:r w:rsidR="003A1650" w:rsidRPr="004E26DD">
        <w:t>06182</w:t>
      </w:r>
      <w:r w:rsidRPr="004E26DD">
        <w:t>/2024 – C9</w:t>
      </w:r>
      <w:r w:rsidRPr="004E26DD">
        <w:noBreakHyphen/>
      </w:r>
      <w:r w:rsidR="003A1650" w:rsidRPr="004E26DD">
        <w:t>0112</w:t>
      </w:r>
      <w:r w:rsidRPr="004E26DD">
        <w:t>/2024),</w:t>
      </w:r>
    </w:p>
    <w:p w:rsidR="000F59AB" w:rsidRPr="004E26DD" w:rsidRDefault="000F59AB" w:rsidP="000F59AB">
      <w:pPr>
        <w:pStyle w:val="NormalHanging12a"/>
      </w:pPr>
      <w:r w:rsidRPr="004E26DD">
        <w:t>–</w:t>
      </w:r>
      <w:r w:rsidRPr="004E26DD">
        <w:tab/>
        <w:t>ņemot vērā Līguma par Eiropas Savienības darbību 319. pantu,</w:t>
      </w:r>
    </w:p>
    <w:p w:rsidR="000F59AB" w:rsidRPr="004E26DD" w:rsidRDefault="000F59AB" w:rsidP="000F59AB">
      <w:pPr>
        <w:pStyle w:val="NormalHanging12a"/>
      </w:pPr>
      <w:r w:rsidRPr="004E26DD">
        <w:t>–</w:t>
      </w:r>
      <w:r w:rsidRPr="004E26DD">
        <w:tab/>
        <w:t xml:space="preserve">ņemot vērā Eiropas Parlamenta un Padomes 2018. gada 18. jūlija Regulu (ES, </w:t>
      </w:r>
      <w:r w:rsidRPr="004E26DD">
        <w:rPr>
          <w:i/>
          <w:iCs/>
        </w:rPr>
        <w:t>Euratom</w:t>
      </w:r>
      <w:r w:rsidRPr="004E26DD">
        <w:t xml:space="preserve">) 2018/1046 par finanšu noteikumiem, ko piemēro Savienības vispārējam budžetam, un ar ko groza Regulas (ES) Nr. 1296/2013, (ES) Nr. 1301/2013, (ES) Nr. 1303/2013, (ES) Nr. 1304/2013, (ES) Nr. 1309/2013, (ES) Nr. 1316/2013, (ES) Nr. 223/2014, (ES) Nr. 283/2014 un Lēmumu 541/2014/ES un atceļ Regulu (ES, </w:t>
      </w:r>
      <w:r w:rsidRPr="004E26DD">
        <w:rPr>
          <w:i/>
          <w:iCs/>
        </w:rPr>
        <w:t>Euratom</w:t>
      </w:r>
      <w:r w:rsidRPr="004E26DD">
        <w:t>) Nr. 966/2012</w:t>
      </w:r>
      <w:r w:rsidRPr="004E26DD">
        <w:rPr>
          <w:rStyle w:val="FootnoteReference"/>
        </w:rPr>
        <w:footnoteReference w:id="3"/>
      </w:r>
      <w:r w:rsidRPr="004E26DD">
        <w:t>, un jo īpaši tās 71. pantu,</w:t>
      </w:r>
    </w:p>
    <w:p w:rsidR="000F59AB" w:rsidRPr="004E26DD" w:rsidRDefault="000F59AB" w:rsidP="000F59AB">
      <w:pPr>
        <w:pStyle w:val="NormalHanging12a"/>
      </w:pPr>
      <w:r w:rsidRPr="004E26DD">
        <w:t>–</w:t>
      </w:r>
      <w:r w:rsidRPr="004E26DD">
        <w:tab/>
        <w:t xml:space="preserve">ņemot vērā Padomes 2021. gada 19. novembra Regulu (ES) 2021/2085, ar ko izveido kopuzņēmumus pamatprogrammā "Apvārsnis Eiropa" un atceļ Regulas (EK) Nr. 219/2007, (ES) Nr. 557/2014, (ES) Nr. 558/2014, (ES) Nr. 559/2014, (ES) </w:t>
      </w:r>
      <w:r w:rsidRPr="004E26DD">
        <w:lastRenderedPageBreak/>
        <w:t>Nr. 560/2014, (ES) Nr. 561/2014 un (ES) Nr. 642/2014</w:t>
      </w:r>
      <w:r w:rsidRPr="004E26DD">
        <w:rPr>
          <w:rStyle w:val="FootnoteReference"/>
        </w:rPr>
        <w:footnoteReference w:id="4"/>
      </w:r>
      <w:r w:rsidRPr="004E26DD">
        <w:t>, un jo īpaši tās 26. pantu,</w:t>
      </w:r>
    </w:p>
    <w:p w:rsidR="000F59AB" w:rsidRPr="004E26DD" w:rsidRDefault="000F59AB" w:rsidP="000F59AB">
      <w:pPr>
        <w:pStyle w:val="NormalHanging12a"/>
      </w:pPr>
      <w:r w:rsidRPr="004E26DD">
        <w:t>–</w:t>
      </w:r>
      <w:r w:rsidRPr="004E26DD">
        <w:tab/>
        <w:t xml:space="preserve">ņemot vērā Komisijas 2019. gada 13. marta Deleģēto regulu (ES) 2019/887 par finanšu </w:t>
      </w:r>
      <w:proofErr w:type="spellStart"/>
      <w:r w:rsidRPr="004E26DD">
        <w:t>paraugregulējumu</w:t>
      </w:r>
      <w:proofErr w:type="spellEnd"/>
      <w:r w:rsidRPr="004E26DD">
        <w:t xml:space="preserve"> publiskā un privātā sektora partnerības struktūrām, kas minētas Eiropas Parlamenta un Padomes Regulas (ES, </w:t>
      </w:r>
      <w:r w:rsidRPr="004E26DD">
        <w:rPr>
          <w:i/>
          <w:iCs/>
        </w:rPr>
        <w:t>Euratom</w:t>
      </w:r>
      <w:r w:rsidRPr="004E26DD">
        <w:t>) 2018/1046 71. pantā</w:t>
      </w:r>
      <w:r w:rsidRPr="004E26DD">
        <w:rPr>
          <w:rStyle w:val="FootnoteReference"/>
        </w:rPr>
        <w:footnoteReference w:id="5"/>
      </w:r>
      <w:r w:rsidRPr="004E26DD">
        <w:t>,</w:t>
      </w:r>
    </w:p>
    <w:p w:rsidR="000F59AB" w:rsidRPr="004E26DD" w:rsidRDefault="000F59AB" w:rsidP="000F59AB">
      <w:pPr>
        <w:pStyle w:val="NormalHanging12a"/>
      </w:pPr>
      <w:r w:rsidRPr="004E26DD">
        <w:t>–</w:t>
      </w:r>
      <w:r w:rsidRPr="004E26DD">
        <w:tab/>
        <w:t>ņemot vērā Reglamenta 100. pantu un V pielikumu,</w:t>
      </w:r>
    </w:p>
    <w:p w:rsidR="000F59AB" w:rsidRPr="004E26DD" w:rsidRDefault="000F59AB" w:rsidP="000F59AB">
      <w:pPr>
        <w:pStyle w:val="NormalHanging12a"/>
      </w:pPr>
      <w:r w:rsidRPr="004E26DD">
        <w:t>–</w:t>
      </w:r>
      <w:r w:rsidRPr="004E26DD">
        <w:tab/>
        <w:t>ņemot vērā Reģionālās attīstības komitejas un Rūpniecības, pētniecības un enerģētikas komitejas atzinumus,</w:t>
      </w:r>
    </w:p>
    <w:p w:rsidR="000F59AB" w:rsidRPr="004E26DD" w:rsidRDefault="000F59AB" w:rsidP="000F59AB">
      <w:pPr>
        <w:pStyle w:val="NormalHanging12a"/>
      </w:pPr>
      <w:r w:rsidRPr="004E26DD">
        <w:t>–</w:t>
      </w:r>
      <w:r w:rsidRPr="004E26DD">
        <w:tab/>
        <w:t>ņemot vērā Budžeta kontroles komitejas ziņojumu (A9-0088/2024),</w:t>
      </w:r>
    </w:p>
    <w:p w:rsidR="000F59AB" w:rsidRPr="004E26DD" w:rsidRDefault="000F59AB" w:rsidP="000F59AB">
      <w:pPr>
        <w:pStyle w:val="NormalHanging12a"/>
      </w:pPr>
      <w:r w:rsidRPr="004E26DD">
        <w:t>1.</w:t>
      </w:r>
      <w:r w:rsidRPr="004E26DD">
        <w:tab/>
        <w:t>sniedz kopuzņēmuma "</w:t>
      </w:r>
      <w:proofErr w:type="spellStart"/>
      <w:r w:rsidRPr="004E26DD">
        <w:t>Apritīga</w:t>
      </w:r>
      <w:proofErr w:type="spellEnd"/>
      <w:r w:rsidRPr="004E26DD">
        <w:t xml:space="preserve"> </w:t>
      </w:r>
      <w:proofErr w:type="spellStart"/>
      <w:r w:rsidRPr="004E26DD">
        <w:t>biobāzēta</w:t>
      </w:r>
      <w:proofErr w:type="spellEnd"/>
      <w:r w:rsidRPr="004E26DD">
        <w:t xml:space="preserve"> Eiropa" izpilddirektoram apstiprinājumu par Kopuzņēmuma 2022. finanšu gada budžeta izpildi;</w:t>
      </w:r>
    </w:p>
    <w:p w:rsidR="000F59AB" w:rsidRPr="004E26DD" w:rsidRDefault="000F59AB" w:rsidP="000F59AB">
      <w:pPr>
        <w:pStyle w:val="NormalHanging12a"/>
      </w:pPr>
      <w:r w:rsidRPr="004E26DD">
        <w:t>2.</w:t>
      </w:r>
      <w:r w:rsidRPr="004E26DD">
        <w:tab/>
        <w:t>izklāsta savus konstatējumus turpmāk tekstā iekļautajā rezolūcijā;</w:t>
      </w:r>
    </w:p>
    <w:p w:rsidR="000F59AB" w:rsidRPr="004E26DD" w:rsidRDefault="000F59AB" w:rsidP="000F59AB">
      <w:pPr>
        <w:pStyle w:val="NormalHanging12a"/>
      </w:pPr>
      <w:r w:rsidRPr="004E26DD">
        <w:t>3.</w:t>
      </w:r>
      <w:r w:rsidRPr="004E26DD">
        <w:tab/>
        <w:t>uzdod priekšsēdētājai šo lēmumu un rezolūciju, kas ir tā neatņemama daļa, nosūtīt kopuzņēmuma "</w:t>
      </w:r>
      <w:proofErr w:type="spellStart"/>
      <w:r w:rsidRPr="004E26DD">
        <w:t>Apritīga</w:t>
      </w:r>
      <w:proofErr w:type="spellEnd"/>
      <w:r w:rsidRPr="004E26DD">
        <w:t xml:space="preserve"> </w:t>
      </w:r>
      <w:proofErr w:type="spellStart"/>
      <w:r w:rsidRPr="004E26DD">
        <w:t>biobāzēta</w:t>
      </w:r>
      <w:proofErr w:type="spellEnd"/>
      <w:r w:rsidRPr="004E26DD">
        <w:t xml:space="preserve"> Eiropa" izpilddirektoram, Padomei, Komisijai un Revīzijas palātai un nodrošināt to publicēšanu </w:t>
      </w:r>
      <w:r w:rsidRPr="004E26DD">
        <w:rPr>
          <w:i/>
          <w:iCs/>
        </w:rPr>
        <w:t>Eiropas Savienības Oficiālajā Vēstnesī</w:t>
      </w:r>
      <w:r w:rsidRPr="004E26DD">
        <w:t xml:space="preserve"> (L sērijā).</w:t>
      </w:r>
    </w:p>
    <w:p w:rsidR="000F59AB" w:rsidRPr="004E26DD" w:rsidRDefault="000F59AB" w:rsidP="000F59AB"/>
    <w:p w:rsidR="000F59AB" w:rsidRPr="004E26DD" w:rsidRDefault="000F59AB" w:rsidP="000F59AB">
      <w:pPr>
        <w:pStyle w:val="PageHeading"/>
        <w:sectPr w:rsidR="000F59AB" w:rsidRPr="004E26DD" w:rsidSect="00791D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F59AB" w:rsidRPr="004E26DD" w:rsidRDefault="003A1650" w:rsidP="004E26DD">
      <w:pPr>
        <w:pStyle w:val="EPFooter"/>
        <w:rPr>
          <w:lang w:eastAsia="fr-FR"/>
        </w:rPr>
      </w:pPr>
      <w:bookmarkStart w:id="8" w:name="_Toc161846423"/>
      <w:r w:rsidRPr="004E26DD">
        <w:rPr>
          <w:b/>
          <w:lang w:eastAsia="fr-FR"/>
        </w:rPr>
        <w:lastRenderedPageBreak/>
        <w:t xml:space="preserve">2. Eiropas Parlamenta 2024. gada 11. aprīļa lēmums par </w:t>
      </w:r>
      <w:bookmarkEnd w:id="8"/>
      <w:r w:rsidR="000F59AB" w:rsidRPr="004E26DD">
        <w:rPr>
          <w:b/>
          <w:lang w:eastAsia="fr-FR"/>
        </w:rPr>
        <w:t>kopuzņēmuma "</w:t>
      </w:r>
      <w:proofErr w:type="spellStart"/>
      <w:r w:rsidR="000F59AB" w:rsidRPr="004E26DD">
        <w:rPr>
          <w:b/>
          <w:lang w:eastAsia="fr-FR"/>
        </w:rPr>
        <w:t>Apritīga</w:t>
      </w:r>
      <w:proofErr w:type="spellEnd"/>
      <w:r w:rsidR="000F59AB" w:rsidRPr="004E26DD">
        <w:rPr>
          <w:b/>
          <w:lang w:eastAsia="fr-FR"/>
        </w:rPr>
        <w:t xml:space="preserve"> </w:t>
      </w:r>
      <w:proofErr w:type="spellStart"/>
      <w:r w:rsidR="000F59AB" w:rsidRPr="004E26DD">
        <w:rPr>
          <w:b/>
          <w:lang w:eastAsia="fr-FR"/>
        </w:rPr>
        <w:t>biobāzēta</w:t>
      </w:r>
      <w:proofErr w:type="spellEnd"/>
      <w:r w:rsidR="000F59AB" w:rsidRPr="004E26DD">
        <w:rPr>
          <w:b/>
          <w:lang w:eastAsia="fr-FR"/>
        </w:rPr>
        <w:t xml:space="preserve"> Eiropa" 2022. finanšu gada pārskatu apstiprināšanu</w:t>
      </w:r>
      <w:r w:rsidRPr="004E26DD">
        <w:rPr>
          <w:b/>
          <w:lang w:eastAsia="fr-FR"/>
        </w:rPr>
        <w:t xml:space="preserve"> </w:t>
      </w:r>
      <w:r w:rsidR="000F59AB" w:rsidRPr="004E26DD">
        <w:rPr>
          <w:b/>
          <w:color w:val="auto"/>
          <w:sz w:val="24"/>
          <w:lang w:eastAsia="fr-FR"/>
        </w:rPr>
        <w:t>(2023/2174(DEC))</w:t>
      </w:r>
    </w:p>
    <w:p w:rsidR="000F59AB" w:rsidRPr="004E26DD" w:rsidRDefault="000F59AB" w:rsidP="000F59AB">
      <w:pPr>
        <w:pStyle w:val="EPComma"/>
      </w:pPr>
      <w:r w:rsidRPr="004E26DD">
        <w:rPr>
          <w:i/>
          <w:iCs/>
        </w:rPr>
        <w:t>Eiropas Parlaments</w:t>
      </w:r>
      <w:r w:rsidRPr="004E26DD">
        <w:t>,</w:t>
      </w:r>
    </w:p>
    <w:p w:rsidR="000F59AB" w:rsidRPr="004E26DD" w:rsidRDefault="000F59AB" w:rsidP="000F59AB">
      <w:pPr>
        <w:pStyle w:val="NormalHanging12a"/>
      </w:pPr>
      <w:r w:rsidRPr="004E26DD">
        <w:t>–</w:t>
      </w:r>
      <w:r w:rsidRPr="004E26DD">
        <w:tab/>
        <w:t>ņemot vērā kopuzņēmuma "</w:t>
      </w:r>
      <w:proofErr w:type="spellStart"/>
      <w:r w:rsidRPr="004E26DD">
        <w:t>Apritīga</w:t>
      </w:r>
      <w:proofErr w:type="spellEnd"/>
      <w:r w:rsidRPr="004E26DD">
        <w:t xml:space="preserve"> </w:t>
      </w:r>
      <w:proofErr w:type="spellStart"/>
      <w:r w:rsidRPr="004E26DD">
        <w:t>biobāzēta</w:t>
      </w:r>
      <w:proofErr w:type="spellEnd"/>
      <w:r w:rsidRPr="004E26DD">
        <w:t xml:space="preserve"> Eiropa" 2022. finanšu gada galīgos pārskatus,</w:t>
      </w:r>
    </w:p>
    <w:p w:rsidR="000F59AB" w:rsidRPr="004E26DD" w:rsidRDefault="000F59AB" w:rsidP="000F59AB">
      <w:pPr>
        <w:pStyle w:val="NormalHanging12a"/>
      </w:pPr>
      <w:r w:rsidRPr="004E26DD">
        <w:t>–</w:t>
      </w:r>
      <w:r w:rsidRPr="004E26DD">
        <w:tab/>
        <w:t>ņemot vērā Revīzijas palātas gada ziņojumu par ES kopuzņēmumiem attiecībā uz 2022. finanšu gadu ar kopuzņēmumu atbildēm</w:t>
      </w:r>
      <w:r w:rsidRPr="004E26DD">
        <w:rPr>
          <w:rStyle w:val="FootnoteReference"/>
        </w:rPr>
        <w:footnoteReference w:id="6"/>
      </w:r>
      <w:r w:rsidRPr="004E26DD">
        <w:t>,</w:t>
      </w:r>
    </w:p>
    <w:p w:rsidR="000F59AB" w:rsidRPr="004E26DD" w:rsidRDefault="000F59AB" w:rsidP="000F59AB">
      <w:pPr>
        <w:pStyle w:val="NormalHanging12a"/>
      </w:pPr>
      <w:r w:rsidRPr="004E26DD">
        <w:t>–</w:t>
      </w:r>
      <w:r w:rsidRPr="004E26DD">
        <w:tab/>
        <w:t>ņemot vērā deklarāciju</w:t>
      </w:r>
      <w:r w:rsidRPr="004E26DD">
        <w:rPr>
          <w:rStyle w:val="FootnoteReference"/>
        </w:rPr>
        <w:footnoteReference w:id="7"/>
      </w:r>
      <w:r w:rsidRPr="004E26DD">
        <w:t xml:space="preserve"> par pārskatu ticamību, kā arī  par pakārtoto darījumu likumību un pareizību, kuru Revīzijas palāta sniegusi par 2022. finanšu gadu saskaņā ar Līguma par Eiropas Savienības darbību 287. pantu,</w:t>
      </w:r>
    </w:p>
    <w:p w:rsidR="000F59AB" w:rsidRPr="004E26DD" w:rsidRDefault="000F59AB" w:rsidP="000F59AB">
      <w:pPr>
        <w:pStyle w:val="NormalHanging12a"/>
      </w:pPr>
      <w:r w:rsidRPr="004E26DD">
        <w:t>–</w:t>
      </w:r>
      <w:r w:rsidRPr="004E26DD">
        <w:tab/>
        <w:t>ņemot vērā Padomes 2024. gada 22. februāra ieteikumu par apstiprinājumu, ko sniedz Kopuzņēmumam par 2022. finanšu gada budžeta izpildi (</w:t>
      </w:r>
      <w:r w:rsidR="00AC70EA" w:rsidRPr="00AC70EA">
        <w:t>06182/2024</w:t>
      </w:r>
      <w:r w:rsidRPr="004E26DD">
        <w:t xml:space="preserve"> – C9</w:t>
      </w:r>
      <w:r w:rsidRPr="004E26DD">
        <w:noBreakHyphen/>
      </w:r>
      <w:r w:rsidR="003A1650" w:rsidRPr="004E26DD">
        <w:t>0112</w:t>
      </w:r>
      <w:r w:rsidRPr="004E26DD">
        <w:t>/2024),</w:t>
      </w:r>
    </w:p>
    <w:p w:rsidR="000F59AB" w:rsidRPr="004E26DD" w:rsidRDefault="000F59AB" w:rsidP="000F59AB">
      <w:pPr>
        <w:pStyle w:val="NormalHanging12a"/>
      </w:pPr>
      <w:r w:rsidRPr="004E26DD">
        <w:t>–</w:t>
      </w:r>
      <w:r w:rsidRPr="004E26DD">
        <w:tab/>
        <w:t>ņemot vērā Līguma par Eiropas Savienības darbību 319. pantu,</w:t>
      </w:r>
    </w:p>
    <w:p w:rsidR="000F59AB" w:rsidRPr="004E26DD" w:rsidRDefault="000F59AB" w:rsidP="000F59AB">
      <w:pPr>
        <w:pStyle w:val="NormalHanging12a"/>
      </w:pPr>
      <w:r w:rsidRPr="004E26DD">
        <w:t>–</w:t>
      </w:r>
      <w:r w:rsidRPr="004E26DD">
        <w:tab/>
        <w:t xml:space="preserve">ņemot vērā Eiropas Parlamenta un Padomes 2018. gada 18. jūlija Regulu (ES, </w:t>
      </w:r>
      <w:r w:rsidRPr="004E26DD">
        <w:rPr>
          <w:i/>
          <w:iCs/>
        </w:rPr>
        <w:t>Euratom</w:t>
      </w:r>
      <w:r w:rsidRPr="004E26DD">
        <w:t xml:space="preserve">) 2018/1046 par finanšu noteikumiem, ko piemēro Savienības vispārējam budžetam, un ar ko groza Regulas (ES) Nr. 1296/2013, (ES) Nr. 1301/2013, (ES) Nr. 1303/2013, (ES) Nr. 1304/2013, (ES) Nr. 1309/2013, (ES) Nr. 1316/2013, (ES) Nr. 223/2014, (ES) Nr. 283/2014 un Lēmumu 541/2014/ES un atceļ Regulu (ES, </w:t>
      </w:r>
      <w:r w:rsidRPr="004E26DD">
        <w:rPr>
          <w:i/>
          <w:iCs/>
        </w:rPr>
        <w:t>Euratom</w:t>
      </w:r>
      <w:r w:rsidRPr="004E26DD">
        <w:t>) Nr. 966/2012</w:t>
      </w:r>
      <w:r w:rsidRPr="004E26DD">
        <w:rPr>
          <w:rStyle w:val="FootnoteReference"/>
        </w:rPr>
        <w:footnoteReference w:id="8"/>
      </w:r>
      <w:r w:rsidRPr="004E26DD">
        <w:t>, un jo īpaši tās 71. pantu,</w:t>
      </w:r>
    </w:p>
    <w:p w:rsidR="000F59AB" w:rsidRPr="004E26DD" w:rsidRDefault="000F59AB" w:rsidP="000F59AB">
      <w:pPr>
        <w:pStyle w:val="NormalHanging12a"/>
      </w:pPr>
      <w:r w:rsidRPr="004E26DD">
        <w:t>–</w:t>
      </w:r>
      <w:r w:rsidRPr="004E26DD">
        <w:tab/>
        <w:t>ņemot vērā Padomes 2021. gada 19. novembra Regulu (ES) 2021/2085, ar ko izveido kopuzņēmumus pamatprogrammā "Apvārsnis Eiropa" un atceļ Regulas (EK) Nr. 219/2007, (ES) Nr. 557/2014, (ES) Nr. 558/2014, (ES) Nr. 559/2014, (ES) Nr. 560/2014, (ES) Nr. 561/2014 un (ES) Nr. 642/2014</w:t>
      </w:r>
      <w:r w:rsidRPr="004E26DD">
        <w:rPr>
          <w:rStyle w:val="FootnoteReference"/>
        </w:rPr>
        <w:footnoteReference w:id="9"/>
      </w:r>
      <w:r w:rsidRPr="004E26DD">
        <w:t>, un jo īpaši tās 26. pantu,</w:t>
      </w:r>
    </w:p>
    <w:p w:rsidR="000F59AB" w:rsidRPr="004E26DD" w:rsidRDefault="000F59AB" w:rsidP="000F59AB">
      <w:pPr>
        <w:pStyle w:val="NormalHanging12a"/>
      </w:pPr>
      <w:r w:rsidRPr="004E26DD">
        <w:t>–</w:t>
      </w:r>
      <w:r w:rsidRPr="004E26DD">
        <w:tab/>
        <w:t xml:space="preserve">ņemot vērā Komisijas 2019. gada 13. marta Deleģēto regulu (ES) 2019/887 par finanšu </w:t>
      </w:r>
      <w:proofErr w:type="spellStart"/>
      <w:r w:rsidRPr="004E26DD">
        <w:t>paraugregulējumu</w:t>
      </w:r>
      <w:proofErr w:type="spellEnd"/>
      <w:r w:rsidRPr="004E26DD">
        <w:t xml:space="preserve"> publiskā un privātā sektora partnerības struktūrām, kas minētas Eiropas Parlamenta un Padomes Regulas (ES, </w:t>
      </w:r>
      <w:r w:rsidRPr="004E26DD">
        <w:rPr>
          <w:i/>
          <w:iCs/>
        </w:rPr>
        <w:t>Euratom</w:t>
      </w:r>
      <w:r w:rsidRPr="004E26DD">
        <w:t>) 2018/1046 71. pantā</w:t>
      </w:r>
      <w:r w:rsidRPr="004E26DD">
        <w:rPr>
          <w:rStyle w:val="FootnoteReference"/>
        </w:rPr>
        <w:footnoteReference w:id="10"/>
      </w:r>
      <w:r w:rsidRPr="004E26DD">
        <w:t>,</w:t>
      </w:r>
    </w:p>
    <w:p w:rsidR="000F59AB" w:rsidRPr="004E26DD" w:rsidRDefault="000F59AB" w:rsidP="000F59AB">
      <w:pPr>
        <w:pStyle w:val="NormalHanging12a"/>
      </w:pPr>
      <w:r w:rsidRPr="004E26DD">
        <w:t>–</w:t>
      </w:r>
      <w:r w:rsidRPr="004E26DD">
        <w:tab/>
        <w:t>ņemot vērā Reglamenta 100. pantu un V pielikumu,</w:t>
      </w:r>
    </w:p>
    <w:p w:rsidR="000F59AB" w:rsidRPr="004E26DD" w:rsidRDefault="000F59AB" w:rsidP="000F59AB">
      <w:pPr>
        <w:pStyle w:val="NormalHanging12a"/>
      </w:pPr>
      <w:r w:rsidRPr="004E26DD">
        <w:t>–</w:t>
      </w:r>
      <w:r w:rsidRPr="004E26DD">
        <w:tab/>
        <w:t>ņemot vērā Budžeta kontroles komitejas ziņojumu (A9-0088/2024),</w:t>
      </w:r>
    </w:p>
    <w:p w:rsidR="000F59AB" w:rsidRPr="004E26DD" w:rsidRDefault="000F59AB" w:rsidP="000F59AB">
      <w:pPr>
        <w:pStyle w:val="NormalHanging12a"/>
      </w:pPr>
      <w:r w:rsidRPr="004E26DD">
        <w:t>1.</w:t>
      </w:r>
      <w:r w:rsidRPr="004E26DD">
        <w:tab/>
        <w:t>apstiprina kopuzņēmuma "</w:t>
      </w:r>
      <w:proofErr w:type="spellStart"/>
      <w:r w:rsidRPr="004E26DD">
        <w:t>Apritīga</w:t>
      </w:r>
      <w:proofErr w:type="spellEnd"/>
      <w:r w:rsidRPr="004E26DD">
        <w:t xml:space="preserve"> </w:t>
      </w:r>
      <w:proofErr w:type="spellStart"/>
      <w:r w:rsidRPr="004E26DD">
        <w:t>biobāzēta</w:t>
      </w:r>
      <w:proofErr w:type="spellEnd"/>
      <w:r w:rsidRPr="004E26DD">
        <w:t xml:space="preserve"> Eiropa" 2022. finanšu gada pārskatus;</w:t>
      </w:r>
    </w:p>
    <w:p w:rsidR="000F59AB" w:rsidRPr="004E26DD" w:rsidRDefault="000F59AB" w:rsidP="000F59AB">
      <w:pPr>
        <w:pStyle w:val="NormalHanging12a"/>
      </w:pPr>
      <w:r w:rsidRPr="004E26DD">
        <w:t>2.</w:t>
      </w:r>
      <w:r w:rsidRPr="004E26DD">
        <w:tab/>
        <w:t>uzdod priekšsēdētājai šo lēmumu nosūtīt kopuzņēmuma "</w:t>
      </w:r>
      <w:proofErr w:type="spellStart"/>
      <w:r w:rsidRPr="004E26DD">
        <w:t>Apritīga</w:t>
      </w:r>
      <w:proofErr w:type="spellEnd"/>
      <w:r w:rsidRPr="004E26DD">
        <w:t xml:space="preserve"> </w:t>
      </w:r>
      <w:proofErr w:type="spellStart"/>
      <w:r w:rsidRPr="004E26DD">
        <w:t>biobāzēta</w:t>
      </w:r>
      <w:proofErr w:type="spellEnd"/>
      <w:r w:rsidRPr="004E26DD">
        <w:t xml:space="preserve"> Eiropa" izpilddirektoram, Padomei, Komisijai un Revīzijas palātai un nodrošināt tā publicēšanu </w:t>
      </w:r>
      <w:r w:rsidRPr="004E26DD">
        <w:rPr>
          <w:i/>
          <w:iCs/>
        </w:rPr>
        <w:t>Eiropas Savienības Oficiālajā Vēstnesī</w:t>
      </w:r>
      <w:r w:rsidRPr="004E26DD">
        <w:t xml:space="preserve"> (L sērijā).</w:t>
      </w:r>
    </w:p>
    <w:p w:rsidR="000F59AB" w:rsidRPr="004E26DD" w:rsidRDefault="000F59AB" w:rsidP="000F59AB"/>
    <w:p w:rsidR="000F59AB" w:rsidRPr="004E26DD" w:rsidRDefault="000F59AB" w:rsidP="000F59AB">
      <w:pPr>
        <w:pStyle w:val="PageHeading"/>
        <w:sectPr w:rsidR="000F59AB" w:rsidRPr="004E26DD" w:rsidSect="00791D90">
          <w:footnotePr>
            <w:numRestart w:val="eachPage"/>
          </w:footnotePr>
          <w:endnotePr>
            <w:numFmt w:val="decimal"/>
          </w:endnotePr>
          <w:pgSz w:w="11906" w:h="16838" w:code="9"/>
          <w:pgMar w:top="1134" w:right="1418" w:bottom="1418" w:left="1418" w:header="567" w:footer="567" w:gutter="0"/>
          <w:cols w:space="720"/>
          <w:noEndnote/>
          <w:docGrid w:linePitch="326"/>
        </w:sectPr>
      </w:pPr>
    </w:p>
    <w:p w:rsidR="000F59AB" w:rsidRPr="004E26DD" w:rsidRDefault="003A1650" w:rsidP="004E26DD">
      <w:pPr>
        <w:pStyle w:val="PageHeading"/>
        <w:jc w:val="left"/>
        <w:rPr>
          <w:lang w:eastAsia="fr-FR"/>
        </w:rPr>
      </w:pPr>
      <w:r w:rsidRPr="004E26DD">
        <w:rPr>
          <w:rFonts w:ascii="Times New Roman" w:hAnsi="Times New Roman" w:cs="Times New Roman"/>
          <w:lang w:eastAsia="fr-FR"/>
        </w:rPr>
        <w:lastRenderedPageBreak/>
        <w:t>3. Eiropas Parlamenta 2024. gada 11. aprīļa rezolūcija</w:t>
      </w:r>
      <w:r w:rsidRPr="004E26DD">
        <w:rPr>
          <w:b w:val="0"/>
          <w:lang w:eastAsia="fr-FR"/>
        </w:rPr>
        <w:t xml:space="preserve"> </w:t>
      </w:r>
      <w:r w:rsidR="000F59AB" w:rsidRPr="004E26DD">
        <w:rPr>
          <w:b w:val="0"/>
          <w:lang w:eastAsia="fr-FR"/>
        </w:rPr>
        <w:t>ar konstatējumiem, kas ir neatņemama daļa no lēmuma par kopuzņēmuma "</w:t>
      </w:r>
      <w:proofErr w:type="spellStart"/>
      <w:r w:rsidR="000F59AB" w:rsidRPr="004E26DD">
        <w:rPr>
          <w:b w:val="0"/>
          <w:lang w:eastAsia="fr-FR"/>
        </w:rPr>
        <w:t>Apritīga</w:t>
      </w:r>
      <w:proofErr w:type="spellEnd"/>
      <w:r w:rsidR="000F59AB" w:rsidRPr="004E26DD">
        <w:rPr>
          <w:b w:val="0"/>
          <w:lang w:eastAsia="fr-FR"/>
        </w:rPr>
        <w:t xml:space="preserve"> </w:t>
      </w:r>
      <w:proofErr w:type="spellStart"/>
      <w:r w:rsidR="000F59AB" w:rsidRPr="004E26DD">
        <w:rPr>
          <w:b w:val="0"/>
          <w:lang w:eastAsia="fr-FR"/>
        </w:rPr>
        <w:t>biobāzēta</w:t>
      </w:r>
      <w:proofErr w:type="spellEnd"/>
      <w:r w:rsidR="000F59AB" w:rsidRPr="004E26DD">
        <w:rPr>
          <w:b w:val="0"/>
          <w:lang w:eastAsia="fr-FR"/>
        </w:rPr>
        <w:t xml:space="preserve"> Eiropa" 2022. finanšu gada budžeta izpildes apstiprināšanu</w:t>
      </w:r>
      <w:r w:rsidRPr="004E26DD">
        <w:rPr>
          <w:b w:val="0"/>
          <w:lang w:eastAsia="fr-FR"/>
        </w:rPr>
        <w:t xml:space="preserve"> </w:t>
      </w:r>
      <w:r w:rsidR="000F59AB" w:rsidRPr="004E26DD">
        <w:rPr>
          <w:rFonts w:ascii="Times New Roman" w:hAnsi="Times New Roman" w:cs="Times New Roman"/>
          <w:lang w:eastAsia="fr-FR"/>
        </w:rPr>
        <w:t>(2023/2174(DEC))</w:t>
      </w:r>
    </w:p>
    <w:p w:rsidR="000F59AB" w:rsidRPr="004E26DD" w:rsidRDefault="000F59AB" w:rsidP="000F59AB">
      <w:pPr>
        <w:pStyle w:val="EPComma"/>
      </w:pPr>
      <w:r w:rsidRPr="004E26DD">
        <w:rPr>
          <w:i/>
          <w:iCs/>
        </w:rPr>
        <w:t>Eiropas Parlaments</w:t>
      </w:r>
      <w:r w:rsidRPr="004E26DD">
        <w:t>,</w:t>
      </w:r>
    </w:p>
    <w:p w:rsidR="000F59AB" w:rsidRPr="004E26DD" w:rsidRDefault="000F59AB" w:rsidP="000F59AB">
      <w:pPr>
        <w:pStyle w:val="NormalHanging12a"/>
      </w:pPr>
      <w:r w:rsidRPr="004E26DD">
        <w:t>–</w:t>
      </w:r>
      <w:r w:rsidRPr="004E26DD">
        <w:tab/>
        <w:t>ņemot vērā lēmumu par kopuzņēmuma "</w:t>
      </w:r>
      <w:proofErr w:type="spellStart"/>
      <w:r w:rsidRPr="004E26DD">
        <w:t>Apritīga</w:t>
      </w:r>
      <w:proofErr w:type="spellEnd"/>
      <w:r w:rsidRPr="004E26DD">
        <w:t xml:space="preserve"> </w:t>
      </w:r>
      <w:proofErr w:type="spellStart"/>
      <w:r w:rsidRPr="004E26DD">
        <w:t>biobāzēta</w:t>
      </w:r>
      <w:proofErr w:type="spellEnd"/>
      <w:r w:rsidRPr="004E26DD">
        <w:t xml:space="preserve"> Eiropa" 2022. finanšu gada budžeta izpildes apstiprināšanu,</w:t>
      </w:r>
    </w:p>
    <w:p w:rsidR="000F59AB" w:rsidRPr="004E26DD" w:rsidRDefault="000F59AB" w:rsidP="000F59AB">
      <w:pPr>
        <w:pStyle w:val="NormalHanging12a"/>
      </w:pPr>
      <w:r w:rsidRPr="004E26DD">
        <w:t>–</w:t>
      </w:r>
      <w:r w:rsidRPr="004E26DD">
        <w:tab/>
        <w:t>ņemot vērā Reglamenta 100. pantu un V pielikumu,</w:t>
      </w:r>
    </w:p>
    <w:p w:rsidR="000F59AB" w:rsidRPr="004E26DD" w:rsidRDefault="000F59AB" w:rsidP="000F59AB">
      <w:pPr>
        <w:pStyle w:val="NormalHanging12a"/>
      </w:pPr>
      <w:r w:rsidRPr="004E26DD">
        <w:t>–</w:t>
      </w:r>
      <w:r w:rsidRPr="004E26DD">
        <w:tab/>
        <w:t>ņemot vērā Reģionālās attīstības komitejas un Rūpniecības, pētniecības un enerģētikas komitejas atzinumus,</w:t>
      </w:r>
    </w:p>
    <w:p w:rsidR="000F59AB" w:rsidRPr="004E26DD" w:rsidRDefault="000F59AB" w:rsidP="000F59AB">
      <w:pPr>
        <w:pStyle w:val="NormalHanging12a"/>
      </w:pPr>
      <w:r w:rsidRPr="004E26DD">
        <w:t>–</w:t>
      </w:r>
      <w:r w:rsidRPr="004E26DD">
        <w:tab/>
        <w:t>ņemot vērā Budžeta kontroles komitejas ziņojumu (A9-0088/2024),</w:t>
      </w:r>
    </w:p>
    <w:p w:rsidR="000F59AB" w:rsidRPr="004E26DD" w:rsidRDefault="000F59AB" w:rsidP="000F59AB">
      <w:pPr>
        <w:pStyle w:val="NormalHanging12a"/>
      </w:pPr>
      <w:r w:rsidRPr="004E26DD">
        <w:t>A.</w:t>
      </w:r>
      <w:r w:rsidRPr="004E26DD">
        <w:tab/>
        <w:t>tā kā 2021. gada novembrī saskaņā ar programmu "Apvārsnis Eiropa" uz laikposmu, kas beidzas 2031. gada 31. decembrī, tika izveidots kopuzņēmums "</w:t>
      </w:r>
      <w:proofErr w:type="spellStart"/>
      <w:r w:rsidRPr="004E26DD">
        <w:t>Apritīga</w:t>
      </w:r>
      <w:proofErr w:type="spellEnd"/>
      <w:r w:rsidRPr="004E26DD">
        <w:t xml:space="preserve"> </w:t>
      </w:r>
      <w:proofErr w:type="spellStart"/>
      <w:r w:rsidRPr="004E26DD">
        <w:t>biobāzēta</w:t>
      </w:r>
      <w:proofErr w:type="spellEnd"/>
      <w:r w:rsidRPr="004E26DD">
        <w:t xml:space="preserve"> Eiropa" ("kopuzņēmums "</w:t>
      </w:r>
      <w:r w:rsidRPr="004E26DD">
        <w:rPr>
          <w:i/>
          <w:iCs/>
        </w:rPr>
        <w:t>CBE</w:t>
      </w:r>
      <w:r w:rsidRPr="004E26DD">
        <w:t>""), kas atrodas Briselē</w:t>
      </w:r>
      <w:r w:rsidRPr="004E26DD">
        <w:rPr>
          <w:rStyle w:val="FootnoteReference"/>
        </w:rPr>
        <w:footnoteReference w:id="11"/>
      </w:r>
      <w:r w:rsidRPr="004E26DD">
        <w:t>; tā kā kopuzņēmums "</w:t>
      </w:r>
      <w:r w:rsidRPr="004E26DD">
        <w:rPr>
          <w:i/>
          <w:iCs/>
        </w:rPr>
        <w:t>CBE</w:t>
      </w:r>
      <w:r w:rsidRPr="004E26DD">
        <w:t xml:space="preserve">" aizstāja un bija pēctecis </w:t>
      </w:r>
      <w:proofErr w:type="spellStart"/>
      <w:r w:rsidRPr="004E26DD">
        <w:t>biorūpniecības</w:t>
      </w:r>
      <w:proofErr w:type="spellEnd"/>
      <w:r w:rsidRPr="004E26DD">
        <w:t xml:space="preserve"> kopuzņēmumam ("kopuzņēmums "</w:t>
      </w:r>
      <w:r w:rsidRPr="004E26DD">
        <w:rPr>
          <w:i/>
          <w:iCs/>
        </w:rPr>
        <w:t>BBI</w:t>
      </w:r>
      <w:r w:rsidRPr="004E26DD">
        <w:t>""), kas tika izveidots 2014. gada maijā saskaņā ar programmu "Apvārsnis 2020" uz laiku līdz 2024. gada 31. decembrim</w:t>
      </w:r>
      <w:r w:rsidRPr="004E26DD">
        <w:rPr>
          <w:rStyle w:val="FootnoteReference"/>
        </w:rPr>
        <w:footnoteReference w:id="12"/>
      </w:r>
      <w:r w:rsidRPr="004E26DD">
        <w:t>;</w:t>
      </w:r>
    </w:p>
    <w:p w:rsidR="000F59AB" w:rsidRPr="004E26DD" w:rsidRDefault="000F59AB" w:rsidP="000F59AB">
      <w:pPr>
        <w:pStyle w:val="NormalHanging12a"/>
      </w:pPr>
      <w:r w:rsidRPr="004E26DD">
        <w:t>B.</w:t>
      </w:r>
      <w:r w:rsidRPr="004E26DD">
        <w:tab/>
        <w:t>tā kā kopuzņēmums "</w:t>
      </w:r>
      <w:r w:rsidRPr="004E26DD">
        <w:rPr>
          <w:i/>
          <w:iCs/>
        </w:rPr>
        <w:t>CBE</w:t>
      </w:r>
      <w:r w:rsidRPr="004E26DD">
        <w:t xml:space="preserve">" ir publiskā un privātā sektora partnerība, kas vērsta uz pētniecību un inovāciju ilgtspējīgai un konkurētspējīgai </w:t>
      </w:r>
      <w:proofErr w:type="spellStart"/>
      <w:r w:rsidRPr="004E26DD">
        <w:t>apritīgas</w:t>
      </w:r>
      <w:proofErr w:type="spellEnd"/>
      <w:r w:rsidRPr="004E26DD">
        <w:t xml:space="preserve"> </w:t>
      </w:r>
      <w:proofErr w:type="spellStart"/>
      <w:r w:rsidRPr="004E26DD">
        <w:t>biorūpniecības</w:t>
      </w:r>
      <w:proofErr w:type="spellEnd"/>
      <w:r w:rsidRPr="004E26DD">
        <w:t xml:space="preserve"> nozarei; tā kā tā dibinātāji ir Savienība, kuru pārstāv Komisija, un nozares partneri, kurus pārstāv </w:t>
      </w:r>
      <w:proofErr w:type="spellStart"/>
      <w:r w:rsidRPr="004E26DD">
        <w:t>Biorūpniecības</w:t>
      </w:r>
      <w:proofErr w:type="spellEnd"/>
      <w:r w:rsidRPr="004E26DD">
        <w:t xml:space="preserve"> konsorcijs;</w:t>
      </w:r>
    </w:p>
    <w:p w:rsidR="000F59AB" w:rsidRPr="004E26DD" w:rsidRDefault="000F59AB" w:rsidP="000F59AB">
      <w:pPr>
        <w:pStyle w:val="NormalHanging12a"/>
      </w:pPr>
      <w:r w:rsidRPr="004E26DD">
        <w:t>C.</w:t>
      </w:r>
      <w:r w:rsidRPr="004E26DD">
        <w:tab/>
        <w:t xml:space="preserve">tā kā, lai palielinātu </w:t>
      </w:r>
      <w:proofErr w:type="spellStart"/>
      <w:r w:rsidRPr="004E26DD">
        <w:t>pārredzamību</w:t>
      </w:r>
      <w:proofErr w:type="spellEnd"/>
      <w:r w:rsidRPr="004E26DD">
        <w:t>, kopuzņēmumam "</w:t>
      </w:r>
      <w:r w:rsidRPr="004E26DD">
        <w:rPr>
          <w:i/>
          <w:iCs/>
        </w:rPr>
        <w:t>CBE</w:t>
      </w:r>
      <w:r w:rsidRPr="004E26DD">
        <w:t>" savos gada pārskatos būtu jānorāda attiecīgā informācija par dalībnieku iemaksām programmu līmenī; tā kā par katru programmu, saskaņā ar kuru kopuzņēmumi darbojas, kopuzņēmumam "</w:t>
      </w:r>
      <w:r w:rsidRPr="004E26DD">
        <w:rPr>
          <w:i/>
          <w:iCs/>
        </w:rPr>
        <w:t>CBE</w:t>
      </w:r>
      <w:r w:rsidRPr="004E26DD">
        <w:t xml:space="preserve">" līdz gada beigām jāsniedz visa attiecīgā informācija par katru dalībnieku kategoriju, tostarp attiecīgajai programmai juridiski noteiktie iemaksu </w:t>
      </w:r>
      <w:proofErr w:type="spellStart"/>
      <w:r w:rsidRPr="004E26DD">
        <w:t>mērķrādītāji</w:t>
      </w:r>
      <w:proofErr w:type="spellEnd"/>
      <w:r w:rsidRPr="004E26DD">
        <w:t>, saņemto iemaksu apmērs un juridisko saistību apmērs, tā kā kopuzņēmumam "</w:t>
      </w:r>
      <w:r w:rsidRPr="004E26DD">
        <w:rPr>
          <w:i/>
          <w:iCs/>
        </w:rPr>
        <w:t>CBE</w:t>
      </w:r>
      <w:r w:rsidRPr="004E26DD">
        <w:t xml:space="preserve">" būtu jāturpina uzlabot </w:t>
      </w:r>
      <w:proofErr w:type="spellStart"/>
      <w:r w:rsidRPr="004E26DD">
        <w:t>pārredzamību</w:t>
      </w:r>
      <w:proofErr w:type="spellEnd"/>
      <w:r w:rsidRPr="004E26DD">
        <w:t>;</w:t>
      </w:r>
    </w:p>
    <w:p w:rsidR="000F59AB" w:rsidRPr="004E26DD" w:rsidRDefault="000F59AB" w:rsidP="000F59AB">
      <w:pPr>
        <w:pStyle w:val="NormalHanging12a"/>
        <w:jc w:val="both"/>
        <w:rPr>
          <w:b/>
          <w:i/>
        </w:rPr>
      </w:pPr>
      <w:r w:rsidRPr="004E26DD">
        <w:rPr>
          <w:b/>
          <w:i/>
        </w:rPr>
        <w:t>Vispārīga informācija</w:t>
      </w:r>
    </w:p>
    <w:p w:rsidR="000F59AB" w:rsidRPr="004E26DD" w:rsidRDefault="000F59AB" w:rsidP="000F59AB">
      <w:pPr>
        <w:pStyle w:val="NormalHanging12a"/>
      </w:pPr>
      <w:r w:rsidRPr="004E26DD">
        <w:t>1.</w:t>
      </w:r>
      <w:r w:rsidRPr="004E26DD">
        <w:tab/>
        <w:t>norāda, ka saskaņā ar Revīzijas palātas ziņojumu par kopuzņēmuma "</w:t>
      </w:r>
      <w:r w:rsidRPr="004E26DD">
        <w:rPr>
          <w:i/>
          <w:iCs/>
        </w:rPr>
        <w:t>CBE</w:t>
      </w:r>
      <w:r w:rsidRPr="004E26DD">
        <w:t>" 2022. finanšu gada pārskatiem ("Revīzijas palātas ziņojums")</w:t>
      </w:r>
      <w:r w:rsidRPr="004E26DD">
        <w:rPr>
          <w:rStyle w:val="FootnoteReference"/>
        </w:rPr>
        <w:footnoteReference w:id="13"/>
      </w:r>
      <w:r w:rsidRPr="004E26DD">
        <w:t xml:space="preserve"> šie gada pārskati visos būtiskajos aspektos patiesi atspoguļo kopuzņēmuma "</w:t>
      </w:r>
      <w:r w:rsidRPr="004E26DD">
        <w:rPr>
          <w:i/>
          <w:iCs/>
        </w:rPr>
        <w:t>CBE</w:t>
      </w:r>
      <w:r w:rsidRPr="004E26DD">
        <w:t xml:space="preserve">" finanšu stāvokli 2022. gada </w:t>
      </w:r>
      <w:r w:rsidRPr="004E26DD">
        <w:lastRenderedPageBreak/>
        <w:t>31. decembrī, tā darbību rezultātus, naudas plūsmas un neto aktīvu pārmaiņas minētajā datumā slēgtajā gadā saskaņā ar kopuzņēmuma finanšu noteikumiem un Komisijas grāmatveža pieņemtajiem grāmatvedības noteikumiem; pieņem zināšanai arī to, ka saskaņā ar Revīzijas palātas ziņojumu pārskatiem pakārtotie darījumi visos būtiskajos aspektos ir likumīgi un pareizi;</w:t>
      </w:r>
    </w:p>
    <w:p w:rsidR="000F59AB" w:rsidRPr="004E26DD" w:rsidRDefault="000F59AB" w:rsidP="000F59AB">
      <w:pPr>
        <w:pStyle w:val="NormalHanging12a"/>
      </w:pPr>
      <w:r w:rsidRPr="004E26DD">
        <w:t>2.</w:t>
      </w:r>
      <w:r w:rsidRPr="004E26DD">
        <w:tab/>
        <w:t>atzinīgi vērtē kopuzņēmuma "</w:t>
      </w:r>
      <w:r w:rsidRPr="004E26DD">
        <w:rPr>
          <w:i/>
          <w:iCs/>
        </w:rPr>
        <w:t>CBE</w:t>
      </w:r>
      <w:r w:rsidRPr="004E26DD">
        <w:t xml:space="preserve">" lomu konkurētspējīgu aprites </w:t>
      </w:r>
      <w:proofErr w:type="spellStart"/>
      <w:r w:rsidRPr="004E26DD">
        <w:t>biorūpniecības</w:t>
      </w:r>
      <w:proofErr w:type="spellEnd"/>
      <w:r w:rsidRPr="004E26DD">
        <w:t xml:space="preserve"> nozaru veicināšanā Savienībā;</w:t>
      </w:r>
    </w:p>
    <w:p w:rsidR="000F59AB" w:rsidRPr="004E26DD" w:rsidRDefault="000F59AB" w:rsidP="000F59AB">
      <w:pPr>
        <w:pStyle w:val="NormalHanging12a"/>
      </w:pPr>
      <w:r w:rsidRPr="004E26DD">
        <w:t>3.</w:t>
      </w:r>
      <w:r w:rsidRPr="004E26DD">
        <w:tab/>
        <w:t>norāda, ka izmaiņas kopuzņēmuma "</w:t>
      </w:r>
      <w:r w:rsidRPr="004E26DD">
        <w:rPr>
          <w:i/>
          <w:iCs/>
        </w:rPr>
        <w:t>CBE</w:t>
      </w:r>
      <w:r w:rsidRPr="004E26DD">
        <w:t>" budžeta apmērā lielā mērā ir atkarīgas no to daudzgadu pētniecības un inovācijas programmu īstenošanas posma, kuras tas īsteno;</w:t>
      </w:r>
    </w:p>
    <w:p w:rsidR="000F59AB" w:rsidRPr="004E26DD" w:rsidRDefault="000F59AB" w:rsidP="000F59AB">
      <w:pPr>
        <w:pStyle w:val="NormalHanging12a"/>
      </w:pPr>
      <w:r w:rsidRPr="004E26DD">
        <w:t>4.</w:t>
      </w:r>
      <w:r w:rsidRPr="004E26DD">
        <w:tab/>
        <w:t>norāda, ka 2022. gadā kopuzņēmums "</w:t>
      </w:r>
      <w:r w:rsidRPr="004E26DD">
        <w:rPr>
          <w:i/>
          <w:iCs/>
        </w:rPr>
        <w:t>CBE</w:t>
      </w:r>
      <w:r w:rsidRPr="004E26DD">
        <w:t>" sāka īstenot programmu "Apvārsnis Eiropa" un tāpēc 2022. gada budžetā ir iekļauts saistību budžets pirmajiem "Apvārsnis Eiropa" uzaicinājumiem iesniegt priekšlikumus, kas plānoti 2021. un 2022. gadā;</w:t>
      </w:r>
    </w:p>
    <w:p w:rsidR="000F59AB" w:rsidRPr="004E26DD" w:rsidRDefault="000F59AB" w:rsidP="000F59AB">
      <w:pPr>
        <w:pStyle w:val="NormalHanging12a"/>
        <w:jc w:val="both"/>
        <w:rPr>
          <w:b/>
          <w:i/>
        </w:rPr>
      </w:pPr>
      <w:r w:rsidRPr="004E26DD">
        <w:rPr>
          <w:b/>
          <w:i/>
        </w:rPr>
        <w:t>Budžeta un finanšu pārvaldība</w:t>
      </w:r>
    </w:p>
    <w:p w:rsidR="000F59AB" w:rsidRPr="004E26DD" w:rsidRDefault="000F59AB" w:rsidP="000F59AB">
      <w:pPr>
        <w:pStyle w:val="NormalHanging12a"/>
      </w:pPr>
      <w:r w:rsidRPr="004E26DD">
        <w:t>5.</w:t>
      </w:r>
      <w:r w:rsidRPr="004E26DD">
        <w:tab/>
        <w:t>norāda, ka saskaņā ar kopuzņēmuma "</w:t>
      </w:r>
      <w:r w:rsidRPr="004E26DD">
        <w:rPr>
          <w:i/>
          <w:iCs/>
        </w:rPr>
        <w:t>CBE</w:t>
      </w:r>
      <w:r w:rsidRPr="004E26DD">
        <w:t>" konsolidēto gada darbības pārskatu 2022. gadam</w:t>
      </w:r>
      <w:r w:rsidRPr="004E26DD">
        <w:rPr>
          <w:rStyle w:val="FootnoteReference"/>
        </w:rPr>
        <w:footnoteReference w:id="14"/>
      </w:r>
      <w:r w:rsidRPr="004E26DD">
        <w:t xml:space="preserve"> kopējais pieejamais budžets 2022. gadam bija 264,2 miljoni EUR saistību apropriācijās un 80,3 miljoni EUR maksājumu apropriācijās</w:t>
      </w:r>
      <w:r w:rsidRPr="004E26DD">
        <w:rPr>
          <w:rStyle w:val="FootnoteReference"/>
        </w:rPr>
        <w:footnoteReference w:id="15"/>
      </w:r>
      <w:r w:rsidRPr="004E26DD">
        <w:t>; attiecībā uz budžeta izpildi atzīmē, ka saistību apropriācijās apgūti 125 miljoni EUR (izpilde 47 % apmērā)</w:t>
      </w:r>
      <w:r w:rsidRPr="004E26DD">
        <w:rPr>
          <w:rStyle w:val="FootnoteReference"/>
        </w:rPr>
        <w:footnoteReference w:id="16"/>
      </w:r>
      <w:r w:rsidRPr="004E26DD">
        <w:t xml:space="preserve"> un maksājumu apropriācijās — 52 miljoni EUR (izpilde 65 % apmērā)</w:t>
      </w:r>
      <w:r w:rsidRPr="004E26DD">
        <w:rPr>
          <w:rStyle w:val="FootnoteReference"/>
        </w:rPr>
        <w:footnoteReference w:id="17"/>
      </w:r>
      <w:r w:rsidRPr="004E26DD">
        <w:t>;</w:t>
      </w:r>
    </w:p>
    <w:p w:rsidR="000F59AB" w:rsidRPr="004E26DD" w:rsidRDefault="000F59AB" w:rsidP="000F59AB">
      <w:pPr>
        <w:pStyle w:val="NormalHanging12a"/>
      </w:pPr>
      <w:r w:rsidRPr="004E26DD">
        <w:t>6.</w:t>
      </w:r>
      <w:r w:rsidRPr="004E26DD">
        <w:tab/>
        <w:t>norāda, ka valde pieņēma kopuzņēmuma "</w:t>
      </w:r>
      <w:r w:rsidRPr="004E26DD">
        <w:rPr>
          <w:i/>
          <w:iCs/>
        </w:rPr>
        <w:t>CBE</w:t>
      </w:r>
      <w:r w:rsidRPr="004E26DD">
        <w:t>" 2022. gada budžetu divos posmos — 2021. gada 16. decembrī notika balsojums par no kopuzņēmuma "</w:t>
      </w:r>
      <w:r w:rsidRPr="004E26DD">
        <w:rPr>
          <w:i/>
          <w:iCs/>
        </w:rPr>
        <w:t>BBI</w:t>
      </w:r>
      <w:r w:rsidRPr="004E26DD">
        <w:t>" pārņemto budžeta daļu —kopumā 6 miljoni EUR saistību apropriācijās (SA) un 85,6 miljoni EUR maksājumu apropriācijās (MA)</w:t>
      </w:r>
      <w:r w:rsidRPr="004E26DD">
        <w:rPr>
          <w:rStyle w:val="FootnoteReference"/>
        </w:rPr>
        <w:footnoteReference w:id="18"/>
      </w:r>
      <w:r w:rsidRPr="004E26DD">
        <w:t>;</w:t>
      </w:r>
    </w:p>
    <w:p w:rsidR="000F59AB" w:rsidRPr="004E26DD" w:rsidRDefault="000F59AB" w:rsidP="000F59AB">
      <w:pPr>
        <w:pStyle w:val="NormalHanging12a"/>
      </w:pPr>
      <w:r w:rsidRPr="004E26DD">
        <w:t>7.</w:t>
      </w:r>
      <w:r w:rsidRPr="004E26DD">
        <w:tab/>
        <w:t>turklāt norāda, ka kopuzņēmuma "</w:t>
      </w:r>
      <w:r w:rsidRPr="004E26DD">
        <w:rPr>
          <w:i/>
          <w:iCs/>
        </w:rPr>
        <w:t>CBE</w:t>
      </w:r>
      <w:r w:rsidRPr="004E26DD">
        <w:t>" pilnvarojumā dotācijas netika parakstītas, bet kopuzņēmuma "</w:t>
      </w:r>
      <w:r w:rsidRPr="004E26DD">
        <w:rPr>
          <w:i/>
          <w:iCs/>
        </w:rPr>
        <w:t>BBI</w:t>
      </w:r>
      <w:r w:rsidRPr="004E26DD">
        <w:t>" pilnvarojumā tika parakstītas 142 dotācijas par kopējo vērtību 822 miljoni EUR;</w:t>
      </w:r>
    </w:p>
    <w:p w:rsidR="000F59AB" w:rsidRPr="004E26DD" w:rsidRDefault="000F59AB" w:rsidP="000F59AB">
      <w:pPr>
        <w:pStyle w:val="NormalHanging12a"/>
      </w:pPr>
      <w:r w:rsidRPr="004E26DD">
        <w:t>8.</w:t>
      </w:r>
      <w:r w:rsidRPr="004E26DD">
        <w:tab/>
        <w:t>norāda, ka 2022. gada 31. maijā tika veikts budžeta grozījums, lai pievienotu kopuzņēmuma "</w:t>
      </w:r>
      <w:r w:rsidRPr="004E26DD">
        <w:rPr>
          <w:i/>
          <w:iCs/>
        </w:rPr>
        <w:t>CBE</w:t>
      </w:r>
      <w:r w:rsidRPr="004E26DD">
        <w:t>" 2022. gada (jauno) budžetu, kas ietvēra SA 254,9 miljonu EUR apmērā un MA 1,7 miljonu EUR apmērā; norāda, ka grozījums ietvēra arī kopuzņēmuma "</w:t>
      </w:r>
      <w:r w:rsidRPr="004E26DD">
        <w:rPr>
          <w:i/>
          <w:iCs/>
        </w:rPr>
        <w:t>BBI</w:t>
      </w:r>
      <w:r w:rsidRPr="004E26DD">
        <w:t>" atjaunoto pamatdarbības MA samazinājumu par 11,2 miljoniem EUR, jo šajā posmā tās tika uzskatītas par vajadzību pārsniegumu (tas SA budžeta grozījuma kopsummu samazināja par 9,6 miljoniem EUR);</w:t>
      </w:r>
    </w:p>
    <w:p w:rsidR="000F59AB" w:rsidRPr="004E26DD" w:rsidRDefault="000F59AB" w:rsidP="000F59AB">
      <w:pPr>
        <w:pStyle w:val="NormalHanging12a"/>
      </w:pPr>
      <w:r w:rsidRPr="004E26DD">
        <w:t>9.</w:t>
      </w:r>
      <w:r w:rsidRPr="004E26DD">
        <w:tab/>
        <w:t xml:space="preserve">norāda, ka 2022. gada 28. novembrī cits budžeta grozījums nodrošināja papildu MA </w:t>
      </w:r>
      <w:r w:rsidRPr="004E26DD">
        <w:lastRenderedPageBreak/>
        <w:t>1 miljona EUR apmērā kopuzņēmuma "</w:t>
      </w:r>
      <w:r w:rsidRPr="004E26DD">
        <w:rPr>
          <w:i/>
          <w:iCs/>
        </w:rPr>
        <w:t>CBE</w:t>
      </w:r>
      <w:r w:rsidRPr="004E26DD">
        <w:t>" ekspertu vērtētājiem 3. sadaļā</w:t>
      </w:r>
      <w:r w:rsidRPr="004E26DD">
        <w:rPr>
          <w:rStyle w:val="FootnoteReference"/>
        </w:rPr>
        <w:footnoteReference w:id="19"/>
      </w:r>
      <w:r w:rsidRPr="004E26DD">
        <w:t xml:space="preserve"> un lai grāmatvedības līmenī atspoguļotu Eiropas Komisijas pieeju MA attiecībā uz ekspertu vērtētājiem uzaicinājumos iesniegt priekšlikumus;</w:t>
      </w:r>
    </w:p>
    <w:p w:rsidR="000F59AB" w:rsidRPr="004E26DD" w:rsidRDefault="000F59AB" w:rsidP="000F59AB">
      <w:pPr>
        <w:pStyle w:val="NormalHanging12a"/>
      </w:pPr>
      <w:r w:rsidRPr="004E26DD">
        <w:t>10.</w:t>
      </w:r>
      <w:r w:rsidRPr="004E26DD">
        <w:tab/>
        <w:t>norāda, ka sākotnējā kopuzņēmuma "</w:t>
      </w:r>
      <w:r w:rsidRPr="004E26DD">
        <w:rPr>
          <w:i/>
          <w:iCs/>
        </w:rPr>
        <w:t>BBI</w:t>
      </w:r>
      <w:r w:rsidRPr="004E26DD">
        <w:t>" budžetā bija iekļauts samērā liels neizmantotā budžeta pārpalikums no iepriekšējiem gadiem (2019., 2020. un 2021. gads): administratīvajā pusē — 1,1 miljons EUR SA un 1,6 miljoni EUR MA, un darbības pusē — 40 miljoni EUR MA;</w:t>
      </w:r>
    </w:p>
    <w:p w:rsidR="000F59AB" w:rsidRPr="004E26DD" w:rsidRDefault="000F59AB" w:rsidP="000F59AB">
      <w:pPr>
        <w:pStyle w:val="NormalHanging12a"/>
      </w:pPr>
      <w:r w:rsidRPr="004E26DD">
        <w:t>11.</w:t>
      </w:r>
      <w:r w:rsidRPr="004E26DD">
        <w:tab/>
        <w:t>norāda, ka šīs atjaunotās apropriācijas tika tērētas saskaņā ar kopuzņēmuma "</w:t>
      </w:r>
      <w:r w:rsidRPr="004E26DD">
        <w:rPr>
          <w:i/>
          <w:iCs/>
        </w:rPr>
        <w:t>CBE</w:t>
      </w:r>
      <w:r w:rsidRPr="004E26DD">
        <w:t>" finanšu noteikumu 6. panta 5. punktu un līdz gada beigām bija izlietoti 69 % no administratīvās puses SA, 88 % no administratīvās puses MA un 100 % no pamatdarbības puses MA; norāda, ka galvenais iemesls zemākai administratīvā budžeta izpildei ir tas, ka līdz pašām gada beigām 2. sadaļas</w:t>
      </w:r>
      <w:r w:rsidRPr="004E26DD">
        <w:rPr>
          <w:rStyle w:val="FootnoteReference"/>
        </w:rPr>
        <w:footnoteReference w:id="20"/>
      </w:r>
      <w:r w:rsidRPr="004E26DD">
        <w:t xml:space="preserve"> komunikāciju budžeta pozīcijās tika saglabāta pieejama liela apropriāciju summa, lai uzņemtos saistības par līgumu rīkot 2023. gadā paredzēto Ieinteresēto personu foruma pasākumu;</w:t>
      </w:r>
    </w:p>
    <w:p w:rsidR="000F59AB" w:rsidRPr="004E26DD" w:rsidRDefault="000F59AB" w:rsidP="000F59AB">
      <w:pPr>
        <w:pStyle w:val="NormalHanging12a"/>
      </w:pPr>
      <w:r w:rsidRPr="004E26DD">
        <w:t>12.</w:t>
      </w:r>
      <w:r w:rsidRPr="004E26DD">
        <w:tab/>
        <w:t>tomēr norāda, ka saskaņā ar kopuzņēmuma "</w:t>
      </w:r>
      <w:r w:rsidRPr="004E26DD">
        <w:rPr>
          <w:i/>
          <w:iCs/>
        </w:rPr>
        <w:t>CBE</w:t>
      </w:r>
      <w:r w:rsidRPr="004E26DD">
        <w:t>" sniegto informāciju to nebija iespējams paveikt — līgums galu galā tika parakstīts 2023. gada janvāra vidū, un apropriācijas tika atjaunotas 2023. un 2024. gada budžetā;</w:t>
      </w:r>
    </w:p>
    <w:p w:rsidR="000F59AB" w:rsidRPr="004E26DD" w:rsidRDefault="000F59AB" w:rsidP="000F59AB">
      <w:pPr>
        <w:pStyle w:val="NormalHanging12a"/>
      </w:pPr>
      <w:r w:rsidRPr="004E26DD">
        <w:t>13.</w:t>
      </w:r>
      <w:r w:rsidRPr="004E26DD">
        <w:tab/>
        <w:t>norāda, ka 2022. gada beigās kopuzņēmuma "</w:t>
      </w:r>
      <w:r w:rsidRPr="004E26DD">
        <w:rPr>
          <w:i/>
          <w:iCs/>
        </w:rPr>
        <w:t>BBI</w:t>
      </w:r>
      <w:r w:rsidRPr="004E26DD">
        <w:t>" neizmantoto apropriāciju kopējais pārpalikums bija 1,1 miljons EUR administratīvo SA un 1,5 miljoni EUR administratīvo MA, kā arī 25,2 miljoni EUR pamatdarbības MA;</w:t>
      </w:r>
    </w:p>
    <w:p w:rsidR="000F59AB" w:rsidRPr="004E26DD" w:rsidRDefault="000F59AB" w:rsidP="000F59AB">
      <w:pPr>
        <w:pStyle w:val="NormalHanging12a"/>
      </w:pPr>
      <w:r w:rsidRPr="004E26DD">
        <w:t>14.</w:t>
      </w:r>
      <w:r w:rsidRPr="004E26DD">
        <w:tab/>
        <w:t>norāda, ka no kopuzņēmuma "</w:t>
      </w:r>
      <w:r w:rsidRPr="004E26DD">
        <w:rPr>
          <w:i/>
          <w:iCs/>
        </w:rPr>
        <w:t>CBE</w:t>
      </w:r>
      <w:r w:rsidRPr="004E26DD">
        <w:t>" puses nebija būtisku atjaunotu apropriāciju, jo pirms 2021. gada tam nebija pieprasīts budžets; tomēr norāda, ka par budžetu, kas sākotnēji bija paredzēts kopuzņēmumam "</w:t>
      </w:r>
      <w:r w:rsidRPr="004E26DD">
        <w:rPr>
          <w:i/>
          <w:iCs/>
        </w:rPr>
        <w:t>CBE</w:t>
      </w:r>
      <w:r w:rsidRPr="004E26DD">
        <w:t>" no Komisijas puses (tostarp 2021. gada uzaicinājumam iesniegt priekšlikumus, kas netika īstenots), uzņēmās saistības RTD ĢD, un kopuzņēmumam "</w:t>
      </w:r>
      <w:r w:rsidRPr="004E26DD">
        <w:rPr>
          <w:i/>
          <w:iCs/>
        </w:rPr>
        <w:t>CBE</w:t>
      </w:r>
      <w:r w:rsidRPr="004E26DD">
        <w:t>" savā 2022. gada administratīvajā un pamatdarbības budžetā bija jāpārņem kopuzņēmuma "</w:t>
      </w:r>
      <w:r w:rsidRPr="004E26DD">
        <w:rPr>
          <w:i/>
          <w:iCs/>
        </w:rPr>
        <w:t>CBE</w:t>
      </w:r>
      <w:r w:rsidRPr="004E26DD">
        <w:t>" paredzētās SA un MA gan 2021. gadam, gan 2022. gadam;</w:t>
      </w:r>
    </w:p>
    <w:p w:rsidR="000F59AB" w:rsidRPr="004E26DD" w:rsidRDefault="000F59AB" w:rsidP="000F59AB">
      <w:pPr>
        <w:pStyle w:val="NormalHanging12a"/>
      </w:pPr>
      <w:r w:rsidRPr="004E26DD">
        <w:t>15.</w:t>
      </w:r>
      <w:r w:rsidRPr="004E26DD">
        <w:tab/>
        <w:t>turklāt norāda, ka administratīvajā pusē no kopuzņēmuma "</w:t>
      </w:r>
      <w:r w:rsidRPr="004E26DD">
        <w:rPr>
          <w:i/>
          <w:iCs/>
        </w:rPr>
        <w:t>BBI</w:t>
      </w:r>
      <w:r w:rsidRPr="004E26DD">
        <w:t>" pārņemtā budžeta izpilde būs prioritāra līdz 2024. gada beigām, jo 2022. gadā kopuzņēmuma "</w:t>
      </w:r>
      <w:r w:rsidRPr="004E26DD">
        <w:rPr>
          <w:i/>
          <w:iCs/>
        </w:rPr>
        <w:t>CBE</w:t>
      </w:r>
      <w:r w:rsidRPr="004E26DD">
        <w:t>" administratīvais budžets gandrīz nemaz netika pildīts; norāda, ka tas samazina kopējo budžeta izpildi, bet šīs izpētes mērķiem reālistiskam salīdzinājumam tiks norādīti arī kopuzņēmuma "</w:t>
      </w:r>
      <w:r w:rsidRPr="004E26DD">
        <w:rPr>
          <w:i/>
          <w:iCs/>
        </w:rPr>
        <w:t>BBI</w:t>
      </w:r>
      <w:r w:rsidRPr="004E26DD">
        <w:t>" izpildes rādītāji — tikai administratīvais budžets;</w:t>
      </w:r>
    </w:p>
    <w:p w:rsidR="000F59AB" w:rsidRPr="004E26DD" w:rsidRDefault="000F59AB" w:rsidP="000F59AB">
      <w:pPr>
        <w:pStyle w:val="NormalHanging12a"/>
      </w:pPr>
      <w:r w:rsidRPr="004E26DD">
        <w:t>16.</w:t>
      </w:r>
      <w:r w:rsidRPr="004E26DD">
        <w:tab/>
        <w:t>pēc iepazīšanās ar Revīzijas palātas ziņojumu norāda, ka kopuzņēmuma 2022. gada pārskatos pa dalībnieku kategorijām (Savienības un privātā sektora dalībnieki) norādītās atzītās iemaksu summas ievērojami atšķiras; apzinās, ka tas ir tāpēc, ka Savienības naudas iemaksas tiek validētas un atzītas, kad tās tiek izmaksātas kopuzņēmumam projekta īstenošanas sākumā, bet dalībnieku iemaksas natūrā tiek atzītas tikai pēc projekta īstenošanā radušos un deklarēto izmaksu validācijas;</w:t>
      </w:r>
    </w:p>
    <w:p w:rsidR="000F59AB" w:rsidRPr="004E26DD" w:rsidRDefault="000F59AB" w:rsidP="000F59AB">
      <w:pPr>
        <w:pStyle w:val="NormalHanging12a"/>
      </w:pPr>
      <w:r w:rsidRPr="004E26DD">
        <w:lastRenderedPageBreak/>
        <w:t>17.</w:t>
      </w:r>
      <w:r w:rsidRPr="004E26DD">
        <w:tab/>
        <w:t>aicina kopuzņēmumu "</w:t>
      </w:r>
      <w:r w:rsidRPr="004E26DD">
        <w:rPr>
          <w:i/>
          <w:iCs/>
        </w:rPr>
        <w:t>CBE</w:t>
      </w:r>
      <w:r w:rsidRPr="004E26DD">
        <w:t>" risināt jautājumu par starpību starp atzītajām summām, ko veido iemaksas naudā, no vienas puses, un iemaksas natūrā, no otras puses, sniedzot informāciju par kopuzņēmuma "</w:t>
      </w:r>
      <w:r w:rsidRPr="004E26DD">
        <w:rPr>
          <w:i/>
          <w:iCs/>
        </w:rPr>
        <w:t>CBE</w:t>
      </w:r>
      <w:r w:rsidRPr="004E26DD">
        <w:t>" dalībnieku juridiskajām saistībām gada beigās, ņemot vērā parakstītos dotācijas nolīgumus un pasūtījuma līgumus; atzinīgi vērtē kopuzņēmuma "</w:t>
      </w:r>
      <w:r w:rsidRPr="004E26DD">
        <w:rPr>
          <w:i/>
          <w:iCs/>
        </w:rPr>
        <w:t>CBE</w:t>
      </w:r>
      <w:r w:rsidRPr="004E26DD">
        <w:t>" apņemšanos risināt šo jautājumu nākamā gada pārskatos;</w:t>
      </w:r>
    </w:p>
    <w:p w:rsidR="000F59AB" w:rsidRPr="004E26DD" w:rsidRDefault="000F59AB" w:rsidP="000F59AB">
      <w:pPr>
        <w:pStyle w:val="NormalHanging12a"/>
      </w:pPr>
      <w:r w:rsidRPr="004E26DD">
        <w:t>18.</w:t>
      </w:r>
      <w:r w:rsidRPr="004E26DD">
        <w:tab/>
        <w:t>norāda, ka pamatdarbībām validētās privātā sektora dalībnieku iemaksas natūrā joprojām bija nelielas (65,9 miljoni EUR), jo kopuzņēmums "</w:t>
      </w:r>
      <w:r w:rsidRPr="004E26DD">
        <w:rPr>
          <w:i/>
          <w:iCs/>
        </w:rPr>
        <w:t>CBE</w:t>
      </w:r>
      <w:r w:rsidRPr="004E26DD">
        <w:t>" tās apliecina tikai tad, kad ir veikts galīgais maksājums par pamatprogrammas "Apvārsnis 2020" projektiem un kad ir jāiesniedz apliecinājumi par finanšu pārskatiem;</w:t>
      </w:r>
    </w:p>
    <w:p w:rsidR="000F59AB" w:rsidRPr="004E26DD" w:rsidRDefault="000F59AB" w:rsidP="000F59AB">
      <w:pPr>
        <w:pStyle w:val="NormalHanging12a"/>
      </w:pPr>
      <w:r w:rsidRPr="004E26DD">
        <w:t>19.</w:t>
      </w:r>
      <w:r w:rsidRPr="004E26DD">
        <w:tab/>
        <w:t xml:space="preserve">ar bažām norāda, ka programmas "Apvārsnis 2020" īstenošanas beigās privātā sektora dalībnieki nesasniegs savus pamatdarbībām paredzēto indikatīvo iemaksu </w:t>
      </w:r>
      <w:proofErr w:type="spellStart"/>
      <w:r w:rsidRPr="004E26DD">
        <w:t>mērķrādītājus</w:t>
      </w:r>
      <w:proofErr w:type="spellEnd"/>
      <w:r w:rsidRPr="004E26DD">
        <w:t>;</w:t>
      </w:r>
    </w:p>
    <w:p w:rsidR="000F59AB" w:rsidRPr="004E26DD" w:rsidRDefault="000F59AB" w:rsidP="000F59AB">
      <w:pPr>
        <w:pStyle w:val="NormalHanging12a"/>
      </w:pPr>
      <w:r w:rsidRPr="004E26DD">
        <w:t>20.</w:t>
      </w:r>
      <w:r w:rsidRPr="004E26DD">
        <w:tab/>
        <w:t>atzīmē riskus kopuzņēmumam "</w:t>
      </w:r>
      <w:r w:rsidRPr="004E26DD">
        <w:rPr>
          <w:i/>
          <w:iCs/>
        </w:rPr>
        <w:t>CBE</w:t>
      </w:r>
      <w:r w:rsidRPr="004E26DD">
        <w:t xml:space="preserve">" saistībā ar programmu īstenošanu, ja privātā sektora dalībnieki līdz pamatprogrammas "Apvārsnis 2020" beigām nesasniegs savus iemaksu minimālos </w:t>
      </w:r>
      <w:proofErr w:type="spellStart"/>
      <w:r w:rsidRPr="004E26DD">
        <w:t>mērķrādītājus</w:t>
      </w:r>
      <w:proofErr w:type="spellEnd"/>
      <w:r w:rsidRPr="004E26DD">
        <w:t>;</w:t>
      </w:r>
    </w:p>
    <w:p w:rsidR="000F59AB" w:rsidRPr="004E26DD" w:rsidRDefault="000F59AB" w:rsidP="000F59AB">
      <w:pPr>
        <w:pStyle w:val="NormalHanging12a"/>
      </w:pPr>
      <w:r w:rsidRPr="004E26DD">
        <w:t>21.</w:t>
      </w:r>
      <w:r w:rsidRPr="004E26DD">
        <w:tab/>
        <w:t>norāda, ka, attiecībā uz kopuzņēmuma "</w:t>
      </w:r>
      <w:r w:rsidRPr="004E26DD">
        <w:rPr>
          <w:i/>
          <w:iCs/>
        </w:rPr>
        <w:t>CBE</w:t>
      </w:r>
      <w:r w:rsidRPr="004E26DD">
        <w:t>" sasniegumiem saistībā ar pamatprogrammu "Apvārsnis 2020", kopuzņēmums "</w:t>
      </w:r>
      <w:r w:rsidRPr="004E26DD">
        <w:rPr>
          <w:i/>
          <w:iCs/>
        </w:rPr>
        <w:t>CBE</w:t>
      </w:r>
      <w:r w:rsidRPr="004E26DD">
        <w:t>" 2022. gada beigās bija pilnībā uzņēmies saistības par maksimālajām Savienības pamatdarbības iemaksām 815,8 miljonu EUR apmērā par pamatprogrammā "Apvārsnis 2020" parakstītajiem dotācijas nolīgumiem; turklāt norāda, ka no šīs summas, par kuru uzņemtas saistības, aptuveni 94 miljoni EUR (jeb 11,5 %) vēl būs jāizmaksā turpmākajos gados par projektiem, kas vēl jāpabeidz;</w:t>
      </w:r>
    </w:p>
    <w:p w:rsidR="000F59AB" w:rsidRPr="004E26DD" w:rsidRDefault="000F59AB" w:rsidP="000F59AB">
      <w:pPr>
        <w:pStyle w:val="NormalHanging12a"/>
      </w:pPr>
      <w:r w:rsidRPr="004E26DD">
        <w:t>22.</w:t>
      </w:r>
      <w:r w:rsidRPr="004E26DD">
        <w:tab/>
        <w:t>norāda arī, ka 2022. gada beigās privātā sektora dalībnieki bija juridiski apņēmušies nodrošināt iemaksas natūrā un finanšu iemaksas kopuzņēmuma "</w:t>
      </w:r>
      <w:r w:rsidRPr="004E26DD">
        <w:rPr>
          <w:i/>
          <w:iCs/>
        </w:rPr>
        <w:t>CBE</w:t>
      </w:r>
      <w:r w:rsidRPr="004E26DD">
        <w:t xml:space="preserve">" pamatdarbībās 258,4 miljonu EUR jeb 54 % apmērā no indikatīvā </w:t>
      </w:r>
      <w:proofErr w:type="spellStart"/>
      <w:r w:rsidRPr="004E26DD">
        <w:t>mērķrādītāja</w:t>
      </w:r>
      <w:proofErr w:type="spellEnd"/>
      <w:r w:rsidRPr="004E26DD">
        <w:t xml:space="preserve"> 475,3 miljoni EUR, kas noteikts kopuzņēmuma pieņemtajās gada darba programmās; norāda, ka no šīs summas, par kuru uzņemtas saistības, kopuzņēmums "</w:t>
      </w:r>
      <w:r w:rsidRPr="004E26DD">
        <w:rPr>
          <w:i/>
          <w:iCs/>
        </w:rPr>
        <w:t>CBE</w:t>
      </w:r>
      <w:r w:rsidRPr="004E26DD">
        <w:t xml:space="preserve">" 2022. gada beigās ziņoja par 154,7 miljoniem EUR (jeb 32,5 % no </w:t>
      </w:r>
      <w:proofErr w:type="spellStart"/>
      <w:r w:rsidRPr="004E26DD">
        <w:t>mērķrādītāja</w:t>
      </w:r>
      <w:proofErr w:type="spellEnd"/>
      <w:r w:rsidRPr="004E26DD">
        <w:t>);</w:t>
      </w:r>
    </w:p>
    <w:p w:rsidR="000F59AB" w:rsidRPr="004E26DD" w:rsidRDefault="000F59AB" w:rsidP="000F59AB">
      <w:pPr>
        <w:pStyle w:val="NormalHanging12a"/>
      </w:pPr>
      <w:r w:rsidRPr="004E26DD">
        <w:t>23.</w:t>
      </w:r>
      <w:r w:rsidRPr="004E26DD">
        <w:tab/>
        <w:t xml:space="preserve">turklāt norāda, ka 2022. gadā kopuzņēmumam bija jāatceļ parakstītie projekti aptuveni 8,2 miljonu EUR vērtībā, jo neparedzēti tika pārtraukts kāds "Apvārsnis 2020" </w:t>
      </w:r>
      <w:proofErr w:type="spellStart"/>
      <w:r w:rsidRPr="004E26DD">
        <w:t>pamatprojekts</w:t>
      </w:r>
      <w:proofErr w:type="spellEnd"/>
      <w:r w:rsidRPr="004E26DD">
        <w:t xml:space="preserve"> un tika apturēti vairāki citi projekti, un, tā kā 2020. gada beigās visi programmas "Apvārsnis 2020" uzaicinājumi bija slēgti, kopuzņēmums "</w:t>
      </w:r>
      <w:r w:rsidRPr="004E26DD">
        <w:rPr>
          <w:i/>
          <w:iCs/>
        </w:rPr>
        <w:t>CBE</w:t>
      </w:r>
      <w:r w:rsidRPr="004E26DD">
        <w:t xml:space="preserve">" līdz plānošanas perioda beigām nesasniegs indikatīvo </w:t>
      </w:r>
      <w:proofErr w:type="spellStart"/>
      <w:r w:rsidRPr="004E26DD">
        <w:t>mērķrādītāju</w:t>
      </w:r>
      <w:proofErr w:type="spellEnd"/>
      <w:r w:rsidRPr="004E26DD">
        <w:t xml:space="preserve"> par privātā sektora dalībnieku iemaksām kopuzņēmuma pamatdarbībā;</w:t>
      </w:r>
    </w:p>
    <w:p w:rsidR="000F59AB" w:rsidRPr="004E26DD" w:rsidRDefault="000F59AB" w:rsidP="000F59AB">
      <w:pPr>
        <w:pStyle w:val="NormalHanging12a"/>
      </w:pPr>
      <w:r w:rsidRPr="004E26DD">
        <w:t>24.</w:t>
      </w:r>
      <w:r w:rsidRPr="004E26DD">
        <w:tab/>
        <w:t>atzinīgi vērtē to, ka kopuzņēmums "</w:t>
      </w:r>
      <w:r w:rsidRPr="004E26DD">
        <w:rPr>
          <w:i/>
          <w:iCs/>
        </w:rPr>
        <w:t>CBE</w:t>
      </w:r>
      <w:r w:rsidRPr="004E26DD">
        <w:t>" paziņoja, ka tas ir sasniedzis pamatprogrammas "Apvārsnis 2020" uzaicinājumu darbības mērķus; norāda, ka Revīzijas palāta vienalga uzskata, ka šis ievērojamais privātā sektora dalībnieku iemaksu samazinājums apdraud pamatprogrammas "Apvārsnis 2020" ietvaros īstenojamās kopuzņēmuma "</w:t>
      </w:r>
      <w:r w:rsidRPr="004E26DD">
        <w:rPr>
          <w:i/>
          <w:iCs/>
        </w:rPr>
        <w:t>CBE</w:t>
      </w:r>
      <w:r w:rsidRPr="004E26DD">
        <w:t>" programmas vispārējo izpildi;</w:t>
      </w:r>
    </w:p>
    <w:p w:rsidR="000F59AB" w:rsidRPr="004E26DD" w:rsidRDefault="000F59AB" w:rsidP="000F59AB">
      <w:pPr>
        <w:pStyle w:val="NormalHanging12a"/>
      </w:pPr>
      <w:r w:rsidRPr="004E26DD">
        <w:t>25.</w:t>
      </w:r>
      <w:r w:rsidRPr="004E26DD">
        <w:tab/>
        <w:t>norāda, ka, lai nodrošinātu kopuzņēmuma "</w:t>
      </w:r>
      <w:r w:rsidRPr="004E26DD">
        <w:rPr>
          <w:i/>
          <w:iCs/>
        </w:rPr>
        <w:t>CBE</w:t>
      </w:r>
      <w:r w:rsidRPr="004E26DD">
        <w:t xml:space="preserve">" izveides regulā noteiktā privātā sektora dalībnieku kopējo iemaksu </w:t>
      </w:r>
      <w:proofErr w:type="spellStart"/>
      <w:r w:rsidRPr="004E26DD">
        <w:t>mērķrādītāja</w:t>
      </w:r>
      <w:proofErr w:type="spellEnd"/>
      <w:r w:rsidRPr="004E26DD">
        <w:t xml:space="preserve"> — 2730 miljoni EUR — sasniegšanu līdz plānošanas perioda beigām, kopuzņēmums pārskatīja un palielināja </w:t>
      </w:r>
      <w:proofErr w:type="spellStart"/>
      <w:r w:rsidRPr="004E26DD">
        <w:t>mērķrādītāju</w:t>
      </w:r>
      <w:proofErr w:type="spellEnd"/>
      <w:r w:rsidRPr="004E26DD">
        <w:t xml:space="preserve"> privātā sektora dalībnieku iemaksām natūrā papildu pasākumos līdz </w:t>
      </w:r>
      <w:r w:rsidRPr="004E26DD">
        <w:lastRenderedPageBreak/>
        <w:t xml:space="preserve">2235,5 miljoniem EUR; norāda, ka 2022. gada beigās privātā sektora dalībnieki ziņoja par kopējām iemaksām natūrā papildu pasākumos 1797,9 miljonu EUR apmērā jeb 73,8 % no jaunā </w:t>
      </w:r>
      <w:proofErr w:type="spellStart"/>
      <w:r w:rsidRPr="004E26DD">
        <w:t>mērķrādītāja</w:t>
      </w:r>
      <w:proofErr w:type="spellEnd"/>
      <w:r w:rsidRPr="004E26DD">
        <w:t>, taču attiecībā uz 658 miljoniem EUR jeb 37 % no paziņotās summas apliecināšanas process nebija pabeigts;</w:t>
      </w:r>
    </w:p>
    <w:p w:rsidR="000F59AB" w:rsidRPr="004E26DD" w:rsidRDefault="000F59AB" w:rsidP="000F59AB">
      <w:pPr>
        <w:pStyle w:val="NormalHanging12a"/>
      </w:pPr>
      <w:r w:rsidRPr="004E26DD">
        <w:t>26.</w:t>
      </w:r>
      <w:r w:rsidRPr="004E26DD">
        <w:tab/>
        <w:t>atzinīgi vērtē to, ka, lai mazinātu risku, ka kopuzņēmums "</w:t>
      </w:r>
      <w:r w:rsidRPr="004E26DD">
        <w:rPr>
          <w:i/>
          <w:iCs/>
        </w:rPr>
        <w:t>CBE</w:t>
      </w:r>
      <w:r w:rsidRPr="004E26DD">
        <w:t xml:space="preserve">" līdz programmas beigām nesasniegs jauno </w:t>
      </w:r>
      <w:proofErr w:type="spellStart"/>
      <w:r w:rsidRPr="004E26DD">
        <w:t>mērķrādītāju</w:t>
      </w:r>
      <w:proofErr w:type="spellEnd"/>
      <w:r w:rsidRPr="004E26DD">
        <w:t xml:space="preserve"> attiecībā uz iemaksām natūrā papildu pasākumos, </w:t>
      </w:r>
      <w:proofErr w:type="spellStart"/>
      <w:r w:rsidRPr="004E26DD">
        <w:t>Biorūpniecības</w:t>
      </w:r>
      <w:proofErr w:type="spellEnd"/>
      <w:r w:rsidRPr="004E26DD">
        <w:t xml:space="preserve"> konsorcijs 2022. gada novembrī ierosināja kopuzņēmuma "</w:t>
      </w:r>
      <w:r w:rsidRPr="004E26DD">
        <w:rPr>
          <w:i/>
          <w:iCs/>
        </w:rPr>
        <w:t>CBE</w:t>
      </w:r>
      <w:r w:rsidRPr="004E26DD">
        <w:t>" valdei apstiprināt privātā sektora dalībnieku papildu iemaksas 416 miljonu EUR apmērā papildu pasākumos 2023. gadā;</w:t>
      </w:r>
    </w:p>
    <w:p w:rsidR="000F59AB" w:rsidRPr="004E26DD" w:rsidRDefault="000F59AB" w:rsidP="000F59AB">
      <w:pPr>
        <w:pStyle w:val="NormalHanging12a"/>
      </w:pPr>
      <w:r w:rsidRPr="004E26DD">
        <w:t>27.</w:t>
      </w:r>
      <w:r w:rsidRPr="004E26DD">
        <w:tab/>
        <w:t>ar bažām norāda, ka Revīzijas palāta uzskata, ka pamatprogrammas "Apvārsnis 2020" darbībām paredzēto 2022. gada budžeta maksājumu izpilde pasliktinājās;</w:t>
      </w:r>
      <w:r w:rsidRPr="004E26DD">
        <w:rPr>
          <w:b/>
          <w:i/>
        </w:rPr>
        <w:t xml:space="preserve"> </w:t>
      </w:r>
      <w:r w:rsidRPr="004E26DD">
        <w:t xml:space="preserve">atzīst, ka tas bija saistīts ar to, ka atbalsta saņēmēji </w:t>
      </w:r>
      <w:proofErr w:type="spellStart"/>
      <w:r w:rsidRPr="004E26DD">
        <w:t>saskārās</w:t>
      </w:r>
      <w:proofErr w:type="spellEnd"/>
      <w:r w:rsidRPr="004E26DD">
        <w:t xml:space="preserve"> ar pieaugošām izmaksām un piegādes problēmām;</w:t>
      </w:r>
    </w:p>
    <w:p w:rsidR="000F59AB" w:rsidRPr="004E26DD" w:rsidRDefault="000F59AB" w:rsidP="000F59AB">
      <w:pPr>
        <w:pStyle w:val="NormalHanging12a"/>
      </w:pPr>
      <w:r w:rsidRPr="004E26DD">
        <w:t>28.</w:t>
      </w:r>
      <w:r w:rsidRPr="004E26DD">
        <w:tab/>
        <w:t>norāda, ka kopuzņēmums "</w:t>
      </w:r>
      <w:r w:rsidRPr="004E26DD">
        <w:rPr>
          <w:i/>
          <w:iCs/>
        </w:rPr>
        <w:t>CBE</w:t>
      </w:r>
      <w:r w:rsidRPr="004E26DD">
        <w:t>" nesaņēma jaunas pamatdarbības saistību apropriācijas pamatprogrammas "Apvārsnis 2020" darbībām, jo tas bija pabeidzis pēdējo uzaicinājumu iesniegt priekšlikumus līdz 2020. gada beigām; atzīmē, ka pamatdarbības maksājumu apropriāciju izpildes rādītājs samazinājās līdz 65 % (2021. gadā — 85 %), kas, pēc kopuzņēmuma "</w:t>
      </w:r>
      <w:r w:rsidRPr="004E26DD">
        <w:rPr>
          <w:i/>
          <w:iCs/>
        </w:rPr>
        <w:t>CBE</w:t>
      </w:r>
      <w:r w:rsidRPr="004E26DD">
        <w:t xml:space="preserve">" domām, bija saistīts ar COVID-19 krīzes un kara Ukrainā radītajām pieaugošajām izmaksām un piegādes problēmām, ar kurām </w:t>
      </w:r>
      <w:proofErr w:type="spellStart"/>
      <w:r w:rsidRPr="004E26DD">
        <w:t>saskārās</w:t>
      </w:r>
      <w:proofErr w:type="spellEnd"/>
      <w:r w:rsidRPr="004E26DD">
        <w:t xml:space="preserve"> atbalsta saņēmēji, tāpēc lielākās daļas programmas "Apvārsnis 2020" projektu ilgums bija jāpagarina un galīgie maksājumi jāatliek uz 2023. gadu;</w:t>
      </w:r>
    </w:p>
    <w:p w:rsidR="000F59AB" w:rsidRPr="004E26DD" w:rsidRDefault="000F59AB" w:rsidP="000F59AB">
      <w:pPr>
        <w:pStyle w:val="NormalHanging12a"/>
      </w:pPr>
      <w:r w:rsidRPr="004E26DD">
        <w:t>29.</w:t>
      </w:r>
      <w:r w:rsidRPr="004E26DD">
        <w:tab/>
        <w:t>piekrīt Revīzijas palātai, ka kopuzņēmumam "</w:t>
      </w:r>
      <w:r w:rsidRPr="004E26DD">
        <w:rPr>
          <w:i/>
          <w:iCs/>
        </w:rPr>
        <w:t>CBE</w:t>
      </w:r>
      <w:r w:rsidRPr="004E26DD">
        <w:t>" būtu jāizstrādā rīcības plāns ar laika grafiku, lai pabeigtu to projektu īstenošanu, kas apstiprināti saskaņā ar iepriekšējām daudzgadu finanšu shēmām ("DFS");</w:t>
      </w:r>
    </w:p>
    <w:p w:rsidR="000F59AB" w:rsidRPr="004E26DD" w:rsidRDefault="000F59AB" w:rsidP="000F59AB">
      <w:pPr>
        <w:pStyle w:val="NormalHanging12a"/>
      </w:pPr>
      <w:r w:rsidRPr="004E26DD">
        <w:t>30.</w:t>
      </w:r>
      <w:r w:rsidRPr="004E26DD">
        <w:tab/>
        <w:t xml:space="preserve">piekrīt Revīzijas palātai, ka, lai nodrošinātu privātā sektora dalībnieku iemaksu </w:t>
      </w:r>
      <w:proofErr w:type="spellStart"/>
      <w:r w:rsidRPr="004E26DD">
        <w:t>mērķrādītāja</w:t>
      </w:r>
      <w:proofErr w:type="spellEnd"/>
      <w:r w:rsidRPr="004E26DD">
        <w:t xml:space="preserve"> sasniegšanu 2021.–2027. gada DFS, kopuzņēmumam "</w:t>
      </w:r>
      <w:r w:rsidRPr="004E26DD">
        <w:rPr>
          <w:i/>
          <w:iCs/>
        </w:rPr>
        <w:t>CBE</w:t>
      </w:r>
      <w:r w:rsidRPr="004E26DD">
        <w:t>", pamatojoties uz stratēģisku programmas īstenošanas plānu, katru gadu būtu jāuzrauga privātā sektora dalībnieku individuālo iemaksu sasniegšana;</w:t>
      </w:r>
    </w:p>
    <w:p w:rsidR="000F59AB" w:rsidRPr="004E26DD" w:rsidRDefault="000F59AB" w:rsidP="000F59AB">
      <w:pPr>
        <w:pStyle w:val="NormalHanging12a"/>
      </w:pPr>
      <w:r w:rsidRPr="004E26DD">
        <w:t>31.</w:t>
      </w:r>
      <w:r w:rsidRPr="004E26DD">
        <w:tab/>
        <w:t>norāda, ka 2022. gadā kopuzņēmums īstenoja tikai 47 % no saistību budžeta projektiem pirmajā nozīmīgajā pamatprogrammas "Apvārsnis Eiropa" uzaicinājumā iesniegt priekšlikumus 120 miljonu EUR apmērā, ko tas bija izsludinājis gada sākumā;</w:t>
      </w:r>
    </w:p>
    <w:p w:rsidR="000F59AB" w:rsidRPr="004E26DD" w:rsidRDefault="000F59AB" w:rsidP="000F59AB">
      <w:pPr>
        <w:pStyle w:val="NormalHanging12a"/>
      </w:pPr>
      <w:r w:rsidRPr="004E26DD">
        <w:t>32.</w:t>
      </w:r>
      <w:r w:rsidRPr="004E26DD">
        <w:tab/>
        <w:t>norāda, ka 2022. gadā gan Komisija, gan privātā sektora dalībnieki veica naudas iemaksas 0,8 miljonu EUR apmērā kopuzņēmuma "</w:t>
      </w:r>
      <w:r w:rsidRPr="004E26DD">
        <w:rPr>
          <w:i/>
          <w:iCs/>
        </w:rPr>
        <w:t>CBE</w:t>
      </w:r>
      <w:r w:rsidRPr="004E26DD">
        <w:t>" administratīvo izmaksu segšanai; norāda, ka kopuzņēmums "</w:t>
      </w:r>
      <w:r w:rsidRPr="004E26DD">
        <w:rPr>
          <w:i/>
          <w:iCs/>
        </w:rPr>
        <w:t>CBE</w:t>
      </w:r>
      <w:r w:rsidRPr="004E26DD">
        <w:t>" nepieprasīja naudas iemaksas savām pamatprogrammas "Apvārsnis Eiropa" darbībām, jo tas plānoja pabeigt pirmo pamatprogrammas "Apvārsnis Eiropa" uzaicinājumu, kas izsludināts 2022. gada sākumā, tikai 2023. gada pirmajā pusē;</w:t>
      </w:r>
    </w:p>
    <w:p w:rsidR="000F59AB" w:rsidRPr="004E26DD" w:rsidRDefault="000F59AB" w:rsidP="000F59AB">
      <w:pPr>
        <w:pStyle w:val="NormalHanging12a"/>
      </w:pPr>
      <w:r w:rsidRPr="004E26DD">
        <w:t>33.</w:t>
      </w:r>
      <w:r w:rsidRPr="004E26DD">
        <w:tab/>
        <w:t>norāda, ka 2022. gada beigās izpildes rādītājs attiecībā uz Kopuzņēmuma algu maksājumu budžetu (1. sadaļa) bija zems — 55 % — un ka saskaņā ar kopuzņēmuma "</w:t>
      </w:r>
      <w:r w:rsidRPr="004E26DD">
        <w:rPr>
          <w:i/>
          <w:iCs/>
        </w:rPr>
        <w:t>CBE</w:t>
      </w:r>
      <w:r w:rsidRPr="004E26DD">
        <w:t xml:space="preserve">" sniegto informāciju tas bija saistīts ar to, ka 2022. gadā </w:t>
      </w:r>
      <w:proofErr w:type="spellStart"/>
      <w:r w:rsidRPr="004E26DD">
        <w:t>jaunpieņemto</w:t>
      </w:r>
      <w:proofErr w:type="spellEnd"/>
      <w:r w:rsidRPr="004E26DD">
        <w:t xml:space="preserve"> darbinieku darba līgumi tika uzsākti ar novēlošanos;</w:t>
      </w:r>
    </w:p>
    <w:p w:rsidR="000F59AB" w:rsidRPr="004E26DD" w:rsidRDefault="000F59AB" w:rsidP="000F59AB">
      <w:pPr>
        <w:pStyle w:val="NormalHanging12a"/>
        <w:rPr>
          <w:b/>
          <w:i/>
        </w:rPr>
      </w:pPr>
      <w:r w:rsidRPr="004E26DD">
        <w:rPr>
          <w:b/>
          <w:i/>
        </w:rPr>
        <w:t>Iepirkums un personāls</w:t>
      </w:r>
    </w:p>
    <w:p w:rsidR="000F59AB" w:rsidRPr="004E26DD" w:rsidRDefault="000F59AB" w:rsidP="000F59AB">
      <w:pPr>
        <w:pStyle w:val="NormalHanging12a"/>
      </w:pPr>
      <w:r w:rsidRPr="004E26DD">
        <w:lastRenderedPageBreak/>
        <w:t>34.</w:t>
      </w:r>
      <w:r w:rsidRPr="004E26DD">
        <w:tab/>
        <w:t>norāda, ka 2022. gadā kopuzņēmums "</w:t>
      </w:r>
      <w:r w:rsidRPr="004E26DD">
        <w:rPr>
          <w:i/>
          <w:iCs/>
        </w:rPr>
        <w:t>CBE</w:t>
      </w:r>
      <w:r w:rsidRPr="004E26DD">
        <w:t>" turpināja pēc iespējas vairāk izmantot esošos pamatlīgumus Eiropas Komisijas līmenī; norāda, ka gadījumos, kad šie līgumi kopuzņēmumam "</w:t>
      </w:r>
      <w:r w:rsidRPr="004E26DD">
        <w:rPr>
          <w:i/>
          <w:iCs/>
        </w:rPr>
        <w:t>CBE</w:t>
      </w:r>
      <w:r w:rsidRPr="004E26DD">
        <w:t>" nebija pieejami vai tiem bija beidzies termiņš, nācās uzsākt īpašas konkursa procedūras, no kurām lielākā daļa bija par mazas vērtības līgumiem</w:t>
      </w:r>
      <w:r w:rsidRPr="004E26DD">
        <w:rPr>
          <w:rStyle w:val="FootnoteReference"/>
        </w:rPr>
        <w:footnoteReference w:id="21"/>
      </w:r>
      <w:r w:rsidRPr="004E26DD">
        <w:t>;</w:t>
      </w:r>
    </w:p>
    <w:p w:rsidR="000F59AB" w:rsidRPr="004E26DD" w:rsidRDefault="000F59AB" w:rsidP="000F59AB">
      <w:pPr>
        <w:pStyle w:val="NormalHanging12a"/>
      </w:pPr>
      <w:r w:rsidRPr="004E26DD">
        <w:t>35.</w:t>
      </w:r>
      <w:r w:rsidRPr="004E26DD">
        <w:tab/>
        <w:t>norāda, ka saskaņā ar pamatlīgumu, ko kopīgi pārvalda ar citiem kopuzņēmumiem, kopuzņēmums "</w:t>
      </w:r>
      <w:r w:rsidRPr="004E26DD">
        <w:rPr>
          <w:i/>
          <w:iCs/>
        </w:rPr>
        <w:t>CBE</w:t>
      </w:r>
      <w:r w:rsidRPr="004E26DD">
        <w:t>" parakstīja arī konkrētus līgumus, proti, par kopīgiem IT pakalpojumiem; turklāt norāda, ka 2022. gadā kopuzņēmums "</w:t>
      </w:r>
      <w:r w:rsidRPr="004E26DD">
        <w:rPr>
          <w:i/>
          <w:iCs/>
        </w:rPr>
        <w:t>CBE</w:t>
      </w:r>
      <w:r w:rsidRPr="004E26DD">
        <w:t>" izmantoja pakalpojumu līmeņa vienošanās, kas bija spēkā ar Komisiju;</w:t>
      </w:r>
    </w:p>
    <w:p w:rsidR="000F59AB" w:rsidRPr="004E26DD" w:rsidRDefault="000F59AB" w:rsidP="000F59AB">
      <w:pPr>
        <w:pStyle w:val="NormalHanging12a"/>
      </w:pPr>
      <w:r w:rsidRPr="004E26DD">
        <w:t>36.</w:t>
      </w:r>
      <w:r w:rsidRPr="004E26DD">
        <w:tab/>
        <w:t>konstatē no konsolidētā gada darbības pārskata, ka 2022. gads bija pārejas gads no kopuzņēmuma "</w:t>
      </w:r>
      <w:r w:rsidRPr="004E26DD">
        <w:rPr>
          <w:i/>
          <w:iCs/>
        </w:rPr>
        <w:t>BBI</w:t>
      </w:r>
      <w:r w:rsidRPr="004E26DD">
        <w:t>" uz kopuzņēmumu "</w:t>
      </w:r>
      <w:r w:rsidRPr="004E26DD">
        <w:rPr>
          <w:i/>
          <w:iCs/>
        </w:rPr>
        <w:t>CBE</w:t>
      </w:r>
      <w:r w:rsidRPr="004E26DD">
        <w:t>"; norāda, ka līdz 2022. gada beigām kopuzņēmuma "</w:t>
      </w:r>
      <w:r w:rsidRPr="004E26DD">
        <w:rPr>
          <w:i/>
          <w:iCs/>
        </w:rPr>
        <w:t>CBE</w:t>
      </w:r>
      <w:r w:rsidRPr="004E26DD">
        <w:t>" programmas birojā bija 26 darbinieki (</w:t>
      </w:r>
      <w:r w:rsidR="003A1650" w:rsidRPr="004E26DD">
        <w:t xml:space="preserve">salīdzinot ar </w:t>
      </w:r>
      <w:r w:rsidRPr="004E26DD">
        <w:t>2021. gad</w:t>
      </w:r>
      <w:r w:rsidR="003A1650" w:rsidRPr="004E26DD">
        <w:t>u</w:t>
      </w:r>
      <w:r w:rsidRPr="004E26DD">
        <w:t> — 22), gandrīz sasniedzot pilnu štatu sarakstu</w:t>
      </w:r>
      <w:r w:rsidRPr="004E26DD">
        <w:rPr>
          <w:rStyle w:val="FootnoteReference"/>
        </w:rPr>
        <w:footnoteReference w:id="22"/>
      </w:r>
      <w:r w:rsidRPr="004E26DD">
        <w:t xml:space="preserve"> saskaņā ar tā jaunajām pilnvarām; atzinīgi vērtē to, ka astoņi jauni kolēģi ir pievienojušies saskaņā ar kopuzņēmuma "</w:t>
      </w:r>
      <w:r w:rsidRPr="004E26DD">
        <w:rPr>
          <w:i/>
          <w:iCs/>
        </w:rPr>
        <w:t>CBE</w:t>
      </w:r>
      <w:r w:rsidRPr="004E26DD">
        <w:t>" jaunajām pilnvarām;</w:t>
      </w:r>
    </w:p>
    <w:p w:rsidR="000F59AB" w:rsidRPr="004E26DD" w:rsidRDefault="000F59AB" w:rsidP="000F59AB">
      <w:pPr>
        <w:pStyle w:val="NormalHanging12a"/>
      </w:pPr>
      <w:r w:rsidRPr="004E26DD">
        <w:t>37.</w:t>
      </w:r>
      <w:r w:rsidRPr="004E26DD">
        <w:tab/>
        <w:t>norāda, ka 2022. gadā kopuzņēmums "</w:t>
      </w:r>
      <w:r w:rsidRPr="004E26DD">
        <w:rPr>
          <w:i/>
          <w:iCs/>
        </w:rPr>
        <w:t>CBE</w:t>
      </w:r>
      <w:r w:rsidRPr="004E26DD">
        <w:t>" apstiprināja dzimumu līdzsvaru vadošos amatos ar 50 % sieviešu pārstāvību;</w:t>
      </w:r>
    </w:p>
    <w:p w:rsidR="000F59AB" w:rsidRPr="004E26DD" w:rsidRDefault="000F59AB" w:rsidP="000F59AB">
      <w:pPr>
        <w:pStyle w:val="NormalHanging12a"/>
      </w:pPr>
      <w:r w:rsidRPr="004E26DD">
        <w:t>38.</w:t>
      </w:r>
      <w:r w:rsidRPr="004E26DD">
        <w:tab/>
        <w:t>norāda, ka kopuzņēmuma "</w:t>
      </w:r>
      <w:r w:rsidRPr="004E26DD">
        <w:rPr>
          <w:i/>
          <w:iCs/>
        </w:rPr>
        <w:t>CBE</w:t>
      </w:r>
      <w:r w:rsidRPr="004E26DD">
        <w:t>" darbinieki vienlaikus pārvaldīja arvien lielāku skaitu nepabeigtu projektu vairākās DFS programmās. pauž bažas, ka šāda tendence var mazināt kopuzņēmuma "</w:t>
      </w:r>
      <w:r w:rsidRPr="004E26DD">
        <w:rPr>
          <w:i/>
          <w:iCs/>
        </w:rPr>
        <w:t>CBE</w:t>
      </w:r>
      <w:r w:rsidRPr="004E26DD">
        <w:t>" iekšējās kontroles efektivitāti un šo līdzekļu pārvaldību un aizkavēt jauno programmu īstenošanu;</w:t>
      </w:r>
    </w:p>
    <w:p w:rsidR="000F59AB" w:rsidRPr="004E26DD" w:rsidRDefault="000F59AB" w:rsidP="000F59AB">
      <w:pPr>
        <w:pStyle w:val="NormalHanging12a"/>
        <w:ind w:left="0" w:firstLine="0"/>
        <w:jc w:val="both"/>
        <w:rPr>
          <w:b/>
          <w:i/>
        </w:rPr>
      </w:pPr>
      <w:r w:rsidRPr="004E26DD">
        <w:rPr>
          <w:b/>
          <w:i/>
        </w:rPr>
        <w:t>Pārvaldības un kontroles sistēmas</w:t>
      </w:r>
    </w:p>
    <w:p w:rsidR="000F59AB" w:rsidRPr="004E26DD" w:rsidRDefault="000F59AB" w:rsidP="000F59AB">
      <w:pPr>
        <w:pStyle w:val="NormalHanging12a"/>
      </w:pPr>
      <w:r w:rsidRPr="004E26DD">
        <w:t>39.</w:t>
      </w:r>
      <w:r w:rsidRPr="004E26DD">
        <w:tab/>
        <w:t xml:space="preserve">pēc iepazīšanās ar Revīzijas palātas apsvērumiem par pārvaldības un kontroles sistēmām norāda, ka attiecībā uz pamatprogrammas "Apvārsnis 2020" un "Apvārsnis Eiropa" izdevumiem par </w:t>
      </w:r>
      <w:proofErr w:type="spellStart"/>
      <w:r w:rsidRPr="004E26DD">
        <w:rPr>
          <w:i/>
          <w:iCs/>
        </w:rPr>
        <w:t>ex</w:t>
      </w:r>
      <w:proofErr w:type="spellEnd"/>
      <w:r w:rsidRPr="004E26DD">
        <w:rPr>
          <w:i/>
          <w:iCs/>
        </w:rPr>
        <w:t> post</w:t>
      </w:r>
      <w:r w:rsidRPr="004E26DD">
        <w:t xml:space="preserve"> revīzijām atbild Komisijas RTD ĢD Kopējais revīzijas dienests;</w:t>
      </w:r>
    </w:p>
    <w:p w:rsidR="000F59AB" w:rsidRPr="004E26DD" w:rsidRDefault="000F59AB" w:rsidP="000F59AB">
      <w:pPr>
        <w:pStyle w:val="NormalHanging12a"/>
      </w:pPr>
      <w:r w:rsidRPr="004E26DD">
        <w:t>40.</w:t>
      </w:r>
      <w:r w:rsidRPr="004E26DD">
        <w:tab/>
        <w:t>norāda, ka attiecībā uz pamatprogrammas "Apvārsnis 2020" izdevumiem (dzēšana un galīgie maksājumi) kopuzņēmums ziņoja, ka reprezentatīvais kļūdu īpatsvars bija 1,9 % un atlikušo kļūdu īpatsvars bija 1,2 %;</w:t>
      </w:r>
    </w:p>
    <w:p w:rsidR="000F59AB" w:rsidRPr="004E26DD" w:rsidRDefault="000F59AB" w:rsidP="000F59AB">
      <w:pPr>
        <w:pStyle w:val="NormalHanging12a"/>
      </w:pPr>
      <w:r w:rsidRPr="004E26DD">
        <w:t>41.</w:t>
      </w:r>
      <w:r w:rsidRPr="004E26DD">
        <w:tab/>
        <w:t xml:space="preserve">norāda, ka attiecībā uz pamatprogrammu "Apvārsnis Eiropa" </w:t>
      </w:r>
      <w:proofErr w:type="spellStart"/>
      <w:r w:rsidRPr="004E26DD">
        <w:rPr>
          <w:i/>
          <w:iCs/>
        </w:rPr>
        <w:t>ex</w:t>
      </w:r>
      <w:proofErr w:type="spellEnd"/>
      <w:r w:rsidRPr="004E26DD">
        <w:rPr>
          <w:i/>
          <w:iCs/>
        </w:rPr>
        <w:t> post</w:t>
      </w:r>
      <w:r w:rsidRPr="004E26DD">
        <w:t xml:space="preserve"> revīzijas vēl nav veiktas, jo pirmie starpposma maksājumi ir paredzēti tikai 2024. gadā;</w:t>
      </w:r>
    </w:p>
    <w:p w:rsidR="000F59AB" w:rsidRPr="004E26DD" w:rsidRDefault="000F59AB" w:rsidP="000F59AB">
      <w:pPr>
        <w:pStyle w:val="NormalHanging12a"/>
      </w:pPr>
      <w:r w:rsidRPr="004E26DD">
        <w:t>42.</w:t>
      </w:r>
      <w:r w:rsidRPr="004E26DD">
        <w:tab/>
        <w:t>norāda, ka, lai novērtētu kopuzņēmuma "</w:t>
      </w:r>
      <w:r w:rsidRPr="004E26DD">
        <w:rPr>
          <w:i/>
          <w:iCs/>
        </w:rPr>
        <w:t>CBE</w:t>
      </w:r>
      <w:r w:rsidRPr="004E26DD">
        <w:t xml:space="preserve">" kontroles mehānismus, ko piemēro pamatdarbības maksājumiem, Revīzijas palāta revidēja izlasi, kas pēc nejaušības principa bija veidota no pamatprogrammas "Apvārsnis 2020" maksājumiem, kuri 2022. gadā veikti </w:t>
      </w:r>
      <w:proofErr w:type="spellStart"/>
      <w:r w:rsidRPr="004E26DD">
        <w:t>galasaņēmēju</w:t>
      </w:r>
      <w:proofErr w:type="spellEnd"/>
      <w:r w:rsidRPr="004E26DD">
        <w:t xml:space="preserve"> līmenī</w:t>
      </w:r>
      <w:r w:rsidRPr="004E26DD">
        <w:rPr>
          <w:rStyle w:val="FootnoteReference"/>
        </w:rPr>
        <w:footnoteReference w:id="23"/>
      </w:r>
      <w:r w:rsidRPr="004E26DD">
        <w:t xml:space="preserve">; norāda, ka vienā gadījumā Revīzijas palāta konstatēja un izteica skaitļos nopietnu kļūdu, kas radusies pārāk lielu personāla izmaksu deklarēšanas dēļ, jo atbalsta saņēmējs finanšu gada laikā mainīja stundas likmes </w:t>
      </w:r>
      <w:r w:rsidRPr="004E26DD">
        <w:lastRenderedPageBreak/>
        <w:t>aprēķināšanas metodi un deklarētajās izmaksās iekļāva neattiecināmas pensiju izmaksas un prēmijas;</w:t>
      </w:r>
    </w:p>
    <w:p w:rsidR="000F59AB" w:rsidRPr="004E26DD" w:rsidRDefault="000F59AB" w:rsidP="000F59AB">
      <w:pPr>
        <w:pStyle w:val="NormalHanging12a"/>
      </w:pPr>
      <w:r w:rsidRPr="004E26DD">
        <w:t>43.</w:t>
      </w:r>
      <w:r w:rsidRPr="004E26DD">
        <w:tab/>
        <w:t>atzinīgi vērtē to, ka kopuzņēmums "</w:t>
      </w:r>
      <w:r w:rsidRPr="004E26DD">
        <w:rPr>
          <w:i/>
          <w:iCs/>
        </w:rPr>
        <w:t>CBE</w:t>
      </w:r>
      <w:r w:rsidRPr="004E26DD">
        <w:t xml:space="preserve">" izstrādāja uz risku balstītu pieeju </w:t>
      </w:r>
      <w:proofErr w:type="spellStart"/>
      <w:r w:rsidRPr="004E26DD">
        <w:rPr>
          <w:i/>
          <w:iCs/>
        </w:rPr>
        <w:t>ex</w:t>
      </w:r>
      <w:proofErr w:type="spellEnd"/>
      <w:r w:rsidRPr="004E26DD">
        <w:rPr>
          <w:i/>
          <w:iCs/>
        </w:rPr>
        <w:t> post</w:t>
      </w:r>
      <w:r w:rsidRPr="004E26DD">
        <w:t xml:space="preserve"> revīzijai ar mērķi samazināt kļūdu īpatsvaru, izmantojot mērķtiecīgāku izlasi, lai atklātu atbalsta saņēmējus, kuriem ir vislielākā kļūdu iespējamība, un tādējādi stiprinot to </w:t>
      </w:r>
      <w:proofErr w:type="spellStart"/>
      <w:r w:rsidRPr="004E26DD">
        <w:rPr>
          <w:i/>
          <w:iCs/>
        </w:rPr>
        <w:t>ex</w:t>
      </w:r>
      <w:proofErr w:type="spellEnd"/>
      <w:r w:rsidRPr="004E26DD">
        <w:rPr>
          <w:i/>
          <w:iCs/>
        </w:rPr>
        <w:t> post</w:t>
      </w:r>
      <w:r w:rsidRPr="004E26DD">
        <w:t xml:space="preserve"> revīziju "tīrīšanas" efektu; šīs ir būtiskas pozitīvas izmaiņas </w:t>
      </w:r>
      <w:proofErr w:type="spellStart"/>
      <w:r w:rsidRPr="004E26DD">
        <w:rPr>
          <w:i/>
          <w:iCs/>
        </w:rPr>
        <w:t>ex</w:t>
      </w:r>
      <w:proofErr w:type="spellEnd"/>
      <w:r w:rsidRPr="004E26DD">
        <w:rPr>
          <w:i/>
          <w:iCs/>
        </w:rPr>
        <w:t> post</w:t>
      </w:r>
      <w:r w:rsidRPr="004E26DD">
        <w:t xml:space="preserve"> revīzijas pieejā, jo Komisijas iekšējās kontroles sistēma attiecībā uz pamatprogrammas "Apvārsnis Eiropa" dotācijām neļauj veidot kopuzņēmumam "</w:t>
      </w:r>
      <w:r w:rsidRPr="004E26DD">
        <w:rPr>
          <w:i/>
          <w:iCs/>
        </w:rPr>
        <w:t>CBE</w:t>
      </w:r>
      <w:r w:rsidRPr="004E26DD">
        <w:t>" raksturīgas reprezentatīvas izlases un līdz ar to aprēķināt konkrētus reprezentatīvos un atlikušo kļūdu rādītājus kopuzņēmumiem;</w:t>
      </w:r>
    </w:p>
    <w:p w:rsidR="000F59AB" w:rsidRPr="004E26DD" w:rsidRDefault="000F59AB" w:rsidP="000F59AB">
      <w:pPr>
        <w:pStyle w:val="NormalHanging12a"/>
      </w:pPr>
      <w:r w:rsidRPr="004E26DD">
        <w:t>44.</w:t>
      </w:r>
      <w:r w:rsidRPr="004E26DD">
        <w:tab/>
        <w:t xml:space="preserve">norāda, ka Revīzijas palāta konstatēja, ka kopuzņēmumiem ar labi izstrādātu uz risku balstītu </w:t>
      </w:r>
      <w:proofErr w:type="spellStart"/>
      <w:r w:rsidRPr="004E26DD">
        <w:rPr>
          <w:i/>
          <w:iCs/>
        </w:rPr>
        <w:t>ex</w:t>
      </w:r>
      <w:proofErr w:type="spellEnd"/>
      <w:r w:rsidRPr="004E26DD">
        <w:rPr>
          <w:i/>
          <w:iCs/>
        </w:rPr>
        <w:t> post</w:t>
      </w:r>
      <w:r w:rsidRPr="004E26DD">
        <w:t xml:space="preserve"> revīzijas pieeju atlikušo kļūdu īpatsvars ir zemāks par vidējo rādītāju kopuzņēmumiem bez šādas pieejas, jo riskantākie atbalsta saņēmēji tika regulāri identificēti un revidēti;</w:t>
      </w:r>
    </w:p>
    <w:p w:rsidR="000F59AB" w:rsidRPr="004E26DD" w:rsidRDefault="000F59AB" w:rsidP="000F59AB">
      <w:pPr>
        <w:pStyle w:val="NormalHanging12a"/>
        <w:ind w:left="0" w:firstLine="0"/>
        <w:rPr>
          <w:b/>
          <w:i/>
        </w:rPr>
      </w:pPr>
      <w:r w:rsidRPr="004E26DD">
        <w:rPr>
          <w:b/>
          <w:i/>
        </w:rPr>
        <w:t>Iepriekšējā gadā formulēto apsvērumu pēcpārbaude</w:t>
      </w:r>
    </w:p>
    <w:p w:rsidR="000F59AB" w:rsidRPr="004E26DD" w:rsidRDefault="000F59AB" w:rsidP="000F59AB">
      <w:pPr>
        <w:pStyle w:val="NormalHanging12a"/>
      </w:pPr>
      <w:r w:rsidRPr="004E26DD">
        <w:t>45.</w:t>
      </w:r>
      <w:r w:rsidRPr="004E26DD">
        <w:tab/>
        <w:t>norāda, ka "apsvērumi" kopuzņēmuma "</w:t>
      </w:r>
      <w:r w:rsidRPr="004E26DD">
        <w:rPr>
          <w:i/>
          <w:iCs/>
        </w:rPr>
        <w:t>CBE</w:t>
      </w:r>
      <w:r w:rsidRPr="004E26DD">
        <w:t>" konkrētajos gada ziņojumos faktiski ir Revīzijas palātas "ieteikumi bez laika ierobežojuma"; norāda, ka Revīzijas palāta katru gadu pārbauda šo apsvērumu īstenošanu, novērtējot to statusu kā "atvērtu" vai "slēgtu";</w:t>
      </w:r>
    </w:p>
    <w:p w:rsidR="000F59AB" w:rsidRPr="004E26DD" w:rsidRDefault="000F59AB" w:rsidP="000F59AB">
      <w:pPr>
        <w:pStyle w:val="NormalHanging12a"/>
      </w:pPr>
      <w:r w:rsidRPr="004E26DD">
        <w:t>46.</w:t>
      </w:r>
      <w:r w:rsidRPr="004E26DD">
        <w:tab/>
        <w:t>norāda, ka Revīzijas palāta ir sniegusi 3 apsvērumus (2020./2021. g.), no kuriem 2 joprojām ir atvērti — par kopuzņēmuma "</w:t>
      </w:r>
      <w:r w:rsidRPr="004E26DD">
        <w:rPr>
          <w:i/>
          <w:iCs/>
        </w:rPr>
        <w:t>CBE</w:t>
      </w:r>
      <w:r w:rsidRPr="004E26DD">
        <w:t>" nozares un privātā sektora dalībnieku iemaksām;</w:t>
      </w:r>
    </w:p>
    <w:p w:rsidR="00E365E1" w:rsidRPr="004E26DD" w:rsidRDefault="000F59AB" w:rsidP="004E26DD">
      <w:pPr>
        <w:pStyle w:val="NormalHanging12a"/>
      </w:pPr>
      <w:r w:rsidRPr="004E26DD">
        <w:t>47.</w:t>
      </w:r>
      <w:r w:rsidRPr="004E26DD">
        <w:tab/>
        <w:t>norāda, ka kopuzņēmums "</w:t>
      </w:r>
      <w:r w:rsidRPr="004E26DD">
        <w:rPr>
          <w:i/>
          <w:iCs/>
        </w:rPr>
        <w:t>CBE</w:t>
      </w:r>
      <w:r w:rsidRPr="004E26DD">
        <w:t>" atzīst, ka privātā sektora dalībnieku ieguldījumi natūrā tā pamatdarbībās ir nelieli, un ka tas uzskata, ka šo situāciju daļēji var izskaidrot ar kopuzņēmuma "</w:t>
      </w:r>
      <w:r w:rsidRPr="004E26DD">
        <w:rPr>
          <w:i/>
          <w:iCs/>
        </w:rPr>
        <w:t>CBE</w:t>
      </w:r>
      <w:r w:rsidRPr="004E26DD">
        <w:t xml:space="preserve">" uzaicinājumu atklātību, proti, arī uzņēmumi, kas nav </w:t>
      </w:r>
      <w:r w:rsidRPr="004E26DD">
        <w:rPr>
          <w:i/>
          <w:iCs/>
        </w:rPr>
        <w:t>BIC</w:t>
      </w:r>
      <w:r w:rsidRPr="004E26DD">
        <w:t xml:space="preserve"> (</w:t>
      </w:r>
      <w:proofErr w:type="spellStart"/>
      <w:r w:rsidRPr="004E26DD">
        <w:t>Biorūpniecības</w:t>
      </w:r>
      <w:proofErr w:type="spellEnd"/>
      <w:r w:rsidRPr="004E26DD">
        <w:t xml:space="preserve"> konsorcija)</w:t>
      </w:r>
      <w:r w:rsidRPr="004E26DD">
        <w:rPr>
          <w:rStyle w:val="FootnoteReference"/>
        </w:rPr>
        <w:footnoteReference w:id="24"/>
      </w:r>
      <w:r w:rsidRPr="004E26DD">
        <w:t xml:space="preserve"> biedri, var pieteikties kopuzņēmuma "</w:t>
      </w:r>
      <w:r w:rsidRPr="004E26DD">
        <w:rPr>
          <w:i/>
          <w:iCs/>
        </w:rPr>
        <w:t>BBI</w:t>
      </w:r>
      <w:r w:rsidRPr="004E26DD">
        <w:t>" dotācijām bez pienākuma atbalstīt kopuzņēmuma "</w:t>
      </w:r>
      <w:r w:rsidRPr="004E26DD">
        <w:rPr>
          <w:i/>
          <w:iCs/>
        </w:rPr>
        <w:t>CBE</w:t>
      </w:r>
      <w:r w:rsidRPr="004E26DD">
        <w:t xml:space="preserve">" iniciatīvu ar ieguldījumiem natūrā; saprot, ka pēdējos trīs uzaicinājumos sekmīgo pretendentu no </w:t>
      </w:r>
      <w:r w:rsidRPr="004E26DD">
        <w:rPr>
          <w:i/>
          <w:iCs/>
        </w:rPr>
        <w:t>BIC</w:t>
      </w:r>
      <w:r w:rsidRPr="004E26DD">
        <w:t xml:space="preserve"> skaits samazinājās līdz minimumam, izraisot būtisku ieguldījumu natūrā sarukumu.</w:t>
      </w:r>
      <w:bookmarkStart w:id="10" w:name="TextBodyEnd"/>
      <w:bookmarkEnd w:id="10"/>
    </w:p>
    <w:sectPr w:rsidR="00E365E1" w:rsidRPr="004E26DD" w:rsidSect="00791D9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BD3" w:rsidRPr="00791D90" w:rsidRDefault="00B94BD3">
      <w:r w:rsidRPr="00791D90">
        <w:separator/>
      </w:r>
    </w:p>
  </w:endnote>
  <w:endnote w:type="continuationSeparator" w:id="0">
    <w:p w:rsidR="00B94BD3" w:rsidRPr="00791D90" w:rsidRDefault="00B94BD3">
      <w:r w:rsidRPr="00791D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AB" w:rsidRPr="00791D90" w:rsidRDefault="000F59AB" w:rsidP="00665F07">
    <w:pPr>
      <w:pStyle w:val="EPFooter"/>
    </w:pPr>
    <w:r w:rsidRPr="00791D90">
      <w:t>PE</w:t>
    </w:r>
    <w:r w:rsidRPr="00791D90">
      <w:rPr>
        <w:rStyle w:val="HideTWBExt"/>
      </w:rPr>
      <w:t>&lt;NoPE&gt;</w:t>
    </w:r>
    <w:r w:rsidRPr="00791D90">
      <w:t>753.488</w:t>
    </w:r>
    <w:r w:rsidRPr="00791D90">
      <w:rPr>
        <w:rStyle w:val="HideTWBExt"/>
      </w:rPr>
      <w:t>&lt;/NoPE&gt;&lt;Version&gt;</w:t>
    </w:r>
    <w:r w:rsidRPr="00791D90">
      <w:t>v02-00</w:t>
    </w:r>
    <w:r w:rsidRPr="00791D90">
      <w:rPr>
        <w:rStyle w:val="HideTWBExt"/>
      </w:rPr>
      <w:t>&lt;/Version&gt;</w:t>
    </w:r>
    <w:r w:rsidRPr="00791D90">
      <w:tab/>
    </w:r>
    <w:r w:rsidRPr="00791D90">
      <w:fldChar w:fldCharType="begin"/>
    </w:r>
    <w:r w:rsidRPr="00791D90">
      <w:instrText xml:space="preserve"> PAGE  \* MERGEFORMAT </w:instrText>
    </w:r>
    <w:r w:rsidRPr="00791D90">
      <w:fldChar w:fldCharType="separate"/>
    </w:r>
    <w:r w:rsidRPr="00791D90">
      <w:rPr>
        <w:noProof/>
      </w:rPr>
      <w:t>4</w:t>
    </w:r>
    <w:r w:rsidRPr="00791D90">
      <w:fldChar w:fldCharType="end"/>
    </w:r>
    <w:r w:rsidRPr="00791D90">
      <w:t>/</w:t>
    </w:r>
    <w:fldSimple w:instr=" NUMPAGES  \* MERGEFORMAT ">
      <w:r w:rsidRPr="00791D90">
        <w:rPr>
          <w:noProof/>
        </w:rPr>
        <w:t>4</w:t>
      </w:r>
    </w:fldSimple>
    <w:r w:rsidRPr="00791D90">
      <w:tab/>
    </w:r>
    <w:r w:rsidRPr="00791D90">
      <w:rPr>
        <w:rStyle w:val="HideTWBExt"/>
      </w:rPr>
      <w:t>&lt;PathFdR&gt;</w:t>
    </w:r>
    <w:r w:rsidRPr="00791D90">
      <w:t>RR\1298717LV.docx</w:t>
    </w:r>
    <w:r w:rsidRPr="00791D90">
      <w:rPr>
        <w:rStyle w:val="HideTWBExt"/>
      </w:rPr>
      <w:t>&lt;/PathFdR&gt;</w:t>
    </w:r>
  </w:p>
  <w:p w:rsidR="000F59AB" w:rsidRPr="00791D90" w:rsidRDefault="000F59AB" w:rsidP="00665F07">
    <w:pPr>
      <w:pStyle w:val="EPFooter2"/>
    </w:pPr>
    <w:r w:rsidRPr="00791D90">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AB" w:rsidRPr="00791D90" w:rsidRDefault="000F59AB" w:rsidP="00665F0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AB" w:rsidRPr="00791D90" w:rsidRDefault="000F59AB" w:rsidP="00665F07">
    <w:pPr>
      <w:pStyle w:val="EPFooter"/>
    </w:pPr>
    <w:r w:rsidRPr="00791D90">
      <w:rPr>
        <w:rStyle w:val="HideTWBExt"/>
      </w:rPr>
      <w:t>&lt;PathFdR&gt;</w:t>
    </w:r>
    <w:r w:rsidRPr="00791D90">
      <w:t>RR\1298717LV.docx</w:t>
    </w:r>
    <w:r w:rsidRPr="00791D90">
      <w:rPr>
        <w:rStyle w:val="HideTWBExt"/>
      </w:rPr>
      <w:t>&lt;/PathFdR&gt;</w:t>
    </w:r>
    <w:r w:rsidRPr="00791D90">
      <w:tab/>
    </w:r>
    <w:r w:rsidRPr="00791D90">
      <w:tab/>
      <w:t>PE</w:t>
    </w:r>
    <w:r w:rsidRPr="00791D90">
      <w:rPr>
        <w:rStyle w:val="HideTWBExt"/>
      </w:rPr>
      <w:t>&lt;NoPE&gt;</w:t>
    </w:r>
    <w:r w:rsidRPr="00791D90">
      <w:t>753.488</w:t>
    </w:r>
    <w:r w:rsidRPr="00791D90">
      <w:rPr>
        <w:rStyle w:val="HideTWBExt"/>
      </w:rPr>
      <w:t>&lt;/NoPE&gt;&lt;Version&gt;</w:t>
    </w:r>
    <w:r w:rsidRPr="00791D90">
      <w:t>v02-00</w:t>
    </w:r>
    <w:r w:rsidRPr="00791D90">
      <w:rPr>
        <w:rStyle w:val="HideTWBExt"/>
      </w:rPr>
      <w:t>&lt;/Version&gt;</w:t>
    </w:r>
  </w:p>
  <w:p w:rsidR="000F59AB" w:rsidRPr="00791D90" w:rsidRDefault="000F59AB" w:rsidP="00665F07">
    <w:pPr>
      <w:pStyle w:val="EPFooter2"/>
    </w:pPr>
    <w:r w:rsidRPr="00791D90">
      <w:t>LV</w:t>
    </w:r>
    <w:r w:rsidRPr="00791D90">
      <w:tab/>
    </w:r>
    <w:r w:rsidRPr="00791D90">
      <w:rPr>
        <w:b w:val="0"/>
        <w:i/>
        <w:color w:val="C0C0C0"/>
        <w:sz w:val="22"/>
      </w:rPr>
      <w:t>Vienoti daudzveidībā</w:t>
    </w:r>
    <w:r w:rsidRPr="00791D90">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1D9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1D9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1D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BD3" w:rsidRPr="00791D90" w:rsidRDefault="00B94BD3">
      <w:r w:rsidRPr="00791D90">
        <w:separator/>
      </w:r>
    </w:p>
  </w:footnote>
  <w:footnote w:type="continuationSeparator" w:id="0">
    <w:p w:rsidR="00B94BD3" w:rsidRPr="00791D90" w:rsidRDefault="00B94BD3">
      <w:r w:rsidRPr="00791D90">
        <w:continuationSeparator/>
      </w:r>
    </w:p>
  </w:footnote>
  <w:footnote w:id="1">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C, C/2023/1025, 16.11.2023.</w:t>
      </w:r>
    </w:p>
  </w:footnote>
  <w:footnote w:id="2">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C, C/2023/112, 12.10.2023.</w:t>
      </w:r>
    </w:p>
  </w:footnote>
  <w:footnote w:id="3">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L 193, 30.7.2018., 1. lpp.</w:t>
      </w:r>
    </w:p>
  </w:footnote>
  <w:footnote w:id="4">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L 427, 30.11.2021., 17. lpp.</w:t>
      </w:r>
    </w:p>
  </w:footnote>
  <w:footnote w:id="5">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L 142, 29.5.2019., 16. lpp.</w:t>
      </w:r>
    </w:p>
  </w:footnote>
  <w:footnote w:id="6">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C, C/2023/1025, 16.11.2023.</w:t>
      </w:r>
    </w:p>
  </w:footnote>
  <w:footnote w:id="7">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C, C/2023/112, 12.10.2023.</w:t>
      </w:r>
    </w:p>
  </w:footnote>
  <w:footnote w:id="8">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L 193, 30.7.2018., 1. lpp.</w:t>
      </w:r>
    </w:p>
  </w:footnote>
  <w:footnote w:id="9">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L 427, 30.11.2021., 17. lpp.</w:t>
      </w:r>
    </w:p>
  </w:footnote>
  <w:footnote w:id="10">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OV L 142, 29.5.2019., 16. lpp.</w:t>
      </w:r>
    </w:p>
  </w:footnote>
  <w:footnote w:id="11">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Padomes Regula (ES) 2021/2085 (2021. gada 19. novembris), ar ko izveido kopuzņēmumus pamatprogrammā "Apvārsnis Eiropa" un atceļ Regulas (EK) Nr. 219/2007, (ES) Nr. 557/2014, (ES) Nr. 558/2014, (ES) Nr. 559/2014, (ES) Nr. 560/2014, (ES) Nr. 561/2014 un (ES) Nr. 642/2</w:t>
      </w:r>
      <w:r w:rsidR="00BC4174">
        <w:rPr>
          <w:sz w:val="24"/>
          <w:lang w:val="lv-LV"/>
        </w:rPr>
        <w:t>014 (OV L 427, 30.11.2021.</w:t>
      </w:r>
      <w:r w:rsidR="00BC4174">
        <w:rPr>
          <w:sz w:val="24"/>
          <w:lang w:val="lv-LV"/>
        </w:rPr>
        <w:t xml:space="preserve">, </w:t>
      </w:r>
      <w:r w:rsidR="00BC4174">
        <w:rPr>
          <w:sz w:val="24"/>
          <w:lang w:val="lv-LV"/>
        </w:rPr>
        <w:t>17.</w:t>
      </w:r>
      <w:bookmarkStart w:id="9" w:name="_GoBack"/>
      <w:bookmarkEnd w:id="9"/>
      <w:r w:rsidRPr="00791D90">
        <w:rPr>
          <w:sz w:val="24"/>
          <w:lang w:val="lv-LV"/>
        </w:rPr>
        <w:t> lpp.).</w:t>
      </w:r>
    </w:p>
  </w:footnote>
  <w:footnote w:id="12">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 xml:space="preserve">Padomes Regula (ES) Nr. 560/2014 (2014. gada 6. maijs), ar ko izveido </w:t>
      </w:r>
      <w:proofErr w:type="spellStart"/>
      <w:r w:rsidRPr="00791D90">
        <w:rPr>
          <w:sz w:val="24"/>
          <w:lang w:val="lv-LV"/>
        </w:rPr>
        <w:t>biorūpniecības</w:t>
      </w:r>
      <w:proofErr w:type="spellEnd"/>
      <w:r w:rsidRPr="00791D90">
        <w:rPr>
          <w:sz w:val="24"/>
          <w:lang w:val="lv-LV"/>
        </w:rPr>
        <w:t xml:space="preserve"> kopuzņēmumu (OV L 169, 7.6.2014., 130. lpp.).</w:t>
      </w:r>
    </w:p>
  </w:footnote>
  <w:footnote w:id="13">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Eiropas Revīzijas palāta — Gada ziņojums par ES kopuzņēmumiem attiecībā uz 2022. finanšu gadu (96. lpp.).</w:t>
      </w:r>
    </w:p>
  </w:footnote>
  <w:footnote w:id="14">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00BC4174">
        <w:fldChar w:fldCharType="begin"/>
      </w:r>
      <w:r w:rsidR="00BC4174" w:rsidRPr="00BC4174">
        <w:rPr>
          <w:lang w:val="lv-LV"/>
        </w:rPr>
        <w:instrText xml:space="preserve"> HYPERLINK "https://www.cbe.europa.eu/system/files?file=2023-07/CBE-JU-AAR-2022_0.pdf" </w:instrText>
      </w:r>
      <w:r w:rsidR="00BC4174">
        <w:fldChar w:fldCharType="separate"/>
      </w:r>
      <w:r w:rsidRPr="00791D90">
        <w:rPr>
          <w:rStyle w:val="Hyperlink"/>
          <w:sz w:val="24"/>
          <w:lang w:val="lv-LV"/>
        </w:rPr>
        <w:t xml:space="preserve">Konsolidētais 2022. gada darbības pārskats </w:t>
      </w:r>
      <w:r w:rsidR="00BC4174">
        <w:rPr>
          <w:rStyle w:val="Hyperlink"/>
          <w:sz w:val="24"/>
          <w:lang w:val="lv-LV"/>
        </w:rPr>
        <w:fldChar w:fldCharType="end"/>
      </w:r>
      <w:r w:rsidRPr="00791D90">
        <w:rPr>
          <w:rStyle w:val="Hyperlink"/>
          <w:sz w:val="24"/>
          <w:lang w:val="lv-LV"/>
        </w:rPr>
        <w:t>(8. lpp.)</w:t>
      </w:r>
      <w:r w:rsidRPr="00791D90">
        <w:rPr>
          <w:sz w:val="24"/>
          <w:lang w:val="lv-LV"/>
        </w:rPr>
        <w:t>.</w:t>
      </w:r>
    </w:p>
  </w:footnote>
  <w:footnote w:id="15">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Kopējais budžets ietver darbības budžetu (izmantots izvēlēto projektu finansēšanai) un administratīvo budžetu (izmantots programmas biroja aktivitāšu finansēšanai).</w:t>
      </w:r>
    </w:p>
  </w:footnote>
  <w:footnote w:id="16">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1. sadaļa — 2,9 miljoni EUR (izpilde 63 % apmērā), 2. sadaļa — 1,6 miljoni EUR (izpilde 60 % apmērā), 2. sadaļa — 120,5 miljoni EUR (izpilde 48 % apmērā).</w:t>
      </w:r>
    </w:p>
  </w:footnote>
  <w:footnote w:id="17">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1. sadaļa — 2,8 miljoni EUR (izpilde 55 % apmērā), 2. sadaļa — 1,9 miljoni EUR (izpilde 68 % apmērā), 3. sadaļa — 47,4 miljoni EUR (izpilde 65 % apmērā).</w:t>
      </w:r>
    </w:p>
  </w:footnote>
  <w:footnote w:id="18">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00BC4174">
        <w:fldChar w:fldCharType="begin"/>
      </w:r>
      <w:r w:rsidR="00BC4174" w:rsidRPr="00BC4174">
        <w:rPr>
          <w:lang w:val="lv-LV"/>
        </w:rPr>
        <w:instrText xml:space="preserve"> HYPERLINK "https://www.cbe.europa.eu/system/files?f</w:instrText>
      </w:r>
      <w:r w:rsidR="00BC4174" w:rsidRPr="00BC4174">
        <w:rPr>
          <w:lang w:val="lv-LV"/>
        </w:rPr>
        <w:instrText xml:space="preserve">ile=2023-07/CBE-JU-AAR-2022_0.pdf" </w:instrText>
      </w:r>
      <w:r w:rsidR="00BC4174">
        <w:fldChar w:fldCharType="separate"/>
      </w:r>
      <w:r w:rsidRPr="00791D90">
        <w:rPr>
          <w:rStyle w:val="Hyperlink"/>
          <w:sz w:val="24"/>
          <w:lang w:val="lv-LV"/>
        </w:rPr>
        <w:t>Konsolidētais 2022. gada darbības pārskats</w:t>
      </w:r>
      <w:r w:rsidR="00BC4174">
        <w:rPr>
          <w:rStyle w:val="Hyperlink"/>
          <w:sz w:val="24"/>
          <w:lang w:val="lv-LV"/>
        </w:rPr>
        <w:fldChar w:fldCharType="end"/>
      </w:r>
      <w:r w:rsidRPr="00791D90">
        <w:rPr>
          <w:sz w:val="24"/>
          <w:lang w:val="lv-LV"/>
        </w:rPr>
        <w:t xml:space="preserve"> (77. lpp.).</w:t>
      </w:r>
    </w:p>
  </w:footnote>
  <w:footnote w:id="19">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3. sadaļa: Darbības izdevumi (kopuzņēmumam "</w:t>
      </w:r>
      <w:r w:rsidRPr="00791D90">
        <w:rPr>
          <w:i/>
          <w:iCs/>
          <w:sz w:val="24"/>
          <w:lang w:val="lv-LV"/>
        </w:rPr>
        <w:t>CBE</w:t>
      </w:r>
      <w:r w:rsidRPr="00791D90">
        <w:rPr>
          <w:sz w:val="24"/>
          <w:lang w:val="lv-LV"/>
        </w:rPr>
        <w:t>" uzticēto darbību un uzdevumu īstenošanai saskaņā ar Padomes regulu, ar ko to izveido).</w:t>
      </w:r>
    </w:p>
  </w:footnote>
  <w:footnote w:id="20">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2. sadaļa: Administratīvās izmaksas (ietver vispārējās infrastruktūras un kārtējās izmaksas, piemēram, ēku nomu, IT izmaksas, biroja mēbeles un aprīkojumu, komunikāciju un sanāksmes un citas dažādas administratīvās izmaksas).</w:t>
      </w:r>
    </w:p>
  </w:footnote>
  <w:footnote w:id="21">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Vairāki līgumi tika noslēgti par mazāk nekā 15 000 EUR katrs.</w:t>
      </w:r>
    </w:p>
  </w:footnote>
  <w:footnote w:id="22">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Pilnais štatu saraksts organizācijai ir 29 cilvēki, kas "</w:t>
      </w:r>
      <w:r w:rsidRPr="00791D90">
        <w:rPr>
          <w:i/>
          <w:iCs/>
          <w:sz w:val="24"/>
          <w:lang w:val="lv-LV"/>
        </w:rPr>
        <w:t>CBE</w:t>
      </w:r>
      <w:r w:rsidRPr="00791D90">
        <w:rPr>
          <w:sz w:val="24"/>
          <w:lang w:val="lv-LV"/>
        </w:rPr>
        <w:t>" būtu jāsasniedz 2024. gada sākumā pēc jaunā izpilddirektora iecelšanas.</w:t>
      </w:r>
    </w:p>
  </w:footnote>
  <w:footnote w:id="23">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Pr="00791D90">
        <w:rPr>
          <w:sz w:val="24"/>
          <w:lang w:val="lv-LV"/>
        </w:rPr>
        <w:t>Attiecībā uz atbalsta saņēmēju līmenī pārbaudītajiem dotāciju maksājumu darījumiem par skaitļos izsakāmām kļūdām ir jāziņo tad, ja tās pārsniedz 1 % no revidētajām izmaksām.</w:t>
      </w:r>
    </w:p>
  </w:footnote>
  <w:footnote w:id="24">
    <w:p w:rsidR="000F59AB" w:rsidRPr="00791D90" w:rsidRDefault="000F59AB" w:rsidP="00791D90">
      <w:pPr>
        <w:pStyle w:val="FootnoteText"/>
        <w:ind w:left="567" w:hanging="567"/>
        <w:rPr>
          <w:sz w:val="24"/>
          <w:lang w:val="lv-LV"/>
        </w:rPr>
      </w:pPr>
      <w:r w:rsidRPr="00791D90">
        <w:rPr>
          <w:rStyle w:val="FootnoteReference"/>
          <w:sz w:val="24"/>
          <w:lang w:val="lv-LV"/>
        </w:rPr>
        <w:footnoteRef/>
      </w:r>
      <w:r w:rsidR="00791D90" w:rsidRPr="00791D90">
        <w:rPr>
          <w:sz w:val="24"/>
          <w:lang w:val="lv-LV"/>
        </w:rPr>
        <w:t xml:space="preserve"> </w:t>
      </w:r>
      <w:r w:rsidR="00791D90" w:rsidRPr="00791D90">
        <w:rPr>
          <w:sz w:val="24"/>
          <w:lang w:val="lv-LV"/>
        </w:rPr>
        <w:tab/>
      </w:r>
      <w:r w:rsidR="00BC4174">
        <w:fldChar w:fldCharType="begin"/>
      </w:r>
      <w:r w:rsidR="00BC4174" w:rsidRPr="00BC4174">
        <w:rPr>
          <w:lang w:val="lv-LV"/>
        </w:rPr>
        <w:instrText xml:space="preserve"> HYPERLINK "https://ebn.eu/about-ebn/" </w:instrText>
      </w:r>
      <w:r w:rsidR="00BC4174">
        <w:fldChar w:fldCharType="separate"/>
      </w:r>
      <w:r w:rsidRPr="00791D90">
        <w:rPr>
          <w:rStyle w:val="Hyperlink"/>
          <w:sz w:val="24"/>
          <w:lang w:val="lv-LV"/>
        </w:rPr>
        <w:t>https://ebn.eu/about-ebn/</w:t>
      </w:r>
      <w:r w:rsidR="00BC4174">
        <w:rPr>
          <w:rStyle w:val="Hyperlink"/>
          <w:sz w:val="24"/>
          <w:lang w:val="lv-LV"/>
        </w:rPr>
        <w:fldChar w:fldCharType="end"/>
      </w:r>
      <w:r w:rsidRPr="00791D90">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AB" w:rsidRPr="00791D90" w:rsidRDefault="000F59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AB" w:rsidRPr="00791D90" w:rsidRDefault="000F59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AB" w:rsidRPr="00791D90" w:rsidRDefault="000F59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1D9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1D9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1D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LV"/>
    <w:docVar w:name="dvnumam" w:val="0"/>
    <w:docVar w:name="dvpe" w:val="753.488"/>
    <w:docVar w:name="dvrapporteur" w:val="Referents: "/>
    <w:docVar w:name="dvtitre" w:val="Eiropas Parlamenta 2024. gada XX. XXX lēmums par kopuzņēmuma &quot;Apritīga biobāzēta Eiropa&quot; 2022. finanšu gada budžeta izpildes apstiprināšanu(2023/2174(DEC))"/>
  </w:docVars>
  <w:rsids>
    <w:rsidRoot w:val="00B94BD3"/>
    <w:rsid w:val="00002272"/>
    <w:rsid w:val="00064002"/>
    <w:rsid w:val="000677B9"/>
    <w:rsid w:val="000831BA"/>
    <w:rsid w:val="000A42CC"/>
    <w:rsid w:val="000E7DD9"/>
    <w:rsid w:val="000F59AB"/>
    <w:rsid w:val="0010095E"/>
    <w:rsid w:val="00125B37"/>
    <w:rsid w:val="00187494"/>
    <w:rsid w:val="001F32AE"/>
    <w:rsid w:val="002767FF"/>
    <w:rsid w:val="002B18FE"/>
    <w:rsid w:val="002B5493"/>
    <w:rsid w:val="00343214"/>
    <w:rsid w:val="00361C00"/>
    <w:rsid w:val="00395FA1"/>
    <w:rsid w:val="003A1650"/>
    <w:rsid w:val="003E15D4"/>
    <w:rsid w:val="00411CCE"/>
    <w:rsid w:val="0041666E"/>
    <w:rsid w:val="00421060"/>
    <w:rsid w:val="00471C19"/>
    <w:rsid w:val="004867E3"/>
    <w:rsid w:val="00494A28"/>
    <w:rsid w:val="004C0004"/>
    <w:rsid w:val="004C5D52"/>
    <w:rsid w:val="004E26D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1D9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0EA"/>
    <w:rsid w:val="00AE0928"/>
    <w:rsid w:val="00AF3B82"/>
    <w:rsid w:val="00B12E95"/>
    <w:rsid w:val="00B22876"/>
    <w:rsid w:val="00B558F0"/>
    <w:rsid w:val="00B94BD3"/>
    <w:rsid w:val="00BC417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1B893"/>
  <w15:chartTrackingRefBased/>
  <w15:docId w15:val="{5BCD90C6-BF71-4AEF-B267-D462E8778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59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59AB"/>
    <w:pPr>
      <w:spacing w:before="480" w:after="240"/>
    </w:pPr>
  </w:style>
  <w:style w:type="paragraph" w:customStyle="1" w:styleId="PageHeading">
    <w:name w:val="PageHeading"/>
    <w:basedOn w:val="Normal"/>
    <w:rsid w:val="000F59AB"/>
    <w:pPr>
      <w:keepNext/>
      <w:spacing w:after="480"/>
      <w:jc w:val="center"/>
    </w:pPr>
    <w:rPr>
      <w:rFonts w:ascii="Arial" w:hAnsi="Arial" w:cs="Arial"/>
      <w:b/>
    </w:rPr>
  </w:style>
  <w:style w:type="paragraph" w:customStyle="1" w:styleId="NormalBold">
    <w:name w:val="NormalBold"/>
    <w:basedOn w:val="Normal"/>
    <w:rsid w:val="000F59AB"/>
    <w:rPr>
      <w:b/>
    </w:rPr>
  </w:style>
  <w:style w:type="paragraph" w:customStyle="1" w:styleId="NormalHanging12a">
    <w:name w:val="NormalHanging12a"/>
    <w:basedOn w:val="Normal"/>
    <w:link w:val="NormalHanging12aChar"/>
    <w:qFormat/>
    <w:rsid w:val="000F59AB"/>
    <w:pPr>
      <w:spacing w:after="240"/>
      <w:ind w:left="567" w:hanging="567"/>
    </w:pPr>
  </w:style>
  <w:style w:type="paragraph" w:styleId="Header">
    <w:name w:val="header"/>
    <w:basedOn w:val="Normal"/>
    <w:link w:val="HeaderChar"/>
    <w:rsid w:val="000F59AB"/>
    <w:pPr>
      <w:tabs>
        <w:tab w:val="center" w:pos="4513"/>
        <w:tab w:val="right" w:pos="9026"/>
      </w:tabs>
    </w:pPr>
  </w:style>
  <w:style w:type="character" w:customStyle="1" w:styleId="HeaderChar">
    <w:name w:val="Header Char"/>
    <w:basedOn w:val="DefaultParagraphFont"/>
    <w:link w:val="Header"/>
    <w:rsid w:val="000F59AB"/>
    <w:rPr>
      <w:sz w:val="24"/>
      <w:lang w:val="lv-LV"/>
    </w:rPr>
  </w:style>
  <w:style w:type="paragraph" w:customStyle="1" w:styleId="EPFooter">
    <w:name w:val="EPFooter"/>
    <w:basedOn w:val="Normal"/>
    <w:rsid w:val="000F59AB"/>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0F59AB"/>
    <w:rPr>
      <w:color w:val="0563C1" w:themeColor="hyperlink"/>
      <w:u w:val="single"/>
    </w:rPr>
  </w:style>
  <w:style w:type="character" w:customStyle="1" w:styleId="NormalHanging12aChar">
    <w:name w:val="NormalHanging12a Char"/>
    <w:basedOn w:val="DefaultParagraphFont"/>
    <w:link w:val="NormalHanging12a"/>
    <w:locked/>
    <w:rsid w:val="000F59AB"/>
    <w:rPr>
      <w:sz w:val="24"/>
      <w:lang w:val="lv-LV"/>
    </w:rPr>
  </w:style>
  <w:style w:type="paragraph" w:styleId="BalloonText">
    <w:name w:val="Balloon Text"/>
    <w:basedOn w:val="Normal"/>
    <w:link w:val="BalloonTextChar"/>
    <w:rsid w:val="003A1650"/>
    <w:rPr>
      <w:rFonts w:ascii="Segoe UI" w:hAnsi="Segoe UI" w:cs="Segoe UI"/>
      <w:sz w:val="18"/>
      <w:szCs w:val="18"/>
    </w:rPr>
  </w:style>
  <w:style w:type="character" w:customStyle="1" w:styleId="BalloonTextChar">
    <w:name w:val="Balloon Text Char"/>
    <w:basedOn w:val="DefaultParagraphFont"/>
    <w:link w:val="BalloonText"/>
    <w:rsid w:val="003A165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AD16A-C17C-465A-AD0C-0F0A2394C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3095</Words>
  <Characters>20071</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2024-05-24T08:57:00Z</dcterms:created>
  <dcterms:modified xsi:type="dcterms:W3CDTF">2024-10-30T17:50:00Z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P9_TA(2024)0273_</vt:lpwstr>
  </property>
  <property fmtid="{D5CDD505-2E9C-101B-9397-08002B2CF9AE}" pid="4" name="&lt;Type&gt;">
    <vt:lpwstr>RR</vt:lpwstr>
  </property>
</Properties>
</file>