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41C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241C6" w:rsidRDefault="00903253" w:rsidP="0010095E">
            <w:pPr>
              <w:pStyle w:val="EPName"/>
            </w:pPr>
            <w:r w:rsidRPr="00B241C6">
              <w:t>Európsky parlament</w:t>
            </w:r>
          </w:p>
          <w:p w:rsidR="00751A4A" w:rsidRPr="00B241C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41C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241C6" w:rsidRDefault="00187494" w:rsidP="0010095E">
            <w:pPr>
              <w:pStyle w:val="EPLogo"/>
            </w:pPr>
            <w:r w:rsidRPr="00B241C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241C6" w:rsidRDefault="00D058B8" w:rsidP="004C5D52">
      <w:pPr>
        <w:pStyle w:val="LineTop"/>
      </w:pPr>
    </w:p>
    <w:p w:rsidR="00680577" w:rsidRPr="00B241C6" w:rsidRDefault="00903253" w:rsidP="00680577">
      <w:pPr>
        <w:pStyle w:val="EPBodyTA1"/>
      </w:pPr>
      <w:r w:rsidRPr="00B241C6">
        <w:t>PRIJATÉ TEXTY</w:t>
      </w:r>
    </w:p>
    <w:p w:rsidR="00D058B8" w:rsidRPr="00B241C6" w:rsidRDefault="00D058B8" w:rsidP="00D058B8">
      <w:pPr>
        <w:pStyle w:val="LineBottom"/>
      </w:pPr>
    </w:p>
    <w:p w:rsidR="00903253" w:rsidRPr="00B241C6" w:rsidRDefault="00903253" w:rsidP="00903253">
      <w:pPr>
        <w:pStyle w:val="ATHeading1"/>
      </w:pPr>
      <w:bookmarkStart w:id="0" w:name="TANumber"/>
      <w:r w:rsidRPr="00B241C6">
        <w:t>P9_TA(2024)0</w:t>
      </w:r>
      <w:r w:rsidR="00B241C6" w:rsidRPr="00B241C6">
        <w:t>273</w:t>
      </w:r>
      <w:bookmarkEnd w:id="0"/>
    </w:p>
    <w:p w:rsidR="00903253" w:rsidRPr="00B241C6" w:rsidRDefault="00903253" w:rsidP="00903253">
      <w:pPr>
        <w:pStyle w:val="ATHeading2"/>
      </w:pPr>
      <w:bookmarkStart w:id="1" w:name="title"/>
      <w:r w:rsidRPr="00B241C6">
        <w:t>Absolutórium za rok 2022: spoločný podnik pre európske obehové hospodárstvo využívajúce biologické materiály</w:t>
      </w:r>
      <w:bookmarkEnd w:id="1"/>
    </w:p>
    <w:p w:rsidR="00903253" w:rsidRPr="00B241C6" w:rsidRDefault="00903253" w:rsidP="00903253">
      <w:pPr>
        <w:rPr>
          <w:i/>
          <w:vanish/>
        </w:rPr>
      </w:pPr>
      <w:r w:rsidRPr="00B241C6">
        <w:rPr>
          <w:i/>
        </w:rPr>
        <w:fldChar w:fldCharType="begin"/>
      </w:r>
      <w:r w:rsidRPr="00B241C6">
        <w:rPr>
          <w:i/>
        </w:rPr>
        <w:instrText xml:space="preserve"> TC"(</w:instrText>
      </w:r>
      <w:bookmarkStart w:id="2" w:name="DocNumber"/>
      <w:r w:rsidRPr="00B241C6">
        <w:rPr>
          <w:i/>
        </w:rPr>
        <w:instrText>A9-0088/2024</w:instrText>
      </w:r>
      <w:bookmarkEnd w:id="2"/>
      <w:r w:rsidRPr="00B241C6">
        <w:rPr>
          <w:i/>
        </w:rPr>
        <w:instrText xml:space="preserve"> - Spravodajca: Michal Wiezik)"\l3 \n&gt; \* MERGEFORMAT </w:instrText>
      </w:r>
      <w:r w:rsidRPr="00B241C6">
        <w:rPr>
          <w:i/>
        </w:rPr>
        <w:fldChar w:fldCharType="end"/>
      </w:r>
    </w:p>
    <w:p w:rsidR="00903253" w:rsidRPr="00B241C6" w:rsidRDefault="00903253" w:rsidP="00903253">
      <w:pPr>
        <w:rPr>
          <w:vanish/>
        </w:rPr>
      </w:pPr>
      <w:bookmarkStart w:id="3" w:name="Commission"/>
      <w:r w:rsidRPr="00B241C6">
        <w:rPr>
          <w:vanish/>
        </w:rPr>
        <w:t>Výbor pre kontrolu rozpočtu</w:t>
      </w:r>
      <w:bookmarkEnd w:id="3"/>
    </w:p>
    <w:p w:rsidR="00903253" w:rsidRPr="00B241C6" w:rsidRDefault="00903253" w:rsidP="00903253">
      <w:pPr>
        <w:rPr>
          <w:vanish/>
        </w:rPr>
      </w:pPr>
      <w:bookmarkStart w:id="4" w:name="PE"/>
      <w:r w:rsidRPr="00B241C6">
        <w:rPr>
          <w:vanish/>
        </w:rPr>
        <w:t>PE753.488</w:t>
      </w:r>
      <w:bookmarkEnd w:id="4"/>
    </w:p>
    <w:p w:rsidR="00903253" w:rsidRPr="00B241C6" w:rsidRDefault="00381B72" w:rsidP="00903253">
      <w:pPr>
        <w:pStyle w:val="ATHeading3"/>
      </w:pPr>
      <w:bookmarkStart w:id="5" w:name="Sujet"/>
      <w:r w:rsidRPr="00B241C6">
        <w:t>1. R</w:t>
      </w:r>
      <w:r w:rsidR="00903253" w:rsidRPr="00B241C6">
        <w:t>ozhodnutie Európskeho parlamentu z</w:t>
      </w:r>
      <w:r w:rsidR="00EE6DBA" w:rsidRPr="00B241C6">
        <w:t> 11</w:t>
      </w:r>
      <w:r w:rsidR="00903253" w:rsidRPr="00B241C6">
        <w:t>. apríla 2024 o absolutóriu za plnenie rozpočtu spoločného podniku pre európske obehové hospodárstvo využívajúce biologické materiály za rozpočtový rok 2022</w:t>
      </w:r>
      <w:bookmarkEnd w:id="5"/>
      <w:r w:rsidR="00903253" w:rsidRPr="00B241C6">
        <w:t xml:space="preserve"> </w:t>
      </w:r>
      <w:bookmarkStart w:id="6" w:name="References"/>
      <w:r w:rsidR="00903253" w:rsidRPr="00B241C6">
        <w:t>(2023/2174(DEC))</w:t>
      </w:r>
      <w:bookmarkEnd w:id="6"/>
    </w:p>
    <w:p w:rsidR="006C599B" w:rsidRPr="00B241C6" w:rsidRDefault="006C599B" w:rsidP="006C599B">
      <w:pPr>
        <w:pStyle w:val="EPComma"/>
      </w:pPr>
      <w:bookmarkStart w:id="7" w:name="TextBodyBegin"/>
      <w:bookmarkEnd w:id="7"/>
      <w:r w:rsidRPr="00B241C6">
        <w:rPr>
          <w:i/>
        </w:rPr>
        <w:t>Európsky parlament</w:t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konečnú ročnú účtovnú závierku spoločného podniku pre európske obehové hospodárstvo využívajúce biologické materiály za rozpočtový rok 2022,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výročnú správu Dvora audítorov o spoločných podnikoch EÚ za rozpočtový rok 2022 spolu s odpoveďami spoločných podnikov</w:t>
      </w:r>
      <w:r w:rsidRPr="00B241C6">
        <w:rPr>
          <w:rStyle w:val="FootnoteReference"/>
        </w:rPr>
        <w:footnoteReference w:id="1"/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vyhlásenie o vierohodnosti</w:t>
      </w:r>
      <w:r w:rsidRPr="00B241C6">
        <w:rPr>
          <w:rStyle w:val="FootnoteReference"/>
        </w:rPr>
        <w:footnoteReference w:id="2"/>
      </w:r>
      <w:r w:rsidRPr="00B241C6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odporúčanie Rady z 22. februára 2024 o udelení absolutória spoločnému podniku za plnenie rozpočtu za rozpočtový rok 2022 (</w:t>
      </w:r>
      <w:r w:rsidR="00EE6DBA" w:rsidRPr="00B241C6">
        <w:t>06182</w:t>
      </w:r>
      <w:r w:rsidRPr="00B241C6">
        <w:t>/2024 – C9</w:t>
      </w:r>
      <w:r w:rsidRPr="00B241C6">
        <w:noBreakHyphen/>
      </w:r>
      <w:r w:rsidR="00EE6DBA" w:rsidRPr="00B241C6">
        <w:t>0112</w:t>
      </w:r>
      <w:r w:rsidRPr="00B241C6">
        <w:t>/2024),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článok 319 Zmluvy o fungovaní Európskej únie,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 xml:space="preserve">so zreteľom na nariadenie Európskeho parlamentu a Rady (EÚ, </w:t>
      </w:r>
      <w:proofErr w:type="spellStart"/>
      <w:r w:rsidRPr="00B241C6">
        <w:t>Euratom</w:t>
      </w:r>
      <w:proofErr w:type="spellEnd"/>
      <w:r w:rsidRPr="00B241C6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B241C6">
        <w:t>Euratom</w:t>
      </w:r>
      <w:proofErr w:type="spellEnd"/>
      <w:r w:rsidRPr="00B241C6">
        <w:t>) č. 966/2012</w:t>
      </w:r>
      <w:r w:rsidRPr="00B241C6">
        <w:rPr>
          <w:rStyle w:val="FootnoteReference"/>
        </w:rPr>
        <w:footnoteReference w:id="3"/>
      </w:r>
      <w:r w:rsidRPr="00B241C6">
        <w:t>, a najmä na jeho článok 71,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nariadenie Rady (EÚ) 2021/2085 z 19. novembra 2021, ktorým sa zakladajú spoločné podniky v rámci programu Horizont Európa a zrušujú nariadenia (ES) č. 219/2007, (EÚ) č. 557/2014, (EÚ) č. 558/2014, (EÚ) č. 559/2014, (EÚ) č. 560/2014, (EÚ) č. 561/2014 a (EÚ) č. 642/2014</w:t>
      </w:r>
      <w:r w:rsidRPr="00B241C6">
        <w:rPr>
          <w:rStyle w:val="FootnoteReference"/>
        </w:rPr>
        <w:footnoteReference w:id="4"/>
      </w:r>
      <w:r w:rsidRPr="00B241C6">
        <w:t>, a najmä na jeho článok 26,</w:t>
      </w:r>
    </w:p>
    <w:p w:rsidR="006C599B" w:rsidRPr="00B241C6" w:rsidRDefault="006C599B" w:rsidP="006C599B">
      <w:pPr>
        <w:pStyle w:val="NormalHanging12a"/>
      </w:pPr>
      <w:r w:rsidRPr="00B241C6">
        <w:lastRenderedPageBreak/>
        <w:t>–</w:t>
      </w:r>
      <w:r w:rsidRPr="00B241C6">
        <w:tab/>
        <w:t xml:space="preserve">so zreteľom na delegované nariadenie Komisie (EÚ) 2019/887 z 13. marca 2019 o vzorovom nariadení o rozpočtových pravidlách pre subjekty verejno-súkromného partnerstva uvedené v článku 71 nariadenia Európskeho parlamentu a Rady (EÚ, </w:t>
      </w:r>
      <w:proofErr w:type="spellStart"/>
      <w:r w:rsidRPr="00B241C6">
        <w:t>Euratom</w:t>
      </w:r>
      <w:proofErr w:type="spellEnd"/>
      <w:r w:rsidRPr="00B241C6">
        <w:t>) 2018/1046</w:t>
      </w:r>
      <w:r w:rsidRPr="00B241C6">
        <w:rPr>
          <w:rStyle w:val="FootnoteReference"/>
        </w:rPr>
        <w:footnoteReference w:id="5"/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článok 100 a prílohu V k rokovaciemu poriadku,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stanoviská Výboru pre regionálny rozvoj a Výboru pre priemysel, výskum a energetiku,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správu Výboru pre kontrolu rozpočtu (A9-0088/2024),</w:t>
      </w:r>
    </w:p>
    <w:p w:rsidR="006C599B" w:rsidRPr="00B241C6" w:rsidRDefault="006C599B" w:rsidP="006C599B">
      <w:pPr>
        <w:pStyle w:val="NormalHanging12a"/>
      </w:pPr>
      <w:r w:rsidRPr="00B241C6">
        <w:t>1.</w:t>
      </w:r>
      <w:r w:rsidRPr="00B241C6">
        <w:tab/>
        <w:t>udeľuje výkonnému riaditeľovi spoločného podniku pre európske obehové hospodárstvo využívajúce biologické materiály absolutórium za plnenie rozpočtu spoločného podniku za rozpočtový rok 2022;</w:t>
      </w:r>
    </w:p>
    <w:p w:rsidR="006C599B" w:rsidRPr="00B241C6" w:rsidRDefault="006C599B" w:rsidP="006C599B">
      <w:pPr>
        <w:pStyle w:val="NormalHanging12a"/>
      </w:pPr>
      <w:r w:rsidRPr="00B241C6">
        <w:t>2.</w:t>
      </w:r>
      <w:r w:rsidRPr="00B241C6">
        <w:tab/>
        <w:t>uvádza svoje poznámky v priloženom uznesení;</w:t>
      </w:r>
    </w:p>
    <w:p w:rsidR="006C599B" w:rsidRPr="00B241C6" w:rsidRDefault="006C599B" w:rsidP="006C599B">
      <w:pPr>
        <w:pStyle w:val="NormalHanging12a"/>
      </w:pPr>
      <w:r w:rsidRPr="00B241C6">
        <w:t>3.</w:t>
      </w:r>
      <w:r w:rsidRPr="00B241C6">
        <w:tab/>
        <w:t xml:space="preserve">poveruje svoju predsedníčku, aby postúpila toto rozhodnutie a uznesenie, ktoré je jeho neoddeliteľnou súčasťou, výkonnému riaditeľovi spoločného podniku pre európske obehové hospodárstvo využívajúce biologické materiály, Rade, Komisii a Dvoru audítorov a aby zabezpečila ich uverejnenie v </w:t>
      </w:r>
      <w:r w:rsidRPr="00B241C6">
        <w:rPr>
          <w:i/>
        </w:rPr>
        <w:t>Úradnom vestníku Európskej únie</w:t>
      </w:r>
      <w:r w:rsidRPr="00B241C6">
        <w:t xml:space="preserve"> (v sérii L).</w:t>
      </w:r>
    </w:p>
    <w:p w:rsidR="006C599B" w:rsidRPr="00B241C6" w:rsidRDefault="006C599B" w:rsidP="006C599B"/>
    <w:p w:rsidR="006C599B" w:rsidRPr="00B241C6" w:rsidRDefault="006C599B" w:rsidP="006C599B">
      <w:pPr>
        <w:pStyle w:val="PageHeading"/>
        <w:sectPr w:rsidR="006C599B" w:rsidRPr="00B241C6" w:rsidSect="007C74D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C599B" w:rsidRPr="00B241C6" w:rsidRDefault="006C599B" w:rsidP="00381B72">
      <w:pPr>
        <w:pStyle w:val="ATHeading3"/>
      </w:pPr>
      <w:bookmarkStart w:id="8" w:name="_Toc161823759"/>
      <w:r w:rsidRPr="00B241C6">
        <w:lastRenderedPageBreak/>
        <w:t xml:space="preserve">2. </w:t>
      </w:r>
      <w:bookmarkEnd w:id="8"/>
      <w:r w:rsidR="00381B72" w:rsidRPr="00B241C6">
        <w:t>Rozhodnutie Európskeho parlamentu z</w:t>
      </w:r>
      <w:r w:rsidR="00EE6DBA" w:rsidRPr="00B241C6">
        <w:t> 11</w:t>
      </w:r>
      <w:r w:rsidR="00381B72" w:rsidRPr="00B241C6">
        <w:t xml:space="preserve">. apríla 2024 </w:t>
      </w:r>
      <w:r w:rsidRPr="00B241C6">
        <w:t>o účtovnej závierke spoločného podniku pre európske obehové hospodárstvo využívajúce biologické materiály za rozpočtový rok 2022</w:t>
      </w:r>
      <w:r w:rsidR="00381B72" w:rsidRPr="00B241C6">
        <w:t xml:space="preserve"> </w:t>
      </w:r>
      <w:r w:rsidRPr="00B241C6">
        <w:t>(2023/2174(DEC))</w:t>
      </w:r>
    </w:p>
    <w:p w:rsidR="006C599B" w:rsidRPr="00B241C6" w:rsidRDefault="006C599B" w:rsidP="006C599B">
      <w:pPr>
        <w:pStyle w:val="EPComma"/>
      </w:pPr>
      <w:r w:rsidRPr="00B241C6">
        <w:rPr>
          <w:i/>
        </w:rPr>
        <w:t>Európsky parlament</w:t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konečnú ročnú účtovnú závierku spoločného podniku pre európske obehové hospodárstvo využívajúce biologické materiály za rozpočtový rok 2022,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výročnú správu Dvora audítorov o spoločných podnikoch EÚ za rozpočtový rok 2022 spolu s odpoveďami spoločných podnikov</w:t>
      </w:r>
      <w:r w:rsidRPr="00B241C6">
        <w:rPr>
          <w:rStyle w:val="FootnoteReference"/>
        </w:rPr>
        <w:footnoteReference w:id="6"/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vyhlásenie o vierohodnosti</w:t>
      </w:r>
      <w:r w:rsidRPr="00B241C6">
        <w:rPr>
          <w:rStyle w:val="FootnoteReference"/>
        </w:rPr>
        <w:footnoteReference w:id="7"/>
      </w:r>
      <w:r w:rsidRPr="00B241C6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odporúčanie Rady z 22. februára 2024 o udelení absolutória spoločnému podniku za plnenie rozpočtu za rozpočtový rok 2022 (</w:t>
      </w:r>
      <w:r w:rsidR="00EE6DBA" w:rsidRPr="00B241C6">
        <w:t>06182</w:t>
      </w:r>
      <w:r w:rsidRPr="00B241C6">
        <w:t>/2024 – C9</w:t>
      </w:r>
      <w:r w:rsidRPr="00B241C6">
        <w:noBreakHyphen/>
      </w:r>
      <w:r w:rsidR="00EE6DBA" w:rsidRPr="00B241C6">
        <w:t>0112</w:t>
      </w:r>
      <w:r w:rsidRPr="00B241C6">
        <w:t>/2024),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článok 319 Zmluvy o fungovaní Európskej únie,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 xml:space="preserve">so zreteľom na nariadenie Európskeho parlamentu a Rady (EÚ, </w:t>
      </w:r>
      <w:proofErr w:type="spellStart"/>
      <w:r w:rsidRPr="00B241C6">
        <w:t>Euratom</w:t>
      </w:r>
      <w:proofErr w:type="spellEnd"/>
      <w:r w:rsidRPr="00B241C6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B241C6">
        <w:t>Euratom</w:t>
      </w:r>
      <w:proofErr w:type="spellEnd"/>
      <w:r w:rsidRPr="00B241C6">
        <w:t>) č. 966/2012</w:t>
      </w:r>
      <w:r w:rsidRPr="00B241C6">
        <w:rPr>
          <w:rStyle w:val="FootnoteReference"/>
        </w:rPr>
        <w:footnoteReference w:id="8"/>
      </w:r>
      <w:r w:rsidRPr="00B241C6">
        <w:t>, a najmä na jeho článok 71,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nariadenie Rady (EÚ) 2021/2085 z 19. novembra 2021, ktorým sa zakladajú spoločné podniky v rámci programu Horizont Európa a zrušujú nariadenia (ES) č. 219/2007, (EÚ) č. 557/2014, (EÚ) č. 558/2014, (EÚ) č. 559/2014, (EÚ) č. 560/2014, (EÚ) č. 561/2014 a (EÚ) č. 642/2014</w:t>
      </w:r>
      <w:r w:rsidRPr="00B241C6">
        <w:rPr>
          <w:rStyle w:val="FootnoteReference"/>
        </w:rPr>
        <w:footnoteReference w:id="9"/>
      </w:r>
      <w:r w:rsidRPr="00B241C6">
        <w:t>, a najmä jeho článok 26,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 xml:space="preserve">so zreteľom na delegované nariadenie Komisie (EÚ) 2019/887 z 13. marca 2019 o vzorovom nariadení o rozpočtových pravidlách pre subjekty verejno-súkromného partnerstva uvedené v článku 71 nariadenia Európskeho parlamentu a Rady (EÚ, </w:t>
      </w:r>
      <w:proofErr w:type="spellStart"/>
      <w:r w:rsidRPr="00B241C6">
        <w:t>Euratom</w:t>
      </w:r>
      <w:proofErr w:type="spellEnd"/>
      <w:r w:rsidRPr="00B241C6">
        <w:t>) 2018/1046</w:t>
      </w:r>
      <w:r w:rsidRPr="00B241C6">
        <w:rPr>
          <w:rStyle w:val="FootnoteReference"/>
        </w:rPr>
        <w:footnoteReference w:id="10"/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článok 100 a prílohu V k rokovaciemu poriadku,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správu Výboru pre kontrolu rozpočtu (A9-0088/2024),</w:t>
      </w:r>
    </w:p>
    <w:p w:rsidR="006C599B" w:rsidRPr="00B241C6" w:rsidRDefault="006C599B" w:rsidP="006C599B">
      <w:pPr>
        <w:pStyle w:val="NormalHanging12a"/>
      </w:pPr>
      <w:r w:rsidRPr="00B241C6">
        <w:t>1.</w:t>
      </w:r>
      <w:r w:rsidRPr="00B241C6">
        <w:tab/>
        <w:t>schvaľuje účtovnú závierku spoločného podniku pre európske obehové hospodárstvo využívajúce biologické materiály za rozpočtový rok 2022;</w:t>
      </w:r>
    </w:p>
    <w:p w:rsidR="006C599B" w:rsidRPr="00B241C6" w:rsidRDefault="006C599B" w:rsidP="006C599B">
      <w:pPr>
        <w:pStyle w:val="NormalHanging12a"/>
      </w:pPr>
      <w:r w:rsidRPr="00B241C6">
        <w:t>2.</w:t>
      </w:r>
      <w:r w:rsidRPr="00B241C6">
        <w:tab/>
        <w:t xml:space="preserve">poveruje svoju predsedníčku, aby postúpila toto rozhodnutie výkonnému riaditeľovi </w:t>
      </w:r>
      <w:r w:rsidRPr="00B241C6">
        <w:lastRenderedPageBreak/>
        <w:t xml:space="preserve">spoločného podniku pre európske obehové hospodárstvo využívajúce biologické materiály, Rade, Komisii a Dvoru audítorov a aby zabezpečila jeho uverejnenie v </w:t>
      </w:r>
      <w:r w:rsidRPr="00B241C6">
        <w:rPr>
          <w:i/>
          <w:iCs/>
        </w:rPr>
        <w:t>Úradnom vestníku Európskej únie</w:t>
      </w:r>
      <w:r w:rsidRPr="00B241C6">
        <w:t xml:space="preserve"> (v sérii L).</w:t>
      </w:r>
    </w:p>
    <w:p w:rsidR="006C599B" w:rsidRPr="00B241C6" w:rsidRDefault="006C599B" w:rsidP="006C599B"/>
    <w:p w:rsidR="006C599B" w:rsidRPr="00B241C6" w:rsidRDefault="006C599B" w:rsidP="006C599B">
      <w:pPr>
        <w:pStyle w:val="PageHeading"/>
        <w:sectPr w:rsidR="006C599B" w:rsidRPr="00B241C6" w:rsidSect="007C74D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6C599B" w:rsidRPr="00B241C6" w:rsidRDefault="006C599B" w:rsidP="00381B72">
      <w:pPr>
        <w:pStyle w:val="ATHeading3"/>
      </w:pPr>
      <w:bookmarkStart w:id="10" w:name="_Toc161823760"/>
      <w:r w:rsidRPr="00B241C6">
        <w:lastRenderedPageBreak/>
        <w:t xml:space="preserve">3. </w:t>
      </w:r>
      <w:bookmarkEnd w:id="10"/>
      <w:r w:rsidR="00381B72" w:rsidRPr="00B241C6">
        <w:t>Uznesenie Európskeho parlamentu z</w:t>
      </w:r>
      <w:r w:rsidR="00EE6DBA" w:rsidRPr="00B241C6">
        <w:t> 11</w:t>
      </w:r>
      <w:r w:rsidR="00381B72" w:rsidRPr="00B241C6">
        <w:t xml:space="preserve">. apríla 2024 </w:t>
      </w:r>
      <w:r w:rsidRPr="00B241C6">
        <w:t xml:space="preserve">s poznámkami, ktoré </w:t>
      </w:r>
      <w:r w:rsidR="00381B72" w:rsidRPr="00B241C6">
        <w:t xml:space="preserve">je </w:t>
      </w:r>
      <w:r w:rsidRPr="00B241C6">
        <w:t>neoddeliteľnou súčasťou rozhodnutia o absolutóriu za plnenie rozpočtu spoločného podniku pre európske obehové hospodárstvo využívajúce biologické materiály za rozpočtový rok 2022</w:t>
      </w:r>
      <w:r w:rsidR="00381B72" w:rsidRPr="00B241C6">
        <w:t xml:space="preserve"> </w:t>
      </w:r>
      <w:r w:rsidRPr="00B241C6">
        <w:t>(2023/2174(DEC))</w:t>
      </w:r>
    </w:p>
    <w:p w:rsidR="006C599B" w:rsidRPr="00B241C6" w:rsidRDefault="006C599B" w:rsidP="006C599B">
      <w:pPr>
        <w:pStyle w:val="EPComma"/>
      </w:pPr>
      <w:r w:rsidRPr="00B241C6">
        <w:rPr>
          <w:i/>
        </w:rPr>
        <w:t>Európsky parlament</w:t>
      </w:r>
      <w:r w:rsidRPr="00B241C6">
        <w:t>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svoje rozhodnutie o absolutóriu za plnenie rozpočtu spoločného podniku pre európske obehové hospodárstvo využívajúce biologické materiály za rozpočtový rok 2022,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článok 100 a prílohu V k rokovaciemu poriadku,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stanoviská Výboru pre regionálny rozvoj a Výboru pre priemysel, výskum a energetiku,</w:t>
      </w:r>
    </w:p>
    <w:p w:rsidR="006C599B" w:rsidRPr="00B241C6" w:rsidRDefault="006C599B" w:rsidP="006C599B">
      <w:pPr>
        <w:pStyle w:val="NormalHanging12a"/>
      </w:pPr>
      <w:r w:rsidRPr="00B241C6">
        <w:t>–</w:t>
      </w:r>
      <w:r w:rsidRPr="00B241C6">
        <w:tab/>
        <w:t>so zreteľom na správu Výboru pre kontrolu rozpočtu (A9-0088/2024),</w:t>
      </w:r>
    </w:p>
    <w:p w:rsidR="006C599B" w:rsidRPr="00B241C6" w:rsidRDefault="006C599B" w:rsidP="006C599B">
      <w:pPr>
        <w:pStyle w:val="NormalHanging12a"/>
      </w:pPr>
      <w:r w:rsidRPr="00B241C6">
        <w:t>A.</w:t>
      </w:r>
      <w:r w:rsidRPr="00B241C6">
        <w:tab/>
        <w:t>keďže spoločný podnik pre európske obehové hospodárstvo využívajúce biologické materiály (ďalej len „spoločný podnik CBE“) so sídlom v Bruseli bol zriadený v novembri 2021 v rámci programu Horizont Európa na obdobie do 31. decembra 2031</w:t>
      </w:r>
      <w:r w:rsidRPr="00B241C6">
        <w:rPr>
          <w:rStyle w:val="FootnoteReference"/>
        </w:rPr>
        <w:footnoteReference w:id="11"/>
      </w:r>
      <w:r w:rsidRPr="00B241C6">
        <w:t>; keďže spoločný podnik CBE nahradil spoločný podnik pre priemyselné odvetvia využívajúce biologické materiály (ďalej len „spoločný podnik BBI“) zriadený v máji 2014 v rámci programu Horizont 2020 na obdobie do 31. decembra 2024</w:t>
      </w:r>
      <w:r w:rsidRPr="00B241C6">
        <w:rPr>
          <w:rStyle w:val="FootnoteReference"/>
        </w:rPr>
        <w:footnoteReference w:id="12"/>
      </w:r>
      <w:r w:rsidRPr="00B241C6">
        <w:t>;</w:t>
      </w:r>
    </w:p>
    <w:p w:rsidR="006C599B" w:rsidRPr="00B241C6" w:rsidRDefault="006C599B" w:rsidP="006C599B">
      <w:pPr>
        <w:pStyle w:val="NormalHanging12a"/>
      </w:pPr>
      <w:r w:rsidRPr="00B241C6">
        <w:t>B.</w:t>
      </w:r>
      <w:r w:rsidRPr="00B241C6">
        <w:tab/>
        <w:t>keďže spoločný podnik CBE je verejno-súkromné partnerstvo zamerané na výskum a inovácie v záujme udržateľného a konkurencieschopného odvetvia obehového hospodárstva využívajúceho biologické materiály; keďže jeho zakladajúcimi členmi sú Únia zastúpená Komisiou a partneri z priemyslu zastúpení konzorciom pre priemyselné odvetvia využívajúce biologické materiály;</w:t>
      </w:r>
    </w:p>
    <w:p w:rsidR="006C599B" w:rsidRPr="00B241C6" w:rsidRDefault="006C599B" w:rsidP="006C599B">
      <w:pPr>
        <w:pStyle w:val="NormalHanging12a"/>
      </w:pPr>
      <w:r w:rsidRPr="00B241C6">
        <w:t>C.</w:t>
      </w:r>
      <w:r w:rsidRPr="00B241C6">
        <w:tab/>
        <w:t>keďže v záujme zvýšenia transparentnosti by spoločný podnik CBE mal vo svojej ročnej účtovnej závierke zverejňovať relevantné informácie týkajúce sa príspevkov členov na úrovni programov; keďže spoločný podnik CBE by mal pre každý program, v rámci ktorého pôsobí, predložiť do konca roka podľa kategórií členov všetky relevantné informácie vrátane právne stanovených cieľových hodnôt príspevkov pre príslušný program, objem prijatých príspevkov a objem právnych záväzkov; keďže spoločný podnik CBE by mal naďalej zlepšovať transparentnosť;</w:t>
      </w:r>
    </w:p>
    <w:p w:rsidR="006C599B" w:rsidRPr="00B241C6" w:rsidRDefault="006C599B" w:rsidP="006C599B">
      <w:pPr>
        <w:pStyle w:val="NormalHanging12a"/>
        <w:jc w:val="both"/>
        <w:rPr>
          <w:b/>
          <w:i/>
        </w:rPr>
      </w:pPr>
      <w:r w:rsidRPr="00B241C6">
        <w:rPr>
          <w:b/>
          <w:i/>
        </w:rPr>
        <w:t>Všeobecné pripomienky</w:t>
      </w:r>
    </w:p>
    <w:p w:rsidR="006C599B" w:rsidRPr="00B241C6" w:rsidRDefault="006C599B" w:rsidP="006C599B">
      <w:pPr>
        <w:pStyle w:val="NormalHanging12a"/>
      </w:pPr>
      <w:r w:rsidRPr="00B241C6">
        <w:t>1.</w:t>
      </w:r>
      <w:r w:rsidRPr="00B241C6">
        <w:tab/>
        <w:t xml:space="preserve">konštatuje, že podľa správy Dvora audítorov o overení ročnej účtovnej závierky </w:t>
      </w:r>
      <w:r w:rsidRPr="00B241C6">
        <w:lastRenderedPageBreak/>
        <w:t>spoločného podniku CBE za rozpočtový rok 2022 (ďalej len „správa Dvora audítorov“)</w:t>
      </w:r>
      <w:r w:rsidRPr="00B241C6">
        <w:rPr>
          <w:rStyle w:val="FootnoteReference"/>
        </w:rPr>
        <w:footnoteReference w:id="13"/>
      </w:r>
      <w:r w:rsidRPr="00B241C6">
        <w:t xml:space="preserve"> ročná účtovná závierka vyjadruje verne zo všetkých významných hľadísk finančnú situáciu spoločného podniku CBE k 31. decembru 2022, ako aj výsledky jeho operácií, jeho toky hotovosti a zmeny čistých aktív za rok ukončený k tomuto dátumu v súlade s jeho nariadením o rozpočtových pravidlách a účtovnými pravidlami, ktoré schválil účtovník Komisie; okrem toho na základe správy Dvora audítorov konštatuje, že príslušné operácie na účtoch sú vo všetkých významných hľadiskách zákonné a správne;</w:t>
      </w:r>
    </w:p>
    <w:p w:rsidR="006C599B" w:rsidRPr="00B241C6" w:rsidRDefault="006C599B" w:rsidP="006C599B">
      <w:pPr>
        <w:pStyle w:val="NormalHanging12a"/>
      </w:pPr>
      <w:r w:rsidRPr="00B241C6">
        <w:t>2.</w:t>
      </w:r>
      <w:r w:rsidRPr="00B241C6">
        <w:tab/>
        <w:t>víta úlohu spoločného podniku CBE pri presadzovaní konkurencieschopných obehových priemyselných odvetví využívajúcich biologické materiály v Únii;</w:t>
      </w:r>
    </w:p>
    <w:p w:rsidR="006C599B" w:rsidRPr="00B241C6" w:rsidRDefault="006C599B" w:rsidP="006C599B">
      <w:pPr>
        <w:pStyle w:val="NormalHanging12a"/>
      </w:pPr>
      <w:r w:rsidRPr="00B241C6">
        <w:t>3.</w:t>
      </w:r>
      <w:r w:rsidRPr="00B241C6">
        <w:tab/>
        <w:t>konštatuje, že zmeny vo výške rozpočtu spoločného podniku CBE vo veľkej miere závisia od fázy vykonávania viacročných programov v oblasti výskumu a inovácií, ktoré spoločný podnik vykonáva;</w:t>
      </w:r>
    </w:p>
    <w:p w:rsidR="006C599B" w:rsidRPr="00B241C6" w:rsidRDefault="006C599B" w:rsidP="006C599B">
      <w:pPr>
        <w:pStyle w:val="NormalHanging12a"/>
      </w:pPr>
      <w:r w:rsidRPr="00B241C6">
        <w:t>4.</w:t>
      </w:r>
      <w:r w:rsidRPr="00B241C6">
        <w:tab/>
        <w:t>konštatuje, že v roku 2022 spoločný podnik CBE začal vykonávať program Horizont Európa, a v dôsledku toho rozpočet na rok 2022 zahŕňa rozpočet na záväzky týkajúce sa prvých výziev programu Horizont Európa plánovaných na roky 2021 a 2022;</w:t>
      </w:r>
    </w:p>
    <w:p w:rsidR="006C599B" w:rsidRPr="00B241C6" w:rsidRDefault="006C599B" w:rsidP="006C599B">
      <w:pPr>
        <w:pStyle w:val="NormalHanging12a"/>
        <w:jc w:val="both"/>
        <w:rPr>
          <w:b/>
          <w:i/>
        </w:rPr>
      </w:pPr>
      <w:r w:rsidRPr="00B241C6">
        <w:rPr>
          <w:b/>
          <w:i/>
        </w:rPr>
        <w:t>Rozpočtové a finančné riadenie</w:t>
      </w:r>
    </w:p>
    <w:p w:rsidR="006C599B" w:rsidRPr="00B241C6" w:rsidRDefault="006C599B" w:rsidP="006C599B">
      <w:pPr>
        <w:pStyle w:val="NormalHanging12a"/>
      </w:pPr>
      <w:r w:rsidRPr="00B241C6">
        <w:t>5.</w:t>
      </w:r>
      <w:r w:rsidRPr="00B241C6">
        <w:tab/>
        <w:t>konštatuje, že podľa konsolidovanej výročnej správy o činnosti spoločného podniku CBE za rok 2022</w:t>
      </w:r>
      <w:r w:rsidRPr="00B241C6">
        <w:rPr>
          <w:rStyle w:val="FootnoteReference"/>
        </w:rPr>
        <w:footnoteReference w:id="14"/>
      </w:r>
      <w:r w:rsidRPr="00B241C6">
        <w:t xml:space="preserve"> jeho celkový disponibilný rozpočet na rok 2022 predstavoval 264,2 milióna EUR vo viazaných rozpočtových prostriedkoch a 80,3 milióna EUR v platobných rozpočtových prostriedkoch</w:t>
      </w:r>
      <w:r w:rsidRPr="00B241C6">
        <w:rPr>
          <w:rStyle w:val="FootnoteReference"/>
        </w:rPr>
        <w:footnoteReference w:id="15"/>
      </w:r>
      <w:r w:rsidRPr="00B241C6">
        <w:t>; konštatuje, že pokiaľ ide o plnenie rozpočtu, v prípade viazaných rozpočtových prostriedkov dosiahlo 125 miliónov EUR (47 % plnenie)</w:t>
      </w:r>
      <w:r w:rsidRPr="00B241C6">
        <w:rPr>
          <w:rStyle w:val="FootnoteReference"/>
        </w:rPr>
        <w:footnoteReference w:id="16"/>
      </w:r>
      <w:r w:rsidRPr="00B241C6">
        <w:t xml:space="preserve"> a v prípade platobných rozpočtových prostriedkov 52 miliónov EUR (65 % plnenie)</w:t>
      </w:r>
      <w:r w:rsidRPr="00B241C6">
        <w:rPr>
          <w:rStyle w:val="FootnoteReference"/>
        </w:rPr>
        <w:footnoteReference w:id="17"/>
      </w:r>
      <w:r w:rsidRPr="00B241C6">
        <w:t>;</w:t>
      </w:r>
    </w:p>
    <w:p w:rsidR="006C599B" w:rsidRPr="00B241C6" w:rsidRDefault="006C599B" w:rsidP="006C599B">
      <w:pPr>
        <w:pStyle w:val="NormalHanging12a"/>
      </w:pPr>
      <w:r w:rsidRPr="00B241C6">
        <w:t>6.</w:t>
      </w:r>
      <w:r w:rsidRPr="00B241C6">
        <w:tab/>
        <w:t>konštatuje, že správna rada prijala rozpočet spoločného podniku CBE na rok 2022 v dvoch etapách – 16. decembra 2021 sa hlasovalo o rozpočte na zvyšnú časť spoločného podniku BBI v celkovej výške 6 miliónov EUR vo viazaných rozpočtových prostriedkoch (RP) a 85,6 milióna EUR v platobných RP</w:t>
      </w:r>
      <w:r w:rsidRPr="00B241C6">
        <w:rPr>
          <w:rStyle w:val="FootnoteReference"/>
        </w:rPr>
        <w:footnoteReference w:id="18"/>
      </w:r>
      <w:r w:rsidRPr="00B241C6">
        <w:t>;</w:t>
      </w:r>
    </w:p>
    <w:p w:rsidR="006C599B" w:rsidRPr="00B241C6" w:rsidRDefault="006C599B" w:rsidP="006C599B">
      <w:pPr>
        <w:pStyle w:val="NormalHanging12a"/>
      </w:pPr>
      <w:r w:rsidRPr="00B241C6">
        <w:t>7.</w:t>
      </w:r>
      <w:r w:rsidRPr="00B241C6">
        <w:tab/>
        <w:t>okrem toho konštatuje, že v rámci mandátu spoločného podniku CBE neboli podpísané žiadne granty a že v rámci mandátu spoločného podniku BBI bolo podpísaných 142 grantov v celkovej hodnote 822 miliónov EUR;</w:t>
      </w:r>
    </w:p>
    <w:p w:rsidR="006C599B" w:rsidRPr="00B241C6" w:rsidRDefault="006C599B" w:rsidP="006C599B">
      <w:pPr>
        <w:pStyle w:val="NormalHanging12a"/>
      </w:pPr>
      <w:r w:rsidRPr="00B241C6">
        <w:t>8.</w:t>
      </w:r>
      <w:r w:rsidRPr="00B241C6">
        <w:tab/>
        <w:t xml:space="preserve">konštatuje, že 31. mája 2022 sa zmenou rozpočtu doplnil (nový) rozpočet spoločného </w:t>
      </w:r>
      <w:r w:rsidRPr="00B241C6">
        <w:lastRenderedPageBreak/>
        <w:t>podniku CBE na rok 2022 vo výške 254,9 milióna EUR vo viazaných RP a 1,7 milióna EUR v platobných RP; konštatuje, že tento pozmeňujúci návrh zahŕňal aj zníženie o 11,2 milióna EUR v rámci reaktivácií prevádzkových platobných RP spoločného podniku BBI, ktoré sa v tejto fáze považovali za prebytočné v porovnaní s potrebami (takže celková zmena rozpočtu vo viazaných RP bola mínus 9,6 milióna EUR);</w:t>
      </w:r>
    </w:p>
    <w:p w:rsidR="006C599B" w:rsidRPr="00B241C6" w:rsidRDefault="006C599B" w:rsidP="006C599B">
      <w:pPr>
        <w:pStyle w:val="NormalHanging12a"/>
      </w:pPr>
      <w:r w:rsidRPr="00B241C6">
        <w:t>9.</w:t>
      </w:r>
      <w:r w:rsidRPr="00B241C6">
        <w:tab/>
        <w:t>konštatuje, že 28. novembra 2022 sa v rámci ďalšej zmeny rozpočtu poskytol dodatočný 1 milión EUR v platobných RP na odborných hodnotiteľov spoločného podniku CBE v rámci hlavy 3</w:t>
      </w:r>
      <w:r w:rsidRPr="00B241C6">
        <w:rPr>
          <w:rStyle w:val="FootnoteReference"/>
        </w:rPr>
        <w:footnoteReference w:id="19"/>
      </w:r>
      <w:r w:rsidRPr="00B241C6">
        <w:t>, a to s cieľom zohľadniť na úrovni účtovníctva prístup Európskej komisie k zaobchádzaniu s platobnými RP na odborných hodnotiteľov vo výzvach;</w:t>
      </w:r>
    </w:p>
    <w:p w:rsidR="006C599B" w:rsidRPr="00B241C6" w:rsidRDefault="006C599B" w:rsidP="006C599B">
      <w:pPr>
        <w:pStyle w:val="NormalHanging12a"/>
      </w:pPr>
      <w:r w:rsidRPr="00B241C6">
        <w:t>10.</w:t>
      </w:r>
      <w:r w:rsidRPr="00B241C6">
        <w:tab/>
        <w:t>konštatuje, že pôvodný rozpočet spoločného podniku BBI zahŕňal relatívne veľký prebytok z nevyužitého rozpočtu z predchádzajúcich rokov (2019, 2020 a 2021): na administratívnej strane 1,1 milióna EUR vo viazaných RP a 1,6 milióna EUR v platobných RP a na prevádzkovej strane 40 miliónov EUR v platobných RP;</w:t>
      </w:r>
    </w:p>
    <w:p w:rsidR="006C599B" w:rsidRPr="00B241C6" w:rsidRDefault="006C599B" w:rsidP="006C599B">
      <w:pPr>
        <w:pStyle w:val="NormalHanging12a"/>
      </w:pPr>
      <w:r w:rsidRPr="00B241C6">
        <w:t>11.</w:t>
      </w:r>
      <w:r w:rsidRPr="00B241C6">
        <w:tab/>
        <w:t>konštatuje, že tieto reaktivované rozpočtové prostriedky sa čerpali v súlade s článkom 6 ods. 5 rozpočtových pravidiel spoločného podniku CBE a do konca roka dosiahli 69 % čerpanie na strane administratívnych viazaných RP, 88 % na strane administratívnych platobných RP a 100 % na strane prevádzkových platobných RP; konštatuje, že hlavným dôvodom nižšieho plnenia administratívneho rozpočtu je skutočnosť, že veľká suma rozpočtových prostriedkov bola v rozpočtových riadkoch hlavy 2</w:t>
      </w:r>
      <w:r w:rsidRPr="00B241C6">
        <w:rPr>
          <w:rStyle w:val="FootnoteReference"/>
        </w:rPr>
        <w:footnoteReference w:id="20"/>
      </w:r>
      <w:r w:rsidRPr="00B241C6">
        <w:t xml:space="preserve"> v oblasti komunikácie ponechaná k dispozícii až do úplného konca roka s cieľom zaviazať zmluvu na podujatie fóra zainteresovaných strán, ktorá sa mala uskutočniť v roku 2023;</w:t>
      </w:r>
    </w:p>
    <w:p w:rsidR="006C599B" w:rsidRPr="00B241C6" w:rsidRDefault="006C599B" w:rsidP="006C599B">
      <w:pPr>
        <w:pStyle w:val="NormalHanging12a"/>
      </w:pPr>
      <w:r w:rsidRPr="00B241C6">
        <w:t>12.</w:t>
      </w:r>
      <w:r w:rsidRPr="00B241C6">
        <w:tab/>
        <w:t>konštatuje však, že podľa spoločného podniku CBE to nebolo možné zvládnuť a zmluva bola nakoniec podpísaná v polovici januára 2023 a rozpočtové prostriedky boli reaktivované v rozpočtoch na roky 2023 a 2024;</w:t>
      </w:r>
    </w:p>
    <w:p w:rsidR="006C599B" w:rsidRPr="00B241C6" w:rsidRDefault="006C599B" w:rsidP="006C599B">
      <w:pPr>
        <w:pStyle w:val="NormalHanging12a"/>
      </w:pPr>
      <w:r w:rsidRPr="00B241C6">
        <w:t>13.</w:t>
      </w:r>
      <w:r w:rsidRPr="00B241C6">
        <w:tab/>
        <w:t>konštatuje, že na konci roka 2022 predstavoval celkový prebytok nevyužitých rozpočtových prostriedkov spoločného podniku BBI 1,1 milióna EUR v administratívnych viazaných RP, 1,5 milióna EUR v administratívnych platobných RP a 25,2 milióna EUR v prevádzkových platobných RP;</w:t>
      </w:r>
    </w:p>
    <w:p w:rsidR="006C599B" w:rsidRPr="00B241C6" w:rsidRDefault="006C599B" w:rsidP="006C599B">
      <w:pPr>
        <w:pStyle w:val="NormalHanging12a"/>
      </w:pPr>
      <w:r w:rsidRPr="00B241C6">
        <w:t>14.</w:t>
      </w:r>
      <w:r w:rsidRPr="00B241C6">
        <w:tab/>
        <w:t>konštatuje, že na strane spoločného podniku CBE neexistovali významné reaktivované rozpočtové prostriedky, keďže pred rokom 2021 nebol požadovaný žiadny rozpočet; konštatuje však, že rozpočet pôvodne plánovaný pre spoločný podnik CBE na strane Komisie (vrátane výzvy na rok 2021, ktorá sa nikdy neuskutočnila) viazalo GR RTD a spoločný podnik CBE musel vo svojom administratívnom a prevádzkovom rozpočte na rok 2022 prevziať plánované viazané RP a platobné RP spoločného podniku CBE na oba roky 2021 a 2022;</w:t>
      </w:r>
    </w:p>
    <w:p w:rsidR="006C599B" w:rsidRPr="00B241C6" w:rsidRDefault="006C599B" w:rsidP="006C599B">
      <w:pPr>
        <w:pStyle w:val="NormalHanging12a"/>
      </w:pPr>
      <w:r w:rsidRPr="00B241C6">
        <w:t>15.</w:t>
      </w:r>
      <w:r w:rsidRPr="00B241C6">
        <w:tab/>
        <w:t xml:space="preserve">okrem toho konštatuje, že z administratívnej strany bude mať do konca roka 2024 prioritu plnenie zvyšného rozpočtu spoločného podniku BBI, keďže administratívny rozpočet spoločného podniku CBE sa v roku 2022 takmer vôbec neplnil; konštatuje, že </w:t>
      </w:r>
      <w:r w:rsidRPr="00B241C6">
        <w:lastRenderedPageBreak/>
        <w:t>sa tým znižuje celkové plnenie rozpočtu, ale na tento účel sa na realistické porovnanie poskytnú miery plnenia len za administratívny rozpočet spoločného podniku BBI;</w:t>
      </w:r>
    </w:p>
    <w:p w:rsidR="006C599B" w:rsidRPr="00B241C6" w:rsidRDefault="006C599B" w:rsidP="006C599B">
      <w:pPr>
        <w:pStyle w:val="NormalHanging12a"/>
      </w:pPr>
      <w:r w:rsidRPr="00B241C6">
        <w:t>16.</w:t>
      </w:r>
      <w:r w:rsidRPr="00B241C6">
        <w:tab/>
        <w:t>na základe správy Dvora audítorov konštatuje, že v ročnej účtovnej závierke spoločného podniku za rok 2022 sa sumy príspevkov vykázané za jednotlivé kategórie členov (Únia a súkromní členovia) navzájom výrazne líšia; chápe, že dôvodom je, že peňažné príspevky Únie sa potvrdzujú a vykazujú, keď sa spoločnému podniku CBE vyplácajú na začiatku realizácie projektu, ale nepeňažné príspevky členov sa vykazujú až po potvrdení vzniknutých nákladov vykázaných na realizáciu projektu;</w:t>
      </w:r>
    </w:p>
    <w:p w:rsidR="006C599B" w:rsidRPr="00B241C6" w:rsidRDefault="006C599B" w:rsidP="006C599B">
      <w:pPr>
        <w:pStyle w:val="NormalHanging12a"/>
      </w:pPr>
      <w:r w:rsidRPr="00B241C6">
        <w:t>17.</w:t>
      </w:r>
      <w:r w:rsidRPr="00B241C6">
        <w:tab/>
        <w:t>vyzýva spoločný podnik CBE, aby riešil rozdiel medzi zaúčtovanými sumami hotovostných príspevkov na jednej strane a nepeňažnými príspevkami na druhej strane poskytnutím informácií o právnych záväzkoch členov spoločného podniku na konci roku, pokiaľ ide o podpísané dohody o grante a zmluvy; víta záväzok spoločného podniku CBE riešiť túto otázku v nasledujúcej ročnej účtovnej závierke;</w:t>
      </w:r>
    </w:p>
    <w:p w:rsidR="006C599B" w:rsidRPr="00B241C6" w:rsidRDefault="006C599B" w:rsidP="006C599B">
      <w:pPr>
        <w:pStyle w:val="NormalHanging12a"/>
      </w:pPr>
      <w:r w:rsidRPr="00B241C6">
        <w:t>18.</w:t>
      </w:r>
      <w:r w:rsidRPr="00B241C6">
        <w:tab/>
        <w:t>konštatuje, že potvrdené nepeňažné príspevky súkromných členov na prevádzkové činnosti zostali nízke a predstavovali 65,9 milióna EUR, pretože spoločný podnik CBE príspevky osvedčuje až vtedy, keď sa uskutočnia záverečné platby na projekty programu Horizont 2020 a majú sa predložiť osvedčenia o finančných výkazoch;</w:t>
      </w:r>
    </w:p>
    <w:p w:rsidR="006C599B" w:rsidRPr="00B241C6" w:rsidRDefault="006C599B" w:rsidP="006C599B">
      <w:pPr>
        <w:pStyle w:val="NormalHanging12a"/>
      </w:pPr>
      <w:r w:rsidRPr="00B241C6">
        <w:t>19.</w:t>
      </w:r>
      <w:r w:rsidRPr="00B241C6">
        <w:tab/>
        <w:t>so znepokojením konštatuje, že súkromní členovia v prípade programu Horizont 2020 nedosiahnu svoj orientačný cieľ príspevkov na prevádzkové činnosti na konci vykonávania programu;</w:t>
      </w:r>
    </w:p>
    <w:p w:rsidR="006C599B" w:rsidRPr="00B241C6" w:rsidRDefault="006C599B" w:rsidP="006C599B">
      <w:pPr>
        <w:pStyle w:val="NormalHanging12a"/>
      </w:pPr>
      <w:r w:rsidRPr="00B241C6">
        <w:t>20.</w:t>
      </w:r>
      <w:r w:rsidRPr="00B241C6">
        <w:tab/>
        <w:t>berie na vedomie riziká súvisiace s vykonávaním programu pre spoločný podnik CBE v prípade, že súkromní členovia nedosiahnu ciele minimálnych príspevkov do konca programu Horizont 2020;</w:t>
      </w:r>
    </w:p>
    <w:p w:rsidR="006C599B" w:rsidRPr="00B241C6" w:rsidRDefault="006C599B" w:rsidP="006C599B">
      <w:pPr>
        <w:pStyle w:val="NormalHanging12a"/>
      </w:pPr>
      <w:r w:rsidRPr="00B241C6">
        <w:t>21.</w:t>
      </w:r>
      <w:r w:rsidRPr="00B241C6">
        <w:tab/>
        <w:t>konštatuje, že pokiaľ ide o výsledky spoločného podniku CBE v rámci programu Horizont 2020, spoločný podnik CBE ku koncu roka 2022 v plnom rozsahu zaviazal maximálny operačný príspevok Únie vo výške 815,8 milióna EUR na podpísané dohody o grante v rámci programu Horizont 2020; okrem toho konštatuje, že z tejto viazanej sumy sa má približne 94 mil. EUR (teda 11,5 %) v nasledujúcich rokoch vyplatiť na projekty, ktoré ešte neboli dokončené;</w:t>
      </w:r>
    </w:p>
    <w:p w:rsidR="006C599B" w:rsidRPr="00B241C6" w:rsidRDefault="006C599B" w:rsidP="006C599B">
      <w:pPr>
        <w:pStyle w:val="NormalHanging12a"/>
      </w:pPr>
      <w:r w:rsidRPr="00B241C6">
        <w:t>22.</w:t>
      </w:r>
      <w:r w:rsidRPr="00B241C6">
        <w:tab/>
        <w:t>ďalej konštatuje, že ku koncu roka 2022 sa súkromní členovia právne zaviazali poskytnúť nepeňažné a finančné príspevky na prevádzkové činnosti spoločného podniku CBE v hodnote 258,4 milióna EUR, teda 54 % orientačnej cieľovej sumy 475,3 milióna EUR stanovenej v prijatých ročných plánoch práce spoločného podniku; konštatuje, že z tejto viazanej sumy spoločný podnik CBE ku koncu roka 2022 vykázal 154,7 milióna EUR (alebo 32,5 % cieľovej sumy);</w:t>
      </w:r>
    </w:p>
    <w:p w:rsidR="006C599B" w:rsidRPr="00B241C6" w:rsidRDefault="006C599B" w:rsidP="006C599B">
      <w:pPr>
        <w:pStyle w:val="NormalHanging12a"/>
      </w:pPr>
      <w:r w:rsidRPr="00B241C6">
        <w:t>23.</w:t>
      </w:r>
      <w:r w:rsidRPr="00B241C6">
        <w:tab/>
        <w:t>okrem toho konštatuje, že spoločný podnik musel v roku 2022 zrušiť podpísané projekty vo výške približne 8,2 milióna EUR z dôvodu nepredvídaného ukončenia hlavného projektu programu Horizont 2020 a pozastavenia niekoľkých ďalších projektov a keďže na konci roka 2020 boli uzavreté všetky výzvy v rámci programu Horizont 2020, spoločný podnik CBE nedosiahne do konca programového obdobia orientačný cieľ týkajúci sa príspevkov súkromných členov na operačné činnosti spoločného podniku;</w:t>
      </w:r>
    </w:p>
    <w:p w:rsidR="006C599B" w:rsidRPr="00B241C6" w:rsidRDefault="006C599B" w:rsidP="006C599B">
      <w:pPr>
        <w:pStyle w:val="NormalHanging12a"/>
      </w:pPr>
      <w:r w:rsidRPr="00B241C6">
        <w:lastRenderedPageBreak/>
        <w:t>24.</w:t>
      </w:r>
      <w:r w:rsidRPr="00B241C6">
        <w:tab/>
        <w:t>víta to, že spoločný podnik CBE uviedol, že dosiahol prevádzkové ciele svojich výziev v rámci programu Horizont 2020; konštatuje však, že Dvor audítorov sa domnieva, že tento výrazný pokles príspevkov súkromných členov predstavuje riziko pre celkové splnenie programu spoločného podniku CBE v rámci programu Horizont 2020;</w:t>
      </w:r>
    </w:p>
    <w:p w:rsidR="006C599B" w:rsidRPr="00B241C6" w:rsidRDefault="006C599B" w:rsidP="006C599B">
      <w:pPr>
        <w:pStyle w:val="NormalHanging12a"/>
      </w:pPr>
      <w:r w:rsidRPr="00B241C6">
        <w:t>25.</w:t>
      </w:r>
      <w:r w:rsidRPr="00B241C6">
        <w:tab/>
        <w:t>konštatuje, že s cieľom zabezpečiť dosiahnutie cieľa celkového príspevku súkromných členov vo výške 2 730 miliónov EUR stanoveného v zakladajúcom nariadení spoločného podniku CBE do konca programového obdobia spoločný podnik upravil smerom nahor na 2 235,5 milióna EUR svoj cieľ pre nepeňažné príspevky súkromných členov na dodatočné činnosti; konštatuje, že ku koncu roka 2022 súkromní členovia vykázali celkové nepeňažné príspevky na dodatočné činnosti vo výške 1 797,9 milióna EUR alebo 73,8 % nového cieľa, ale v prípade 658 miliónov EUR alebo 37 % vykázanej sumy proces certifikácie nebol ukončený;</w:t>
      </w:r>
    </w:p>
    <w:p w:rsidR="006C599B" w:rsidRPr="00B241C6" w:rsidRDefault="006C599B" w:rsidP="006C599B">
      <w:pPr>
        <w:pStyle w:val="NormalHanging12a"/>
      </w:pPr>
      <w:r w:rsidRPr="00B241C6">
        <w:t>26.</w:t>
      </w:r>
      <w:r w:rsidRPr="00B241C6">
        <w:tab/>
        <w:t>víta skutočnosť, že s cieľom zmierniť riziko, že spoločný podnik CBE nedosiahne nový cieľ týkajúci sa nepeňažných príspevkov na dodatočné činnosti do konca programu, konzorcium pre priemyselné odvetvia využívajúce biologické materiály v novembri 2022 navrhlo správnej rade spoločného podniku CBE schváliť ďalšie investície súkromných členov vo výške 416 miliónov EUR na dodatočné činnosti v roku 2023;</w:t>
      </w:r>
    </w:p>
    <w:p w:rsidR="006C599B" w:rsidRPr="00B241C6" w:rsidRDefault="006C599B" w:rsidP="006C599B">
      <w:pPr>
        <w:pStyle w:val="NormalHanging12a"/>
      </w:pPr>
      <w:r w:rsidRPr="00B241C6">
        <w:t>27.</w:t>
      </w:r>
      <w:r w:rsidRPr="00B241C6">
        <w:tab/>
        <w:t>so znepokojením konštatuje, že Dvor audítorov sa domnieva, že plnenie platieb z rozpočtu na rok 2022 na činnosti programu Horizont 2020 sa zhoršilo;</w:t>
      </w:r>
      <w:r w:rsidRPr="00B241C6">
        <w:rPr>
          <w:b/>
          <w:i/>
        </w:rPr>
        <w:t xml:space="preserve"> </w:t>
      </w:r>
      <w:r w:rsidRPr="00B241C6">
        <w:t>uznáva, že to bolo spôsobené tým, že príjemcovia čelili rastúcim nákladom a problémom s vykonávaním;</w:t>
      </w:r>
    </w:p>
    <w:p w:rsidR="006C599B" w:rsidRPr="00B241C6" w:rsidRDefault="006C599B" w:rsidP="006C599B">
      <w:pPr>
        <w:pStyle w:val="NormalHanging12a"/>
      </w:pPr>
      <w:r w:rsidRPr="00B241C6">
        <w:t>28.</w:t>
      </w:r>
      <w:r w:rsidRPr="00B241C6">
        <w:tab/>
        <w:t xml:space="preserve">konštatuje, že pokiaľ ide o činnosti programu Horizont 2020, spoločný podnik CBE nedostal žiadne nové prevádzkové viazané rozpočtové prostriedky, pretože svoju poslednú výzvu na predkladanie návrhov dokončil do konca roka 2020; konštatuje, že miera plnenia prevádzkových platobných rozpočtových prostriedkov klesla na 65 % (2021: 85 %), čo bolo podľa spoločného podniku CBE spôsobené rastúcimi nákladmi a problémami s plnením, ktorým prijímatelia čelili v dôsledku krízy spôsobenej </w:t>
      </w:r>
      <w:r w:rsidR="00381B72" w:rsidRPr="00B241C6">
        <w:t>ochoren</w:t>
      </w:r>
      <w:r w:rsidR="00EE6DBA" w:rsidRPr="00B241C6">
        <w:t>ím</w:t>
      </w:r>
      <w:r w:rsidR="00381B72" w:rsidRPr="00B241C6">
        <w:t xml:space="preserve"> </w:t>
      </w:r>
      <w:r w:rsidRPr="00B241C6">
        <w:t>COVID-19 a vojny na Ukrajine, a preto sa trvanie väčšiny projektov programu Horizont 2020 muselo predĺžiť a záverečné platby sa museli odložiť na rok 2023;</w:t>
      </w:r>
    </w:p>
    <w:p w:rsidR="006C599B" w:rsidRPr="00B241C6" w:rsidRDefault="006C599B" w:rsidP="006C599B">
      <w:pPr>
        <w:pStyle w:val="NormalHanging12a"/>
      </w:pPr>
      <w:r w:rsidRPr="00B241C6">
        <w:t>29.</w:t>
      </w:r>
      <w:r w:rsidRPr="00B241C6">
        <w:tab/>
        <w:t>súhlasí s Dvorom audítorov, že spoločný podnik CBE by mal vypracovať časovo naplánovaný akčný plán na dokončenie vykonávania projektov schválených v rámci predchádzajúcich viacročných finančných rámcov (VFR);</w:t>
      </w:r>
    </w:p>
    <w:p w:rsidR="006C599B" w:rsidRPr="00B241C6" w:rsidRDefault="006C599B" w:rsidP="006C599B">
      <w:pPr>
        <w:pStyle w:val="NormalHanging12a"/>
      </w:pPr>
      <w:r w:rsidRPr="00B241C6">
        <w:t>30.</w:t>
      </w:r>
      <w:r w:rsidRPr="00B241C6">
        <w:tab/>
        <w:t>súhlasí s Dvorom audítorov, že s cieľom zabezpečiť dosiahnutie cieľovej hodnoty príspevku súkromných členov vo VFR na roky 2021 – 2027 by spoločný podnik CBE mal na základe strategického plánu vykonávania programu každoročne monitorovať individuálne výsledky súkromných členov pri poskytovaní príspevkov;</w:t>
      </w:r>
    </w:p>
    <w:p w:rsidR="006C599B" w:rsidRPr="00B241C6" w:rsidRDefault="006C599B" w:rsidP="006C599B">
      <w:pPr>
        <w:pStyle w:val="NormalHanging12a"/>
      </w:pPr>
      <w:r w:rsidRPr="00B241C6">
        <w:t>31.</w:t>
      </w:r>
      <w:r w:rsidRPr="00B241C6">
        <w:tab/>
        <w:t>konštatuje, že v roku 2022 spoločný podnik plnil len 47 % svojho rozpočtu na záväzky týkajúce sa projektov v rámci prvej významnej výzvy na predkladanie návrhov v rámci programu Horizont Európa vo výške 120 miliónov EUR, ktorú začal začiatkom roka;</w:t>
      </w:r>
    </w:p>
    <w:p w:rsidR="006C599B" w:rsidRPr="00B241C6" w:rsidRDefault="006C599B" w:rsidP="006C599B">
      <w:pPr>
        <w:pStyle w:val="NormalHanging12a"/>
      </w:pPr>
      <w:r w:rsidRPr="00B241C6">
        <w:t>32.</w:t>
      </w:r>
      <w:r w:rsidRPr="00B241C6">
        <w:tab/>
        <w:t xml:space="preserve">konštatuje, že v roku 2022 Komisia aj súkromní členovia poskytli na administratívne náklady spoločného podniku CBE peňažné príspevky vo výške 0,8 milióna EUR; konštatuje, že spoločný podnik CBE nepožadoval peňažné príspevky na svoje činnosti v </w:t>
      </w:r>
      <w:r w:rsidRPr="00B241C6">
        <w:lastRenderedPageBreak/>
        <w:t>rámci programu Horizont Európa, keďže ukončenie prvej výzvy v rámci programu Horizont Európa, ktorú začal začiatkom roka 2022, očakával až v prvej polovici roka 2023;</w:t>
      </w:r>
    </w:p>
    <w:p w:rsidR="006C599B" w:rsidRPr="00B241C6" w:rsidRDefault="006C599B" w:rsidP="006C599B">
      <w:pPr>
        <w:pStyle w:val="NormalHanging12a"/>
      </w:pPr>
      <w:r w:rsidRPr="00B241C6">
        <w:t>33.</w:t>
      </w:r>
      <w:r w:rsidRPr="00B241C6">
        <w:tab/>
        <w:t>konštatuje, že na konci roka 2022 bola miera plnenia týkajúca sa rozpočtu spoločného podniku CBE na mzdy (hlava 1) nízka na úrovni 55 % a že podľa spoločného podniku CBE to spôsobil oneskorený začiatok pracovných zmlúv novoprijatých zamestnancov v roku 2022;</w:t>
      </w:r>
    </w:p>
    <w:p w:rsidR="006C599B" w:rsidRPr="00B241C6" w:rsidRDefault="006C599B" w:rsidP="006C599B">
      <w:pPr>
        <w:pStyle w:val="NormalHanging12a"/>
        <w:rPr>
          <w:b/>
          <w:i/>
        </w:rPr>
      </w:pPr>
      <w:r w:rsidRPr="00B241C6">
        <w:rPr>
          <w:b/>
          <w:i/>
        </w:rPr>
        <w:t>Obstarávanie a zamestnanci</w:t>
      </w:r>
    </w:p>
    <w:p w:rsidR="006C599B" w:rsidRPr="00B241C6" w:rsidRDefault="006C599B" w:rsidP="006C599B">
      <w:pPr>
        <w:pStyle w:val="NormalHanging12a"/>
      </w:pPr>
      <w:r w:rsidRPr="00B241C6">
        <w:t>34.</w:t>
      </w:r>
      <w:r w:rsidRPr="00B241C6">
        <w:tab/>
        <w:t>konštatuje, že v roku 2022 spoločný podnik CBE naďalej čo najviac využíval existujúce rámcové zmluvy na úrovni Európskej komisie; konštatuje, že keď tieto zmluvy neboli k dispozícii pre spoločný podnik CBE alebo keď sa ich platnosť skončila, bolo potrebné začať osobitné postupy verejného obstarávania, z ktorých väčšina sa týkala zákaziek s nízkou hodnotou</w:t>
      </w:r>
      <w:r w:rsidRPr="00B241C6">
        <w:rPr>
          <w:rStyle w:val="FootnoteReference"/>
        </w:rPr>
        <w:footnoteReference w:id="21"/>
      </w:r>
      <w:r w:rsidRPr="00B241C6">
        <w:t>;</w:t>
      </w:r>
    </w:p>
    <w:p w:rsidR="006C599B" w:rsidRPr="00B241C6" w:rsidRDefault="006C599B" w:rsidP="006C599B">
      <w:pPr>
        <w:pStyle w:val="NormalHanging12a"/>
      </w:pPr>
      <w:r w:rsidRPr="00B241C6">
        <w:t>35.</w:t>
      </w:r>
      <w:r w:rsidRPr="00B241C6">
        <w:tab/>
        <w:t>konštatuje, že spoločný podnik CBE podpísal aj osobitné zmluvy na základe rámcovej zmluvy riadenej spoločne s inými spoločnými podnikmi, konkrétne na spoločné IT služby; okrem toho konštatuje, že spoločný podnik CBE počas roka 2022 využíval platné dohody o úrovni poskytovaných služieb s Komisiou;</w:t>
      </w:r>
    </w:p>
    <w:p w:rsidR="006C599B" w:rsidRPr="00B241C6" w:rsidRDefault="006C599B" w:rsidP="006C599B">
      <w:pPr>
        <w:pStyle w:val="NormalHanging12a"/>
      </w:pPr>
      <w:r w:rsidRPr="00B241C6">
        <w:t>36.</w:t>
      </w:r>
      <w:r w:rsidRPr="00B241C6">
        <w:tab/>
        <w:t>konštatuje na základe konsolidovanej výročnej správy o činnosti, že rok 2022 bol rokom prechodu zo spoločného podniku BBI na spoločný podnik CBE; konštatuje, že ku koncu roka 2022 mala programová kancelária spoločného podniku CBE 26 zamestnancov (</w:t>
      </w:r>
      <w:r w:rsidR="00EE6DBA" w:rsidRPr="00B241C6">
        <w:t xml:space="preserve">v porovnaní s </w:t>
      </w:r>
      <w:r w:rsidRPr="00B241C6">
        <w:t xml:space="preserve">22 </w:t>
      </w:r>
      <w:r w:rsidR="00EE6DBA" w:rsidRPr="00B241C6">
        <w:t xml:space="preserve">zamestnancami </w:t>
      </w:r>
      <w:r w:rsidRPr="00B241C6">
        <w:t>v roku 2021), čím takmer naplnila plán pracovných miest</w:t>
      </w:r>
      <w:r w:rsidRPr="00B241C6">
        <w:rPr>
          <w:rStyle w:val="FootnoteReference"/>
        </w:rPr>
        <w:footnoteReference w:id="22"/>
      </w:r>
      <w:r w:rsidRPr="00B241C6">
        <w:t xml:space="preserve"> v rámci svojho nového mandátu; víta to, že v rámci nového mandátu spoločného podniku CBE nastúpilo osem nových kolegov;</w:t>
      </w:r>
    </w:p>
    <w:p w:rsidR="006C599B" w:rsidRPr="00B241C6" w:rsidRDefault="006C599B" w:rsidP="006C599B">
      <w:pPr>
        <w:pStyle w:val="NormalHanging12a"/>
      </w:pPr>
      <w:r w:rsidRPr="00B241C6">
        <w:t>37.</w:t>
      </w:r>
      <w:r w:rsidRPr="00B241C6">
        <w:tab/>
        <w:t>konštatuje, že v roku 2022 spoločný podnik CBE potvrdil rodovú rovnováhu na riadiacich pozíciách s 50 % zastúpením žien;</w:t>
      </w:r>
    </w:p>
    <w:p w:rsidR="006C599B" w:rsidRPr="00B241C6" w:rsidRDefault="006C599B" w:rsidP="006C599B">
      <w:pPr>
        <w:pStyle w:val="NormalHanging12a"/>
      </w:pPr>
      <w:r w:rsidRPr="00B241C6">
        <w:t>38.</w:t>
      </w:r>
      <w:r w:rsidRPr="00B241C6">
        <w:tab/>
        <w:t>konštatuje, že zamestnanci spoločného podniku CBE riadili rastúci počet prebiehajúcich projektov pre viaceré programy VFR súčasne; upozorňuje na to, že takýto trend nesmie oslabiť účinnosť vnútorných kontrol spoločného podniku CBE a jeho hospodárenie s týmito finančnými prostriedkami ani oddialiť vykonávanie nových programov;</w:t>
      </w:r>
    </w:p>
    <w:p w:rsidR="006C599B" w:rsidRPr="00B241C6" w:rsidRDefault="006C599B" w:rsidP="006C599B">
      <w:pPr>
        <w:pStyle w:val="NormalHanging12a"/>
        <w:ind w:left="0" w:firstLine="0"/>
        <w:jc w:val="both"/>
        <w:rPr>
          <w:b/>
          <w:i/>
        </w:rPr>
      </w:pPr>
      <w:r w:rsidRPr="00B241C6">
        <w:rPr>
          <w:b/>
          <w:i/>
        </w:rPr>
        <w:t>Systémy riadenia a kontroly</w:t>
      </w:r>
    </w:p>
    <w:p w:rsidR="006C599B" w:rsidRPr="00B241C6" w:rsidRDefault="006C599B" w:rsidP="006C599B">
      <w:pPr>
        <w:pStyle w:val="NormalHanging12a"/>
      </w:pPr>
      <w:r w:rsidRPr="00B241C6">
        <w:t>39.</w:t>
      </w:r>
      <w:r w:rsidRPr="00B241C6">
        <w:tab/>
        <w:t>na základe pripomienok Dvora audítorov týkajúcich sa systémov riadenia a kontroly konštatuje, že pokiaľ ide o výdavky v rámci programov Horizont 2020 a Horizont Európa, za audity ex post je zodpovedný útvar pre spoločný audit na GR RTD Komisie;</w:t>
      </w:r>
    </w:p>
    <w:p w:rsidR="006C599B" w:rsidRPr="00B241C6" w:rsidRDefault="006C599B" w:rsidP="006C599B">
      <w:pPr>
        <w:pStyle w:val="NormalHanging12a"/>
      </w:pPr>
      <w:r w:rsidRPr="00B241C6">
        <w:t>40.</w:t>
      </w:r>
      <w:r w:rsidRPr="00B241C6">
        <w:tab/>
        <w:t>konštatuje, že pokiaľ ide o výdavky v rámci programu Horizont 2020 (zúčtovania a záverečné platby), spoločný podnik vykázal reprezentatívnu mieru chybovosti vo výške 1,9 % a zostatkovú mieru chybovosti vo výške 1,2 %;</w:t>
      </w:r>
    </w:p>
    <w:p w:rsidR="006C599B" w:rsidRPr="00B241C6" w:rsidRDefault="006C599B" w:rsidP="006C599B">
      <w:pPr>
        <w:pStyle w:val="NormalHanging12a"/>
      </w:pPr>
      <w:r w:rsidRPr="00B241C6">
        <w:t>41.</w:t>
      </w:r>
      <w:r w:rsidRPr="00B241C6">
        <w:tab/>
        <w:t xml:space="preserve">konštatuje, že v prípade programu Horizont Európa sa ešte musia vykonať ex post </w:t>
      </w:r>
      <w:r w:rsidRPr="00B241C6">
        <w:lastRenderedPageBreak/>
        <w:t>audity, keďže prvé priebežné platby sa očakávajú až v roku 2024;</w:t>
      </w:r>
    </w:p>
    <w:p w:rsidR="006C599B" w:rsidRPr="00B241C6" w:rsidRDefault="006C599B" w:rsidP="006C599B">
      <w:pPr>
        <w:pStyle w:val="NormalHanging12a"/>
      </w:pPr>
      <w:r w:rsidRPr="00B241C6">
        <w:t>42.</w:t>
      </w:r>
      <w:r w:rsidRPr="00B241C6">
        <w:tab/>
        <w:t>konštatuje, že s cieľom posúdiť kontroly operačných platieb spoločného podniku CBE Dvor audítorov vykonal audit náhodne vybranej vzorky platieb z programu Horizont 2020 uhradených v roku 2022 na úrovni konečných prijímateľov</w:t>
      </w:r>
      <w:r w:rsidRPr="00B241C6">
        <w:rPr>
          <w:rStyle w:val="FootnoteReference"/>
        </w:rPr>
        <w:footnoteReference w:id="23"/>
      </w:r>
      <w:r w:rsidRPr="00B241C6">
        <w:t>; konštatuje, že v jednom prípade Dvor audítorov zistil a vyčíslil závažnú chybu vyplývajúcu z nadhodnotených osobných nákladov, pretože prijímateľ zmenil metódu výpočtu hodinovej sadzby v rámci finančného roka a do vykázaných nákladov zahrnul neoprávnené náklady na dôchodky a prémie;</w:t>
      </w:r>
    </w:p>
    <w:p w:rsidR="006C599B" w:rsidRPr="00B241C6" w:rsidRDefault="006C599B" w:rsidP="006C599B">
      <w:pPr>
        <w:pStyle w:val="NormalHanging12a"/>
      </w:pPr>
      <w:r w:rsidRPr="00B241C6">
        <w:t>43.</w:t>
      </w:r>
      <w:r w:rsidRPr="00B241C6">
        <w:tab/>
        <w:t>oceňuje, že spoločný podnik CBE vyvinul prístup k auditu ex post založený na riziku s cieľom znížiť svoju mieru chybovosti lepšie zacielenou vzorkou na zistenie príjemcov, ktorí sú najviac náchylní na chyby, a tým posilniť čistiaci účinok svojich auditov ex post; ide o významnú pozitívnu zmenu v prístupe k auditom ex post, keďže rámec vnútornej kontroly Komisie pre granty programu Horizont Európa neumožňuje stanoviť reprezentatívne vzorky pre spoločný podnik CBE a následne vypočítať konkrétne reprezentatívne a zostatkové miery chybovosti spoločných podnikov;</w:t>
      </w:r>
    </w:p>
    <w:p w:rsidR="006C599B" w:rsidRPr="00B241C6" w:rsidRDefault="006C599B" w:rsidP="006C599B">
      <w:pPr>
        <w:pStyle w:val="NormalHanging12a"/>
      </w:pPr>
      <w:r w:rsidRPr="00B241C6">
        <w:t>44.</w:t>
      </w:r>
      <w:r w:rsidRPr="00B241C6">
        <w:tab/>
        <w:t>konštatuje, že Dvor audítorov zistil, že spoločné podniky s dobre rozvinutým prístupom k ex post auditom, ktorý je založený na riziku, vykázali zostatkovú chybovosť pod priemerom spoločných podnikov bez takéhoto prístupu, a to z dôvodu systematickej identifikácie a auditu najrizikovejších prijímateľov;</w:t>
      </w:r>
    </w:p>
    <w:p w:rsidR="006C599B" w:rsidRPr="00B241C6" w:rsidRDefault="006C599B" w:rsidP="006C599B">
      <w:pPr>
        <w:pStyle w:val="NormalHanging12a"/>
        <w:ind w:left="0" w:firstLine="0"/>
        <w:rPr>
          <w:b/>
          <w:i/>
        </w:rPr>
      </w:pPr>
      <w:r w:rsidRPr="00B241C6">
        <w:rPr>
          <w:b/>
          <w:i/>
        </w:rPr>
        <w:t>Kontrola prijatia opatrení na základe pripomienok z predchádzajúceho roka</w:t>
      </w:r>
    </w:p>
    <w:p w:rsidR="006C599B" w:rsidRPr="00B241C6" w:rsidRDefault="006C599B" w:rsidP="006C599B">
      <w:pPr>
        <w:pStyle w:val="NormalHanging12a"/>
      </w:pPr>
      <w:r w:rsidRPr="00B241C6">
        <w:t>45.</w:t>
      </w:r>
      <w:r w:rsidRPr="00B241C6">
        <w:tab/>
        <w:t>konštatuje, že „pripomienky“ v osobitných výročných správach o spoločnom podniku CBE sú v skutočnosti „nenačasovanými odporúčaniami“ Dvora audítorov; konštatuje, že Dvor audítorov sa každoročne zaoberá týmito pripomienkami tým, že posudzuje ich stav ako „otvorené“ alebo „uzavreté“;</w:t>
      </w:r>
    </w:p>
    <w:p w:rsidR="006C599B" w:rsidRPr="00B241C6" w:rsidRDefault="006C599B" w:rsidP="006C599B">
      <w:pPr>
        <w:pStyle w:val="NormalHanging12a"/>
      </w:pPr>
      <w:r w:rsidRPr="00B241C6">
        <w:t>46.</w:t>
      </w:r>
      <w:r w:rsidRPr="00B241C6">
        <w:tab/>
        <w:t>konštatuje, že Dvor audítorov vydal tri pripomienky (2020/2021), z ktorých 2 zostávajú otvorené a týkajú sa príspevkov odvetvia a súkromných členov spoločného podniku CBE;</w:t>
      </w:r>
    </w:p>
    <w:p w:rsidR="006C599B" w:rsidRPr="00B241C6" w:rsidRDefault="006C599B" w:rsidP="006C599B">
      <w:pPr>
        <w:pStyle w:val="NormalHanging12a"/>
      </w:pPr>
      <w:r w:rsidRPr="00B241C6">
        <w:t>47.</w:t>
      </w:r>
      <w:r w:rsidRPr="00B241C6">
        <w:tab/>
        <w:t>konštatuje, že spoločný podnik CBE uznáva nízku úroveň nepeňažných príspevkov súkromných členov na svoje prevádzkové činnosti a že sa domnieva, že túto situáciu možno čiastočne vysvetliť otvorenosťou výziev spoločného podniku CBE, pričom aj nečlenovia BIC</w:t>
      </w:r>
      <w:r w:rsidRPr="00B241C6">
        <w:rPr>
          <w:rStyle w:val="FootnoteReference"/>
        </w:rPr>
        <w:footnoteReference w:id="24"/>
      </w:r>
      <w:r w:rsidRPr="00B241C6">
        <w:t xml:space="preserve"> sa môžu uchádzať o granty spoločného podniku BBI bez akejkoľvek povinnosti podporovať iniciatívu spoločného podniku CBE nepeňažnými príspevkami; rozumie, že počet úspešných žiadateľov z BIC sa v posledných troch výzvach znížil na minimum, čo spôsobilo výrazný pokles nepeňažných príspevkov.</w:t>
      </w:r>
    </w:p>
    <w:sectPr w:rsidR="006C599B" w:rsidRPr="00B241C6" w:rsidSect="007C74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253" w:rsidRPr="007C74DC" w:rsidRDefault="00903253">
      <w:r w:rsidRPr="007C74DC">
        <w:separator/>
      </w:r>
    </w:p>
  </w:endnote>
  <w:endnote w:type="continuationSeparator" w:id="0">
    <w:p w:rsidR="00903253" w:rsidRPr="007C74DC" w:rsidRDefault="00903253">
      <w:r w:rsidRPr="007C74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99B" w:rsidRPr="007C74DC" w:rsidRDefault="006C599B" w:rsidP="00D61737">
    <w:pPr>
      <w:pStyle w:val="EPFooter"/>
    </w:pPr>
    <w:r w:rsidRPr="007C74DC">
      <w:t>PE</w:t>
    </w:r>
    <w:r w:rsidRPr="007C74DC">
      <w:rPr>
        <w:rStyle w:val="HideTWBExt"/>
      </w:rPr>
      <w:t>&lt;NoPE&gt;</w:t>
    </w:r>
    <w:r w:rsidRPr="007C74DC">
      <w:t>753.488</w:t>
    </w:r>
    <w:r w:rsidRPr="007C74DC">
      <w:rPr>
        <w:rStyle w:val="HideTWBExt"/>
      </w:rPr>
      <w:t>&lt;/NoPE&gt;&lt;Version&gt;</w:t>
    </w:r>
    <w:r w:rsidRPr="007C74DC">
      <w:t>v02-00</w:t>
    </w:r>
    <w:r w:rsidRPr="007C74DC">
      <w:rPr>
        <w:rStyle w:val="HideTWBExt"/>
      </w:rPr>
      <w:t>&lt;/Version&gt;</w:t>
    </w:r>
    <w:r w:rsidRPr="007C74DC">
      <w:tab/>
    </w:r>
    <w:r w:rsidRPr="007C74DC">
      <w:fldChar w:fldCharType="begin"/>
    </w:r>
    <w:r w:rsidRPr="007C74DC">
      <w:instrText xml:space="preserve"> PAGE  \* MERGEFORMAT </w:instrText>
    </w:r>
    <w:r w:rsidRPr="007C74DC">
      <w:fldChar w:fldCharType="separate"/>
    </w:r>
    <w:r w:rsidR="007C74DC" w:rsidRPr="007C74DC">
      <w:rPr>
        <w:noProof/>
      </w:rPr>
      <w:t>2</w:t>
    </w:r>
    <w:r w:rsidRPr="007C74DC">
      <w:fldChar w:fldCharType="end"/>
    </w:r>
    <w:r w:rsidRPr="007C74DC">
      <w:t>/</w:t>
    </w:r>
    <w:fldSimple w:instr=" NUMPAGES  \* MERGEFORMAT ">
      <w:r w:rsidR="007C74DC" w:rsidRPr="007C74DC">
        <w:rPr>
          <w:noProof/>
        </w:rPr>
        <w:t>4</w:t>
      </w:r>
    </w:fldSimple>
    <w:r w:rsidRPr="007C74DC">
      <w:tab/>
    </w:r>
    <w:r w:rsidRPr="007C74DC">
      <w:rPr>
        <w:rStyle w:val="HideTWBExt"/>
      </w:rPr>
      <w:t>&lt;PathFdR&gt;</w:t>
    </w:r>
    <w:r w:rsidRPr="007C74DC">
      <w:t>RR\1298717SK.docx</w:t>
    </w:r>
    <w:r w:rsidRPr="007C74DC">
      <w:rPr>
        <w:rStyle w:val="HideTWBExt"/>
      </w:rPr>
      <w:t>&lt;/PathFdR&gt;</w:t>
    </w:r>
  </w:p>
  <w:p w:rsidR="006C599B" w:rsidRPr="007C74DC" w:rsidRDefault="006C599B" w:rsidP="00D61737">
    <w:pPr>
      <w:pStyle w:val="EPFooter2"/>
    </w:pPr>
    <w:r w:rsidRPr="007C74D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99B" w:rsidRPr="007C74DC" w:rsidRDefault="006C599B" w:rsidP="00D61737">
    <w:pPr>
      <w:pStyle w:val="EPFooter"/>
    </w:pPr>
    <w:r w:rsidRPr="007C74DC">
      <w:rPr>
        <w:rStyle w:val="HideTWBExt"/>
      </w:rPr>
      <w:t>&lt;PathFdR&gt;</w:t>
    </w:r>
    <w:r w:rsidRPr="007C74DC">
      <w:t>RR\1298717SK.docx</w:t>
    </w:r>
    <w:r w:rsidRPr="007C74DC">
      <w:rPr>
        <w:rStyle w:val="HideTWBExt"/>
      </w:rPr>
      <w:t>&lt;/PathFdR&gt;</w:t>
    </w:r>
    <w:r w:rsidRPr="007C74DC">
      <w:tab/>
    </w:r>
    <w:r w:rsidRPr="007C74DC">
      <w:tab/>
      <w:t>PE</w:t>
    </w:r>
    <w:r w:rsidRPr="007C74DC">
      <w:rPr>
        <w:rStyle w:val="HideTWBExt"/>
      </w:rPr>
      <w:t>&lt;NoPE&gt;</w:t>
    </w:r>
    <w:r w:rsidRPr="007C74DC">
      <w:t>753.488</w:t>
    </w:r>
    <w:r w:rsidRPr="007C74DC">
      <w:rPr>
        <w:rStyle w:val="HideTWBExt"/>
      </w:rPr>
      <w:t>&lt;/NoPE&gt;&lt;Version&gt;</w:t>
    </w:r>
    <w:r w:rsidRPr="007C74DC">
      <w:t>v02-00</w:t>
    </w:r>
    <w:r w:rsidRPr="007C74DC">
      <w:rPr>
        <w:rStyle w:val="HideTWBExt"/>
      </w:rPr>
      <w:t>&lt;/Version&gt;</w:t>
    </w:r>
  </w:p>
  <w:p w:rsidR="006C599B" w:rsidRPr="007C74DC" w:rsidRDefault="006C599B" w:rsidP="00D61737">
    <w:pPr>
      <w:pStyle w:val="EPFooter2"/>
    </w:pPr>
    <w:r w:rsidRPr="007C74DC">
      <w:t>SK</w:t>
    </w:r>
    <w:r w:rsidRPr="007C74DC">
      <w:tab/>
    </w:r>
    <w:r w:rsidRPr="007C74DC">
      <w:rPr>
        <w:b w:val="0"/>
        <w:i/>
        <w:color w:val="C0C0C0"/>
        <w:sz w:val="22"/>
      </w:rPr>
      <w:t>Zjednotení v rozmanitosti</w:t>
    </w:r>
    <w:r w:rsidRPr="007C74D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4D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4D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4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253" w:rsidRPr="007C74DC" w:rsidRDefault="00903253">
      <w:r w:rsidRPr="007C74DC">
        <w:separator/>
      </w:r>
    </w:p>
  </w:footnote>
  <w:footnote w:type="continuationSeparator" w:id="0">
    <w:p w:rsidR="00903253" w:rsidRPr="007C74DC" w:rsidRDefault="00903253">
      <w:r w:rsidRPr="007C74DC">
        <w:continuationSeparator/>
      </w:r>
    </w:p>
  </w:footnote>
  <w:footnote w:id="1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 xml:space="preserve">Ú. v. EÚ </w:t>
      </w:r>
      <w:r w:rsidR="00E957A6">
        <w:rPr>
          <w:sz w:val="24"/>
          <w:lang w:val="sk-SK"/>
        </w:rPr>
        <w:t xml:space="preserve">C, </w:t>
      </w:r>
      <w:r w:rsidRPr="007C74DC">
        <w:rPr>
          <w:sz w:val="24"/>
          <w:lang w:val="sk-SK"/>
        </w:rPr>
        <w:t>C/2023/1025, 16.11.2023.</w:t>
      </w:r>
    </w:p>
  </w:footnote>
  <w:footnote w:id="2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 xml:space="preserve">Ú. v. </w:t>
      </w:r>
      <w:r w:rsidRPr="007C74DC">
        <w:rPr>
          <w:sz w:val="24"/>
          <w:lang w:val="sk-SK"/>
        </w:rPr>
        <w:t xml:space="preserve">EÚ </w:t>
      </w:r>
      <w:r w:rsidR="00E957A6">
        <w:rPr>
          <w:sz w:val="24"/>
          <w:lang w:val="sk-SK"/>
        </w:rPr>
        <w:t xml:space="preserve">C, </w:t>
      </w:r>
      <w:r w:rsidRPr="007C74DC">
        <w:rPr>
          <w:sz w:val="24"/>
          <w:lang w:val="sk-SK"/>
        </w:rPr>
        <w:t>C/2023/112, 12.10.2023.</w:t>
      </w:r>
    </w:p>
  </w:footnote>
  <w:footnote w:id="3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Ú. v. EÚ L 193, 30.7.2018, s. 1.</w:t>
      </w:r>
    </w:p>
  </w:footnote>
  <w:footnote w:id="4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Ú. v. EÚ L 427, 30.11.2021, s. 17.</w:t>
      </w:r>
    </w:p>
  </w:footnote>
  <w:footnote w:id="5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Ú. v. EÚ L 142, 29.5.2019, s. 16.</w:t>
      </w:r>
    </w:p>
  </w:footnote>
  <w:footnote w:id="6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 xml:space="preserve">Ú. v. </w:t>
      </w:r>
      <w:r w:rsidRPr="007C74DC">
        <w:rPr>
          <w:sz w:val="24"/>
          <w:lang w:val="sk-SK"/>
        </w:rPr>
        <w:t xml:space="preserve">EÚ </w:t>
      </w:r>
      <w:r w:rsidR="00E957A6">
        <w:rPr>
          <w:sz w:val="24"/>
          <w:lang w:val="sk-SK"/>
        </w:rPr>
        <w:t xml:space="preserve">C, </w:t>
      </w:r>
      <w:r w:rsidRPr="007C74DC">
        <w:rPr>
          <w:sz w:val="24"/>
          <w:lang w:val="sk-SK"/>
        </w:rPr>
        <w:t>C/2023/1025, 16.11.2023.</w:t>
      </w:r>
    </w:p>
  </w:footnote>
  <w:footnote w:id="7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 xml:space="preserve">Ú. v. </w:t>
      </w:r>
      <w:r w:rsidRPr="007C74DC">
        <w:rPr>
          <w:sz w:val="24"/>
          <w:lang w:val="sk-SK"/>
        </w:rPr>
        <w:t xml:space="preserve">EÚ </w:t>
      </w:r>
      <w:r w:rsidR="00E957A6">
        <w:rPr>
          <w:sz w:val="24"/>
          <w:lang w:val="sk-SK"/>
        </w:rPr>
        <w:t xml:space="preserve">C, </w:t>
      </w:r>
      <w:bookmarkStart w:id="9" w:name="_GoBack"/>
      <w:bookmarkEnd w:id="9"/>
      <w:r w:rsidRPr="007C74DC">
        <w:rPr>
          <w:sz w:val="24"/>
          <w:lang w:val="sk-SK"/>
        </w:rPr>
        <w:t>C/2023/112, 12.10.2023.</w:t>
      </w:r>
    </w:p>
  </w:footnote>
  <w:footnote w:id="8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Ú. v. EÚ L 193, 30.7.2018, s. 1.</w:t>
      </w:r>
    </w:p>
  </w:footnote>
  <w:footnote w:id="9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Ú. v. EÚ L 427, 30.11.2021, s. 17.</w:t>
      </w:r>
    </w:p>
  </w:footnote>
  <w:footnote w:id="10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Ú. v. EÚ L 142, 29.5.2019, s. 16.</w:t>
      </w:r>
    </w:p>
  </w:footnote>
  <w:footnote w:id="11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Nariadenie Rady (EÚ) 2021/2085 z 19. novembra 2021, ktorým sa zriaďujú spoločné podniky v rámci programu Horizont Európa a zrušujú nariadenia (ES) č. 219/2007, (EÚ) č. 557/2014, (EÚ) č. 558/2014, (EÚ) č. 559/2014, (EÚ) č. 560/2014, (EÚ) č. 561/2014 a (EÚ) č. 642/2014 (Ú. v. EÚ L 427, 30.11.2021, s. 17).</w:t>
      </w:r>
    </w:p>
  </w:footnote>
  <w:footnote w:id="12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Nariadenie Rady (EÚ) č. 560/2014 zo 6. mája 2014 o zriadení spoločného podniku pre priemyselné odvetvia využívajúce biologické materiály (Ú. v. EÚ L 169, 7.6.2014, s. 130).</w:t>
      </w:r>
    </w:p>
  </w:footnote>
  <w:footnote w:id="13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Európsky dvor audítorov – Výročná správa o spoločných podnikoch EÚ za rozpočtový rok 2022 (s. 96).</w:t>
      </w:r>
    </w:p>
  </w:footnote>
  <w:footnote w:id="14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hyperlink r:id="rId1" w:history="1">
        <w:r w:rsidRPr="007C74DC">
          <w:rPr>
            <w:rStyle w:val="Hyperlink"/>
            <w:sz w:val="24"/>
            <w:lang w:val="sk-SK"/>
          </w:rPr>
          <w:t>Konsolidovaná výročná správa o činnosti za rok 2022</w:t>
        </w:r>
      </w:hyperlink>
      <w:r w:rsidRPr="007C74DC">
        <w:rPr>
          <w:sz w:val="24"/>
          <w:lang w:val="sk-SK"/>
        </w:rPr>
        <w:t xml:space="preserve"> </w:t>
      </w:r>
      <w:r w:rsidRPr="007C74DC">
        <w:rPr>
          <w:rStyle w:val="Hyperlink"/>
          <w:sz w:val="24"/>
          <w:lang w:val="sk-SK"/>
        </w:rPr>
        <w:t>(s. 8)</w:t>
      </w:r>
      <w:r w:rsidRPr="007C74DC">
        <w:rPr>
          <w:sz w:val="24"/>
          <w:lang w:val="sk-SK"/>
        </w:rPr>
        <w:t>.</w:t>
      </w:r>
    </w:p>
  </w:footnote>
  <w:footnote w:id="15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Celkový rozpočet zahŕňa prevádzkový rozpočet (použitý na financovanie vybraných projektov) a administratívny rozpočet (použitý na financovanie činností programovej kancelárie).</w:t>
      </w:r>
    </w:p>
  </w:footnote>
  <w:footnote w:id="16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Hlava 1 – 2,9 milióna EUR (63 % plnenie), hlava 2 – 1,6 milióna EUR (60 % plnenie), hlava 2 – 120,5 milióna EUR (48 % plnenie).</w:t>
      </w:r>
    </w:p>
  </w:footnote>
  <w:footnote w:id="17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Hlava 1 – 2,8 milióna EUR (55 % plnenie), hlava 2 – 1,9 milióna EUR (68 % plnenie), hlava 3 – 47,4 milióna EUR (65 % plnenie).</w:t>
      </w:r>
    </w:p>
  </w:footnote>
  <w:footnote w:id="18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hyperlink r:id="rId2" w:history="1">
        <w:r w:rsidRPr="007C74DC">
          <w:rPr>
            <w:rStyle w:val="Hyperlink"/>
            <w:sz w:val="24"/>
            <w:lang w:val="sk-SK"/>
          </w:rPr>
          <w:t>Konsolidovaná výročná správa o činnosti za rok 2022</w:t>
        </w:r>
      </w:hyperlink>
      <w:r w:rsidRPr="007C74DC">
        <w:rPr>
          <w:sz w:val="24"/>
          <w:lang w:val="sk-SK"/>
        </w:rPr>
        <w:t xml:space="preserve"> (s. 77).</w:t>
      </w:r>
    </w:p>
  </w:footnote>
  <w:footnote w:id="19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Hlava 3: prevádzkové výdavky (na vykonávanie činností a úloh pridelených spoločnému podniku CBE v súlade s jeho ustanovujúcim nariadením Rady).</w:t>
      </w:r>
    </w:p>
  </w:footnote>
  <w:footnote w:id="20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Hlava 2: administratívne výdavky (vrátane všeobecnej infraštruktúry a prevádzkových nákladov, ako je prenájom budov, náklady na IT, kancelársky nábytok a vybavenie, komunikáciu a zasadnutia a iné rôzne administratívne náklady).</w:t>
      </w:r>
    </w:p>
  </w:footnote>
  <w:footnote w:id="21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Uzavrelo sa niekoľko zmlúv, z ktorých každá bola nižšia ako 15 000 EUR.</w:t>
      </w:r>
    </w:p>
  </w:footnote>
  <w:footnote w:id="22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Úplný plán pracovných miest pre organizáciu je 29 osôb, čo by mal spoločný podnik CBE dosiahnuť začiatkom roka 2024 po vymenovaní nového výkonného riaditeľa;</w:t>
      </w:r>
    </w:p>
  </w:footnote>
  <w:footnote w:id="23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r w:rsidRPr="007C74DC">
        <w:rPr>
          <w:sz w:val="24"/>
          <w:lang w:val="sk-SK"/>
        </w:rPr>
        <w:t>Pokiaľ ide o grantové platobné transakcie testované u prijímateľov, prahová hodnota pre nahlásenie vyčísliteľných chýb je 1 % kontrolovaných nákladov.</w:t>
      </w:r>
    </w:p>
  </w:footnote>
  <w:footnote w:id="24">
    <w:p w:rsidR="006C599B" w:rsidRPr="007C74DC" w:rsidRDefault="006C599B" w:rsidP="007C74DC">
      <w:pPr>
        <w:pStyle w:val="FootnoteText"/>
        <w:ind w:left="567" w:hanging="567"/>
        <w:rPr>
          <w:sz w:val="24"/>
          <w:lang w:val="sk-SK"/>
        </w:rPr>
      </w:pPr>
      <w:r w:rsidRPr="007C74DC">
        <w:rPr>
          <w:rStyle w:val="FootnoteReference"/>
          <w:sz w:val="24"/>
          <w:lang w:val="sk-SK"/>
        </w:rPr>
        <w:footnoteRef/>
      </w:r>
      <w:r w:rsidR="007C74DC" w:rsidRPr="007C74DC">
        <w:rPr>
          <w:sz w:val="24"/>
          <w:lang w:val="sk-SK"/>
        </w:rPr>
        <w:t xml:space="preserve"> </w:t>
      </w:r>
      <w:r w:rsidR="007C74DC" w:rsidRPr="007C74DC">
        <w:rPr>
          <w:sz w:val="24"/>
          <w:lang w:val="sk-SK"/>
        </w:rPr>
        <w:tab/>
      </w:r>
      <w:hyperlink r:id="rId3" w:history="1">
        <w:r w:rsidRPr="007C74DC">
          <w:rPr>
            <w:rStyle w:val="Hyperlink"/>
            <w:sz w:val="24"/>
            <w:lang w:val="sk-SK"/>
          </w:rPr>
          <w:t>https://ebn.eu/about-ebn/</w:t>
        </w:r>
      </w:hyperlink>
      <w:r w:rsidRPr="007C74DC">
        <w:rPr>
          <w:sz w:val="24"/>
          <w:lang w:val="sk-S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4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4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74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8/2024"/>
    <w:docVar w:name="dvlangue" w:val="SK"/>
    <w:docVar w:name="dvnumam" w:val="0"/>
    <w:docVar w:name="dvpe" w:val="753.488"/>
    <w:docVar w:name="dvrapporteur" w:val="Spravodajca: "/>
    <w:docVar w:name="dvtitre" w:val="Rozhodnutie Európskeho parlamentu z xx. apríla 2024 o absolutóriu za plnenie rozpočtu spoločného podniku pre európske obehové hospodárstvo využívajúce biologické materiály za rozpočtový rok 2022(2023/2174(DEC))"/>
  </w:docVars>
  <w:rsids>
    <w:rsidRoot w:val="009032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0D8"/>
    <w:rsid w:val="002767FF"/>
    <w:rsid w:val="002B18FE"/>
    <w:rsid w:val="002B5493"/>
    <w:rsid w:val="00343214"/>
    <w:rsid w:val="00361C00"/>
    <w:rsid w:val="00381B7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599B"/>
    <w:rsid w:val="006F74FA"/>
    <w:rsid w:val="00731ADD"/>
    <w:rsid w:val="00734777"/>
    <w:rsid w:val="00747932"/>
    <w:rsid w:val="00751A4A"/>
    <w:rsid w:val="00756632"/>
    <w:rsid w:val="00762C74"/>
    <w:rsid w:val="00786EC0"/>
    <w:rsid w:val="00787B16"/>
    <w:rsid w:val="007C74D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25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1C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7A6"/>
    <w:rsid w:val="00EB006A"/>
    <w:rsid w:val="00EB4772"/>
    <w:rsid w:val="00ED169E"/>
    <w:rsid w:val="00ED4235"/>
    <w:rsid w:val="00EE6DB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04964"/>
  <w15:chartTrackingRefBased/>
  <w15:docId w15:val="{E1DF390E-3948-41D6-B981-76C1C8A42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C59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C599B"/>
    <w:pPr>
      <w:spacing w:before="480" w:after="240"/>
    </w:pPr>
  </w:style>
  <w:style w:type="paragraph" w:customStyle="1" w:styleId="PageHeading">
    <w:name w:val="PageHeading"/>
    <w:basedOn w:val="Normal"/>
    <w:rsid w:val="006C59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C599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6C599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C59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599B"/>
    <w:rPr>
      <w:sz w:val="24"/>
      <w:lang w:val="sk-SK"/>
    </w:rPr>
  </w:style>
  <w:style w:type="paragraph" w:customStyle="1" w:styleId="EPFooter">
    <w:name w:val="EPFooter"/>
    <w:basedOn w:val="Normal"/>
    <w:rsid w:val="006C59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6C599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C599B"/>
    <w:rPr>
      <w:sz w:val="24"/>
      <w:lang w:val="sk-SK"/>
    </w:rPr>
  </w:style>
  <w:style w:type="paragraph" w:styleId="Footer">
    <w:name w:val="footer"/>
    <w:basedOn w:val="Normal"/>
    <w:link w:val="FooterChar"/>
    <w:rsid w:val="00381B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1B7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bn.eu/about-ebn/" TargetMode="External"/><Relationship Id="rId2" Type="http://schemas.openxmlformats.org/officeDocument/2006/relationships/hyperlink" Target="https://www.cbe.europa.eu/system/files?file=2023-07/CBE-JU-AAR-2022_0.pdf" TargetMode="External"/><Relationship Id="rId1" Type="http://schemas.openxmlformats.org/officeDocument/2006/relationships/hyperlink" Target="https://www.cbe.europa.eu/system/files?file=2023-07/CBE-JU-AAR-2022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FD162-247B-4472-9CCA-05FDEA06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3537</Words>
  <Characters>21074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Karina Pesa</cp:lastModifiedBy>
  <cp:revision>3</cp:revision>
  <cp:lastPrinted>2004-11-19T15:42:00Z</cp:lastPrinted>
  <dcterms:created xsi:type="dcterms:W3CDTF">2024-04-11T11:17:00Z</dcterms:created>
  <dcterms:modified xsi:type="dcterms:W3CDTF">2024-10-30T17:47:00Z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A9-0088/2024</vt:lpwstr>
  </property>
  <property fmtid="{D5CDD505-2E9C-101B-9397-08002B2CF9AE}" pid="4" name="&lt;Type&gt;">
    <vt:lpwstr>RR</vt:lpwstr>
  </property>
</Properties>
</file>