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12085" w:rsidTr="0010095E">
        <w:trPr>
          <w:trHeight w:hRule="exact" w:val="1418"/>
        </w:trPr>
        <w:tc>
          <w:tcPr>
            <w:tcW w:w="6804" w:type="dxa"/>
            <w:shd w:val="clear" w:color="auto" w:fill="auto"/>
            <w:vAlign w:val="center"/>
          </w:tcPr>
          <w:p w:rsidR="00751A4A" w:rsidRPr="00012085" w:rsidRDefault="00E464F7" w:rsidP="0010095E">
            <w:pPr>
              <w:pStyle w:val="EPName"/>
            </w:pPr>
            <w:r w:rsidRPr="00012085">
              <w:t>Europa-Parlamentet</w:t>
            </w:r>
          </w:p>
          <w:p w:rsidR="00751A4A" w:rsidRPr="00012085" w:rsidRDefault="00817416" w:rsidP="00756632">
            <w:pPr>
              <w:pStyle w:val="EPTerm"/>
              <w:rPr>
                <w:rStyle w:val="HideTWBExt"/>
                <w:noProof w:val="0"/>
                <w:vanish w:val="0"/>
                <w:color w:val="auto"/>
              </w:rPr>
            </w:pPr>
            <w:r w:rsidRPr="00012085">
              <w:t>2019-2024</w:t>
            </w:r>
          </w:p>
        </w:tc>
        <w:tc>
          <w:tcPr>
            <w:tcW w:w="2268" w:type="dxa"/>
            <w:shd w:val="clear" w:color="auto" w:fill="auto"/>
          </w:tcPr>
          <w:p w:rsidR="00751A4A" w:rsidRPr="00012085" w:rsidRDefault="00187494" w:rsidP="0010095E">
            <w:pPr>
              <w:pStyle w:val="EPLogo"/>
            </w:pPr>
            <w:r w:rsidRPr="0001208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12085" w:rsidRDefault="00D058B8" w:rsidP="004C5D52">
      <w:pPr>
        <w:pStyle w:val="LineTop"/>
      </w:pPr>
    </w:p>
    <w:p w:rsidR="00680577" w:rsidRPr="00012085" w:rsidRDefault="00E464F7" w:rsidP="00680577">
      <w:pPr>
        <w:pStyle w:val="EPBodyTA1"/>
      </w:pPr>
      <w:r w:rsidRPr="00012085">
        <w:t>VEDTAGNE TEKSTER</w:t>
      </w:r>
    </w:p>
    <w:p w:rsidR="00D058B8" w:rsidRPr="00012085" w:rsidRDefault="00D058B8" w:rsidP="00D058B8">
      <w:pPr>
        <w:pStyle w:val="LineBottom"/>
      </w:pPr>
    </w:p>
    <w:p w:rsidR="00E464F7" w:rsidRPr="00012085" w:rsidRDefault="00E464F7" w:rsidP="00E464F7">
      <w:pPr>
        <w:pStyle w:val="ATHeading1"/>
      </w:pPr>
      <w:bookmarkStart w:id="0" w:name="TANumber"/>
      <w:r w:rsidRPr="00012085">
        <w:t>P9_TA(2024)0</w:t>
      </w:r>
      <w:r w:rsidR="00C733B1">
        <w:t>275</w:t>
      </w:r>
      <w:bookmarkStart w:id="1" w:name="_GoBack"/>
      <w:bookmarkEnd w:id="0"/>
      <w:bookmarkEnd w:id="1"/>
    </w:p>
    <w:p w:rsidR="00E464F7" w:rsidRPr="00012085" w:rsidRDefault="00E464F7" w:rsidP="00E464F7">
      <w:pPr>
        <w:pStyle w:val="ATHeading2"/>
      </w:pPr>
      <w:bookmarkStart w:id="2" w:name="title"/>
      <w:r w:rsidRPr="00012085">
        <w:t>Decharge 2022: Fællesforetagendet for ren brint</w:t>
      </w:r>
      <w:bookmarkEnd w:id="2"/>
    </w:p>
    <w:p w:rsidR="00E464F7" w:rsidRPr="00012085" w:rsidRDefault="00E464F7" w:rsidP="00E464F7">
      <w:pPr>
        <w:rPr>
          <w:i/>
          <w:vanish/>
        </w:rPr>
      </w:pPr>
      <w:r w:rsidRPr="00012085">
        <w:rPr>
          <w:i/>
        </w:rPr>
        <w:fldChar w:fldCharType="begin"/>
      </w:r>
      <w:r w:rsidRPr="00012085">
        <w:rPr>
          <w:i/>
        </w:rPr>
        <w:instrText xml:space="preserve"> TC"(</w:instrText>
      </w:r>
      <w:bookmarkStart w:id="3" w:name="DocNumber"/>
      <w:r w:rsidRPr="00012085">
        <w:rPr>
          <w:i/>
        </w:rPr>
        <w:instrText>A9-0089/2024</w:instrText>
      </w:r>
      <w:bookmarkEnd w:id="3"/>
      <w:r w:rsidRPr="00012085">
        <w:rPr>
          <w:i/>
        </w:rPr>
        <w:instrText xml:space="preserve"> - Ordfører: Michal Wiezik)"\l3 \n&gt; \* MERGEFORMAT </w:instrText>
      </w:r>
      <w:r w:rsidRPr="00012085">
        <w:rPr>
          <w:i/>
        </w:rPr>
        <w:fldChar w:fldCharType="end"/>
      </w:r>
    </w:p>
    <w:p w:rsidR="00E464F7" w:rsidRPr="00012085" w:rsidRDefault="00E464F7" w:rsidP="00E464F7">
      <w:pPr>
        <w:rPr>
          <w:vanish/>
        </w:rPr>
      </w:pPr>
      <w:bookmarkStart w:id="4" w:name="Commission"/>
      <w:r w:rsidRPr="00012085">
        <w:rPr>
          <w:vanish/>
        </w:rPr>
        <w:t>Budgetkontroludvalget</w:t>
      </w:r>
      <w:bookmarkEnd w:id="4"/>
    </w:p>
    <w:p w:rsidR="00E464F7" w:rsidRPr="00012085" w:rsidRDefault="00E464F7" w:rsidP="00E464F7">
      <w:pPr>
        <w:rPr>
          <w:vanish/>
        </w:rPr>
      </w:pPr>
      <w:bookmarkStart w:id="5" w:name="PE"/>
      <w:r w:rsidRPr="00012085">
        <w:rPr>
          <w:vanish/>
        </w:rPr>
        <w:t>PE753.490</w:t>
      </w:r>
      <w:bookmarkEnd w:id="5"/>
    </w:p>
    <w:p w:rsidR="00E464F7" w:rsidRPr="00012085" w:rsidRDefault="00E464F7" w:rsidP="00E464F7">
      <w:pPr>
        <w:pStyle w:val="ATHeading3"/>
      </w:pPr>
      <w:bookmarkStart w:id="6" w:name="Sujet"/>
      <w:r w:rsidRPr="00012085">
        <w:t>1. Europa-Parlamentets afgørelse af 11. april 2024 om decharge for gennemførelsen af budgettet for fællesforetagendet for ren brint for regnskabsåret 2022</w:t>
      </w:r>
      <w:bookmarkEnd w:id="6"/>
      <w:r w:rsidRPr="00012085">
        <w:t xml:space="preserve"> </w:t>
      </w:r>
      <w:bookmarkStart w:id="7" w:name="References"/>
      <w:r w:rsidRPr="00012085">
        <w:t>(2023/2175(DEC))</w:t>
      </w:r>
      <w:bookmarkEnd w:id="7"/>
    </w:p>
    <w:p w:rsidR="00631A0A" w:rsidRPr="00012085" w:rsidRDefault="00631A0A" w:rsidP="00631A0A">
      <w:pPr>
        <w:pStyle w:val="EPComma"/>
      </w:pPr>
      <w:bookmarkStart w:id="8" w:name="TextBodyBegin"/>
      <w:bookmarkEnd w:id="8"/>
      <w:r w:rsidRPr="00012085">
        <w:rPr>
          <w:i/>
        </w:rPr>
        <w:t>Europa-Parlamentet</w:t>
      </w:r>
      <w:r w:rsidRPr="00012085">
        <w:t>,</w:t>
      </w:r>
    </w:p>
    <w:p w:rsidR="00631A0A" w:rsidRPr="00012085" w:rsidRDefault="00631A0A" w:rsidP="00631A0A">
      <w:pPr>
        <w:pStyle w:val="NormalHanging12a"/>
      </w:pPr>
      <w:r w:rsidRPr="00012085">
        <w:t>–</w:t>
      </w:r>
      <w:r w:rsidRPr="00012085">
        <w:tab/>
        <w:t>der henviser til det endelige årsregnskab for fællesforetagendet for ren brint for regnskabsåret 2022,</w:t>
      </w:r>
    </w:p>
    <w:p w:rsidR="00631A0A" w:rsidRPr="00012085" w:rsidRDefault="00631A0A" w:rsidP="00631A0A">
      <w:pPr>
        <w:pStyle w:val="NormalHanging12a"/>
      </w:pPr>
      <w:r w:rsidRPr="00012085">
        <w:t>–</w:t>
      </w:r>
      <w:r w:rsidRPr="00012085">
        <w:tab/>
        <w:t>der henviser til Revisionsrettens årsberetning om EU-fællesforetagenderne for regnskabsåret 2022, med fællesforetagendernes svar</w:t>
      </w:r>
      <w:r w:rsidRPr="00012085">
        <w:rPr>
          <w:rStyle w:val="FootnoteReference"/>
        </w:rPr>
        <w:footnoteReference w:id="1"/>
      </w:r>
      <w:r w:rsidRPr="00012085">
        <w:t>,</w:t>
      </w:r>
    </w:p>
    <w:p w:rsidR="00631A0A" w:rsidRPr="00012085" w:rsidRDefault="00631A0A" w:rsidP="00631A0A">
      <w:pPr>
        <w:pStyle w:val="NormalHanging12a"/>
      </w:pPr>
      <w:r w:rsidRPr="00012085">
        <w:t>–</w:t>
      </w:r>
      <w:r w:rsidRPr="00012085">
        <w:tab/>
        <w:t>der henviser til Revisionsrettens erklæring for regnskabsåret 2022 om regnskabernes rigtighed</w:t>
      </w:r>
      <w:r w:rsidRPr="00012085">
        <w:rPr>
          <w:rStyle w:val="FootnoteReference"/>
        </w:rPr>
        <w:footnoteReference w:id="2"/>
      </w:r>
      <w:r w:rsidRPr="00012085">
        <w:t xml:space="preserve"> og de underliggende transaktioners lovlighed og formelle rigtighed, jf. artikel 287 i traktaten om Den Europæiske Unions funktionsmåde,</w:t>
      </w:r>
    </w:p>
    <w:p w:rsidR="00631A0A" w:rsidRPr="00012085" w:rsidRDefault="00631A0A" w:rsidP="00631A0A">
      <w:pPr>
        <w:pStyle w:val="NormalHanging12a"/>
      </w:pPr>
      <w:r w:rsidRPr="00012085">
        <w:t>–</w:t>
      </w:r>
      <w:r w:rsidRPr="00012085">
        <w:tab/>
        <w:t>der henviser til Rådets henstilling af 22. februar 2024 om meddelelse af decharge til fællesforetagendet for gennemførelsen af budgettet for regnskabsåret 2022 (0</w:t>
      </w:r>
      <w:r w:rsidR="00B579DC" w:rsidRPr="00012085">
        <w:t>6182</w:t>
      </w:r>
      <w:r w:rsidRPr="00012085">
        <w:t>/2024 – C9</w:t>
      </w:r>
      <w:r w:rsidRPr="00012085">
        <w:noBreakHyphen/>
        <w:t>0</w:t>
      </w:r>
      <w:r w:rsidR="00B579DC" w:rsidRPr="00012085">
        <w:t>113</w:t>
      </w:r>
      <w:r w:rsidRPr="00012085">
        <w:t>/2024),</w:t>
      </w:r>
    </w:p>
    <w:p w:rsidR="00631A0A" w:rsidRPr="00012085" w:rsidRDefault="00631A0A" w:rsidP="00631A0A">
      <w:pPr>
        <w:pStyle w:val="NormalHanging12a"/>
      </w:pPr>
      <w:r w:rsidRPr="00012085">
        <w:t>–</w:t>
      </w:r>
      <w:r w:rsidRPr="00012085">
        <w:tab/>
        <w:t>der henviser til artikel 319 i traktaten om Den Europæiske Unions funktionsmåde,</w:t>
      </w:r>
    </w:p>
    <w:p w:rsidR="00631A0A" w:rsidRPr="00012085" w:rsidRDefault="00631A0A" w:rsidP="00631A0A">
      <w:pPr>
        <w:pStyle w:val="NormalHanging12a"/>
      </w:pPr>
      <w:r w:rsidRPr="00012085">
        <w:t>–</w:t>
      </w:r>
      <w:r w:rsidRPr="00012085">
        <w:tab/>
        <w:t xml:space="preserve">der henviser til Europa-Parlamentets og Rådets forordning (EU, </w:t>
      </w:r>
      <w:proofErr w:type="spellStart"/>
      <w:r w:rsidRPr="00012085">
        <w:t>Euratom</w:t>
      </w:r>
      <w:proofErr w:type="spellEnd"/>
      <w:r w:rsidRPr="0001208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012085">
        <w:t>Euratom</w:t>
      </w:r>
      <w:proofErr w:type="spellEnd"/>
      <w:r w:rsidRPr="00012085">
        <w:t>) nr. 966/2012</w:t>
      </w:r>
      <w:r w:rsidRPr="00012085">
        <w:rPr>
          <w:rStyle w:val="FootnoteReference"/>
        </w:rPr>
        <w:footnoteReference w:id="3"/>
      </w:r>
      <w:r w:rsidRPr="00012085">
        <w:t>, særlig artikel 71,</w:t>
      </w:r>
    </w:p>
    <w:p w:rsidR="00631A0A" w:rsidRPr="00012085" w:rsidRDefault="00631A0A" w:rsidP="00631A0A">
      <w:pPr>
        <w:pStyle w:val="NormalHanging12a"/>
      </w:pPr>
      <w:r w:rsidRPr="00012085">
        <w:t>–</w:t>
      </w:r>
      <w:r w:rsidRPr="00012085">
        <w:tab/>
        <w:t xml:space="preserve">der henviser til Rådets forordning (EU) 2021/2085 af 19. november 2021 om oprettelse af fællesforetagenderne under Horisont Europa og om ophævelse af forordning (EF) nr. 219/2007, (EU) nr. 557/2014, (EU) nr. 558/2014, (EU) nr. 559/2014, (EU) nr. </w:t>
      </w:r>
      <w:r w:rsidRPr="00012085">
        <w:lastRenderedPageBreak/>
        <w:t>560/2014, (EU) nr. 561/2014 og (EU) nr. 642/2014</w:t>
      </w:r>
      <w:r w:rsidRPr="00012085">
        <w:rPr>
          <w:rStyle w:val="FootnoteReference"/>
        </w:rPr>
        <w:footnoteReference w:id="4"/>
      </w:r>
      <w:r w:rsidRPr="00012085">
        <w:t>, særlig artikel 26,</w:t>
      </w:r>
    </w:p>
    <w:p w:rsidR="00631A0A" w:rsidRPr="00012085" w:rsidRDefault="00631A0A" w:rsidP="00631A0A">
      <w:pPr>
        <w:pStyle w:val="NormalHanging12a"/>
      </w:pPr>
      <w:r w:rsidRPr="00012085">
        <w:t>–</w:t>
      </w:r>
      <w:r w:rsidRPr="00012085">
        <w:tab/>
        <w:t xml:space="preserve">der henviser til Kommissionens delegerede forordning (EU) 2019/887 af 13. marts 2019 om en finansforordningsmodel for offentlig-private partnerskabsorganer, jf. artikel 71 i Europa-Parlamentets og Rådets forordning (EU, </w:t>
      </w:r>
      <w:proofErr w:type="spellStart"/>
      <w:r w:rsidRPr="00012085">
        <w:t>Euratom</w:t>
      </w:r>
      <w:proofErr w:type="spellEnd"/>
      <w:r w:rsidRPr="00012085">
        <w:t>) 2018/1046</w:t>
      </w:r>
      <w:r w:rsidRPr="00012085">
        <w:rPr>
          <w:rStyle w:val="FootnoteReference"/>
        </w:rPr>
        <w:footnoteReference w:id="5"/>
      </w:r>
      <w:r w:rsidRPr="00012085">
        <w:t>,</w:t>
      </w:r>
    </w:p>
    <w:p w:rsidR="00631A0A" w:rsidRPr="00012085" w:rsidRDefault="00631A0A" w:rsidP="00631A0A">
      <w:pPr>
        <w:pStyle w:val="NormalHanging12a"/>
      </w:pPr>
      <w:r w:rsidRPr="00012085">
        <w:t>–</w:t>
      </w:r>
      <w:r w:rsidRPr="00012085">
        <w:tab/>
        <w:t>der henviser til forretningsordenens artikel 100 og bilag V,</w:t>
      </w:r>
    </w:p>
    <w:p w:rsidR="00631A0A" w:rsidRPr="00012085" w:rsidRDefault="00631A0A" w:rsidP="00631A0A">
      <w:pPr>
        <w:pStyle w:val="NormalHanging12a"/>
      </w:pPr>
      <w:r w:rsidRPr="00012085">
        <w:t>–</w:t>
      </w:r>
      <w:r w:rsidRPr="00012085">
        <w:tab/>
        <w:t>der henviser til betænkning fra Budgetkontroludvalget (A9-0089/2024),</w:t>
      </w:r>
    </w:p>
    <w:p w:rsidR="00631A0A" w:rsidRPr="00012085" w:rsidRDefault="00631A0A" w:rsidP="00631A0A">
      <w:pPr>
        <w:pStyle w:val="NormalHanging12a"/>
      </w:pPr>
      <w:r w:rsidRPr="00012085">
        <w:t>1.</w:t>
      </w:r>
      <w:r w:rsidRPr="00012085">
        <w:tab/>
        <w:t>meddeler den midlertidige administrerende direktør for fællesforetagendet for ren brint decharge for gennemførelsen af fællesforetagendets budget for regnskabsåret 2022;</w:t>
      </w:r>
    </w:p>
    <w:p w:rsidR="00631A0A" w:rsidRPr="00012085" w:rsidRDefault="00631A0A" w:rsidP="00631A0A">
      <w:pPr>
        <w:pStyle w:val="NormalHanging12a"/>
      </w:pPr>
      <w:r w:rsidRPr="00012085">
        <w:t>2.</w:t>
      </w:r>
      <w:r w:rsidRPr="00012085">
        <w:tab/>
        <w:t>fremsætter sine bemærkninger i nedenstående beslutning;</w:t>
      </w:r>
    </w:p>
    <w:p w:rsidR="00631A0A" w:rsidRPr="00012085" w:rsidRDefault="00631A0A" w:rsidP="00631A0A">
      <w:pPr>
        <w:pStyle w:val="NormalHanging12a"/>
      </w:pPr>
      <w:r w:rsidRPr="00012085">
        <w:t>3.</w:t>
      </w:r>
      <w:r w:rsidRPr="00012085">
        <w:tab/>
        <w:t xml:space="preserve">pålægger sin formand at sende denne afgørelse og beslutningen, der er en integrerende del heraf, til den midlertidige administrerende direktør for fællesforetagendet for ren brint, Rådet, Kommissionen og Revisionsretten og drage omsorg for, at de offentliggøres i </w:t>
      </w:r>
      <w:r w:rsidRPr="00012085">
        <w:rPr>
          <w:i/>
          <w:iCs/>
        </w:rPr>
        <w:t>Den Europæiske Unions Tidende</w:t>
      </w:r>
      <w:r w:rsidRPr="00012085">
        <w:t xml:space="preserve"> (L-udgaven).</w:t>
      </w:r>
    </w:p>
    <w:p w:rsidR="00631A0A" w:rsidRPr="00012085" w:rsidRDefault="00631A0A" w:rsidP="00631A0A"/>
    <w:p w:rsidR="00631A0A" w:rsidRPr="00012085" w:rsidRDefault="00631A0A" w:rsidP="00631A0A">
      <w:pPr>
        <w:pStyle w:val="PageHeading"/>
        <w:sectPr w:rsidR="00631A0A" w:rsidRPr="00012085" w:rsidSect="002B01BF">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631A0A" w:rsidRPr="00012085" w:rsidRDefault="00631A0A" w:rsidP="00B579DC">
      <w:pPr>
        <w:pStyle w:val="ATHeading3"/>
      </w:pPr>
      <w:bookmarkStart w:id="9" w:name="_Toc161134411"/>
      <w:bookmarkStart w:id="10" w:name="_Toc161816315"/>
      <w:r w:rsidRPr="00012085">
        <w:t xml:space="preserve">2. </w:t>
      </w:r>
      <w:r w:rsidR="00B579DC" w:rsidRPr="00012085">
        <w:t>Europa-Parlamentets afgørelse</w:t>
      </w:r>
      <w:bookmarkEnd w:id="9"/>
      <w:bookmarkEnd w:id="10"/>
      <w:r w:rsidR="00B579DC" w:rsidRPr="00012085">
        <w:t xml:space="preserve"> af 11. april 2024 </w:t>
      </w:r>
      <w:r w:rsidRPr="00012085">
        <w:t>om afslutning af regnskaberne for fællesforetagendet for ren brint for regnskabsåret 2022</w:t>
      </w:r>
      <w:r w:rsidR="00B579DC" w:rsidRPr="00012085">
        <w:t xml:space="preserve"> </w:t>
      </w:r>
      <w:r w:rsidRPr="00012085">
        <w:t>(2023/2175(DEC))</w:t>
      </w:r>
    </w:p>
    <w:p w:rsidR="00631A0A" w:rsidRPr="00012085" w:rsidRDefault="00631A0A" w:rsidP="00631A0A">
      <w:pPr>
        <w:pStyle w:val="EPComma"/>
      </w:pPr>
      <w:r w:rsidRPr="00012085">
        <w:rPr>
          <w:i/>
          <w:iCs/>
        </w:rPr>
        <w:t>Europa-Parlamentet</w:t>
      </w:r>
      <w:r w:rsidRPr="00012085">
        <w:t>,</w:t>
      </w:r>
    </w:p>
    <w:p w:rsidR="00631A0A" w:rsidRPr="00012085" w:rsidRDefault="00631A0A" w:rsidP="00631A0A">
      <w:pPr>
        <w:pStyle w:val="NormalHanging12a"/>
      </w:pPr>
      <w:r w:rsidRPr="00012085">
        <w:t>–</w:t>
      </w:r>
      <w:r w:rsidRPr="00012085">
        <w:tab/>
        <w:t>der henviser til det endelige årsregnskab for fællesforetagendet for ren brint for regnskabsåret 2022,</w:t>
      </w:r>
    </w:p>
    <w:p w:rsidR="00631A0A" w:rsidRPr="00012085" w:rsidRDefault="00631A0A" w:rsidP="00631A0A">
      <w:pPr>
        <w:pStyle w:val="NormalHanging12a"/>
      </w:pPr>
      <w:r w:rsidRPr="00012085">
        <w:t>–</w:t>
      </w:r>
      <w:r w:rsidRPr="00012085">
        <w:tab/>
        <w:t>der henviser til Revisionsrettens årsberetning om EU-fællesforetagenderne for regnskabsåret 2022, med fællesforetagendernes svar</w:t>
      </w:r>
      <w:r w:rsidRPr="00012085">
        <w:rPr>
          <w:rStyle w:val="FootnoteReference"/>
        </w:rPr>
        <w:footnoteReference w:id="6"/>
      </w:r>
      <w:r w:rsidRPr="00012085">
        <w:t>,</w:t>
      </w:r>
    </w:p>
    <w:p w:rsidR="00631A0A" w:rsidRPr="00012085" w:rsidRDefault="00631A0A" w:rsidP="00631A0A">
      <w:pPr>
        <w:pStyle w:val="NormalHanging12a"/>
      </w:pPr>
      <w:r w:rsidRPr="00012085">
        <w:t>–</w:t>
      </w:r>
      <w:r w:rsidRPr="00012085">
        <w:tab/>
        <w:t>der henviser til Revisionsrettens erklæring for regnskabsåret 2022 om regnskabernes rigtighed</w:t>
      </w:r>
      <w:r w:rsidRPr="00012085">
        <w:rPr>
          <w:rStyle w:val="FootnoteReference"/>
        </w:rPr>
        <w:footnoteReference w:id="7"/>
      </w:r>
      <w:r w:rsidRPr="00012085">
        <w:t xml:space="preserve"> og de underliggende transaktioners lovlighed og formelle rigtighed, jf. artikel 287 i traktaten om Den Europæiske Unions funktionsmåde,</w:t>
      </w:r>
    </w:p>
    <w:p w:rsidR="00631A0A" w:rsidRPr="00012085" w:rsidRDefault="00631A0A" w:rsidP="00631A0A">
      <w:pPr>
        <w:pStyle w:val="NormalHanging12a"/>
      </w:pPr>
      <w:r w:rsidRPr="00012085">
        <w:t>–</w:t>
      </w:r>
      <w:r w:rsidRPr="00012085">
        <w:tab/>
        <w:t>der henviser til Rådets henstilling af 22. februar 2024 om meddelelse af decharge til fællesforetagendet for gennemførelsen af budgettet for regnskabsåret 2022 (0</w:t>
      </w:r>
      <w:r w:rsidR="00B579DC" w:rsidRPr="00012085">
        <w:t>6182</w:t>
      </w:r>
      <w:r w:rsidRPr="00012085">
        <w:t>/2024 – C9</w:t>
      </w:r>
      <w:r w:rsidRPr="00012085">
        <w:noBreakHyphen/>
        <w:t>0</w:t>
      </w:r>
      <w:r w:rsidR="00B579DC" w:rsidRPr="00012085">
        <w:t>113</w:t>
      </w:r>
      <w:r w:rsidRPr="00012085">
        <w:t>/2024),</w:t>
      </w:r>
    </w:p>
    <w:p w:rsidR="00631A0A" w:rsidRPr="00012085" w:rsidRDefault="00631A0A" w:rsidP="00631A0A">
      <w:pPr>
        <w:pStyle w:val="NormalHanging12a"/>
      </w:pPr>
      <w:r w:rsidRPr="00012085">
        <w:t>–</w:t>
      </w:r>
      <w:r w:rsidRPr="00012085">
        <w:tab/>
        <w:t>der henviser til artikel 319 i traktaten om Den Europæiske Unions funktionsmåde,</w:t>
      </w:r>
    </w:p>
    <w:p w:rsidR="00631A0A" w:rsidRPr="00012085" w:rsidRDefault="00631A0A" w:rsidP="00631A0A">
      <w:pPr>
        <w:pStyle w:val="NormalHanging12a"/>
      </w:pPr>
      <w:r w:rsidRPr="00012085">
        <w:t>–</w:t>
      </w:r>
      <w:r w:rsidRPr="00012085">
        <w:tab/>
        <w:t xml:space="preserve">der henviser til Europa-Parlamentets og Rådets forordning (EU, </w:t>
      </w:r>
      <w:proofErr w:type="spellStart"/>
      <w:r w:rsidRPr="00012085">
        <w:t>Euratom</w:t>
      </w:r>
      <w:proofErr w:type="spellEnd"/>
      <w:r w:rsidRPr="0001208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012085">
        <w:t>Euratom</w:t>
      </w:r>
      <w:proofErr w:type="spellEnd"/>
      <w:r w:rsidRPr="00012085">
        <w:t>) nr. 966/2012</w:t>
      </w:r>
      <w:r w:rsidRPr="00012085">
        <w:rPr>
          <w:rStyle w:val="FootnoteReference"/>
        </w:rPr>
        <w:footnoteReference w:id="8"/>
      </w:r>
      <w:r w:rsidRPr="00012085">
        <w:t>, særlig artikel 71,</w:t>
      </w:r>
    </w:p>
    <w:p w:rsidR="00631A0A" w:rsidRPr="00012085" w:rsidRDefault="00631A0A" w:rsidP="00631A0A">
      <w:pPr>
        <w:pStyle w:val="NormalHanging12a"/>
      </w:pPr>
      <w:r w:rsidRPr="00012085">
        <w:t>–</w:t>
      </w:r>
      <w:r w:rsidRPr="00012085">
        <w:tab/>
        <w:t>der henviser til Rådets forordning (EU) 2021/2085 af 19. november 2021 om oprettelse af fællesforetagenderne under Horisont Europa og om ophævelse af forordning (EF) nr. 219/2007, (EU) nr. 557/2014, (EU) nr. 558/2014, (EU) nr. 559/2014, (EU) nr. 560/2014, (EU) nr. 561/2014 og (EU) nr. 642/2014</w:t>
      </w:r>
      <w:r w:rsidRPr="00012085">
        <w:rPr>
          <w:rStyle w:val="FootnoteReference"/>
        </w:rPr>
        <w:footnoteReference w:id="9"/>
      </w:r>
      <w:r w:rsidRPr="00012085">
        <w:t>, særlig artikel 26,</w:t>
      </w:r>
    </w:p>
    <w:p w:rsidR="00631A0A" w:rsidRPr="00012085" w:rsidRDefault="00631A0A" w:rsidP="00631A0A">
      <w:pPr>
        <w:pStyle w:val="NormalHanging12a"/>
      </w:pPr>
      <w:r w:rsidRPr="00012085">
        <w:t>–</w:t>
      </w:r>
      <w:r w:rsidRPr="00012085">
        <w:tab/>
        <w:t xml:space="preserve">der henviser til Kommissionens delegerede forordning (EU) 2019/887 af 13. marts 2019 om en finansforordningsmodel for offentlig-private partnerskabsorganer, jf. artikel 71 i Europa-Parlamentets og Rådets forordning (EU, </w:t>
      </w:r>
      <w:proofErr w:type="spellStart"/>
      <w:r w:rsidRPr="00012085">
        <w:t>Euratom</w:t>
      </w:r>
      <w:proofErr w:type="spellEnd"/>
      <w:r w:rsidRPr="00012085">
        <w:t>) 2018/1046</w:t>
      </w:r>
      <w:r w:rsidRPr="00012085">
        <w:rPr>
          <w:rStyle w:val="FootnoteReference"/>
        </w:rPr>
        <w:footnoteReference w:id="10"/>
      </w:r>
      <w:r w:rsidRPr="00012085">
        <w:t>,</w:t>
      </w:r>
    </w:p>
    <w:p w:rsidR="00631A0A" w:rsidRPr="00012085" w:rsidRDefault="00631A0A" w:rsidP="00631A0A">
      <w:pPr>
        <w:pStyle w:val="NormalHanging12a"/>
      </w:pPr>
      <w:r w:rsidRPr="00012085">
        <w:t>–</w:t>
      </w:r>
      <w:r w:rsidRPr="00012085">
        <w:tab/>
        <w:t>der henviser til forretningsordenens artikel 100 og bilag V,</w:t>
      </w:r>
    </w:p>
    <w:p w:rsidR="00631A0A" w:rsidRPr="00012085" w:rsidRDefault="00631A0A" w:rsidP="00631A0A">
      <w:pPr>
        <w:pStyle w:val="NormalHanging12a"/>
      </w:pPr>
      <w:r w:rsidRPr="00012085">
        <w:t>–</w:t>
      </w:r>
      <w:r w:rsidRPr="00012085">
        <w:tab/>
        <w:t>der henviser til betænkning fra Budgetkontroludvalget (A9-0089/2024),</w:t>
      </w:r>
    </w:p>
    <w:p w:rsidR="00631A0A" w:rsidRPr="00012085" w:rsidRDefault="00631A0A" w:rsidP="00631A0A">
      <w:pPr>
        <w:pStyle w:val="NormalHanging12a"/>
      </w:pPr>
      <w:r w:rsidRPr="00012085">
        <w:t>1.</w:t>
      </w:r>
      <w:r w:rsidRPr="00012085">
        <w:tab/>
        <w:t>godkender afslutningen af regnskaberne for fællesforetagendet for ren brint for regnskabsåret 2022;</w:t>
      </w:r>
    </w:p>
    <w:p w:rsidR="00631A0A" w:rsidRPr="00012085" w:rsidRDefault="00631A0A" w:rsidP="00631A0A">
      <w:pPr>
        <w:pStyle w:val="NormalHanging12a"/>
      </w:pPr>
      <w:r w:rsidRPr="00012085">
        <w:t>2.</w:t>
      </w:r>
      <w:r w:rsidRPr="00012085">
        <w:tab/>
        <w:t xml:space="preserve">pålægger sin formand at sende denne afgørelse til den midlertidige administrerende direktør for fællesforetagendet for ren brint, Rådet, Kommissionen og Revisionsretten og drage omsorg for, at den offentliggøres i </w:t>
      </w:r>
      <w:r w:rsidRPr="00012085">
        <w:rPr>
          <w:i/>
          <w:iCs/>
        </w:rPr>
        <w:t>Den Europæiske Unions Tidende</w:t>
      </w:r>
      <w:r w:rsidRPr="00012085">
        <w:t xml:space="preserve"> (L-udgaven).</w:t>
      </w:r>
    </w:p>
    <w:p w:rsidR="00631A0A" w:rsidRPr="00012085" w:rsidRDefault="00631A0A" w:rsidP="00631A0A"/>
    <w:p w:rsidR="00631A0A" w:rsidRPr="00012085" w:rsidRDefault="00631A0A" w:rsidP="00631A0A">
      <w:pPr>
        <w:pStyle w:val="PageHeading"/>
        <w:sectPr w:rsidR="00631A0A" w:rsidRPr="00012085" w:rsidSect="002B01BF">
          <w:footnotePr>
            <w:numRestart w:val="eachPage"/>
          </w:footnotePr>
          <w:endnotePr>
            <w:numFmt w:val="decimal"/>
          </w:endnotePr>
          <w:pgSz w:w="11906" w:h="16838" w:code="9"/>
          <w:pgMar w:top="1134" w:right="1418" w:bottom="1418" w:left="1418" w:header="567" w:footer="567" w:gutter="0"/>
          <w:cols w:space="720"/>
          <w:noEndnote/>
          <w:docGrid w:linePitch="326"/>
        </w:sectPr>
      </w:pPr>
    </w:p>
    <w:p w:rsidR="00631A0A" w:rsidRPr="00012085" w:rsidRDefault="00631A0A" w:rsidP="00B579DC">
      <w:pPr>
        <w:pStyle w:val="ATHeading3"/>
      </w:pPr>
      <w:bookmarkStart w:id="11" w:name="_Toc161134412"/>
      <w:bookmarkStart w:id="12" w:name="_Toc161816316"/>
      <w:r w:rsidRPr="00012085">
        <w:t xml:space="preserve">3. </w:t>
      </w:r>
      <w:r w:rsidR="00B579DC" w:rsidRPr="00012085">
        <w:t>Europa-Parlamentets beslutning</w:t>
      </w:r>
      <w:bookmarkEnd w:id="11"/>
      <w:bookmarkEnd w:id="12"/>
      <w:r w:rsidR="00B579DC" w:rsidRPr="00012085">
        <w:t xml:space="preserve"> af 11. april 2024 </w:t>
      </w:r>
      <w:r w:rsidRPr="00012085">
        <w:t>med bemærkningerne, der er en integrerende del af afgørelsen om decharge for gennemførelsen af budgettet for fællesforetagendet for ren brint for regnskabsåret 2022</w:t>
      </w:r>
      <w:r w:rsidR="00B579DC" w:rsidRPr="00012085">
        <w:t xml:space="preserve"> </w:t>
      </w:r>
      <w:r w:rsidRPr="00012085">
        <w:t>(2023/2175(DEC))</w:t>
      </w:r>
    </w:p>
    <w:p w:rsidR="00631A0A" w:rsidRPr="00012085" w:rsidRDefault="00631A0A" w:rsidP="00631A0A">
      <w:pPr>
        <w:pStyle w:val="EPComma"/>
      </w:pPr>
      <w:r w:rsidRPr="00012085">
        <w:rPr>
          <w:i/>
          <w:iCs/>
        </w:rPr>
        <w:t>Europa-Parlamentet</w:t>
      </w:r>
      <w:r w:rsidRPr="00012085">
        <w:t>,</w:t>
      </w:r>
    </w:p>
    <w:p w:rsidR="00631A0A" w:rsidRPr="00012085" w:rsidRDefault="00631A0A" w:rsidP="00631A0A">
      <w:pPr>
        <w:pStyle w:val="NormalHanging12a"/>
      </w:pPr>
      <w:r w:rsidRPr="00012085">
        <w:t>–</w:t>
      </w:r>
      <w:r w:rsidRPr="00012085">
        <w:tab/>
        <w:t>der henviser til sin afgørelse om decharge for gennemførelsen af budgettet for fællesforetagendet for ren brint for regnskabsåret 2022,</w:t>
      </w:r>
    </w:p>
    <w:p w:rsidR="00631A0A" w:rsidRPr="00012085" w:rsidRDefault="00631A0A" w:rsidP="00631A0A">
      <w:pPr>
        <w:pStyle w:val="NormalHanging12a"/>
      </w:pPr>
      <w:r w:rsidRPr="00012085">
        <w:t>–</w:t>
      </w:r>
      <w:r w:rsidRPr="00012085">
        <w:tab/>
        <w:t>der henviser til forretningsordenens artikel 100 og bilag V,</w:t>
      </w:r>
    </w:p>
    <w:p w:rsidR="00631A0A" w:rsidRPr="00012085" w:rsidRDefault="00631A0A" w:rsidP="00631A0A">
      <w:pPr>
        <w:pStyle w:val="NormalHanging12a"/>
      </w:pPr>
      <w:r w:rsidRPr="00012085">
        <w:t>–</w:t>
      </w:r>
      <w:r w:rsidRPr="00012085">
        <w:tab/>
        <w:t>der henviser til betænkning fra Budgetkontroludvalget (A9-0089/2024),</w:t>
      </w:r>
    </w:p>
    <w:p w:rsidR="00631A0A" w:rsidRPr="00012085" w:rsidRDefault="00631A0A" w:rsidP="00631A0A">
      <w:pPr>
        <w:spacing w:after="240"/>
        <w:ind w:left="567" w:hanging="567"/>
      </w:pPr>
      <w:r w:rsidRPr="00012085">
        <w:t>A.</w:t>
      </w:r>
      <w:r w:rsidRPr="00012085">
        <w:tab/>
        <w:t>der henviser til, at fællesforetagendet for ren brint ("fællesforetagendet CH"), der ligger i Bruxelles, blev oprettet under Horisont Europa-programmet ved Rådets forordning (EU) 2021/2085</w:t>
      </w:r>
      <w:r w:rsidRPr="00012085">
        <w:rPr>
          <w:rStyle w:val="FootnoteReference"/>
        </w:rPr>
        <w:footnoteReference w:id="11"/>
      </w:r>
      <w:r w:rsidRPr="00012085">
        <w:t xml:space="preserve"> for en periode, der slutter den 31. december 2031; der henviser til, at fællesforetagendet CH erstattede og efterfulgte det fælles teknologiinitiativ vedrørende brændselsceller og brint ("fællesforetagendet BCB"), som blev oprettet i maj 2008 for perioden indtil den 31. december 2017 under det syvende rammeprogram for forskning ved Rådets forordning (EF) nr. 521/2008</w:t>
      </w:r>
      <w:r w:rsidRPr="00012085">
        <w:rPr>
          <w:rStyle w:val="FootnoteReference"/>
        </w:rPr>
        <w:footnoteReference w:id="12"/>
      </w:r>
      <w:r w:rsidRPr="00012085">
        <w:t xml:space="preserve"> og forlænget i maj 2014 under Horisont 2020-programmet for en periode indtil den 31. december 2024 ved Rådets forordning (EU) nr. 559/2014</w:t>
      </w:r>
      <w:r w:rsidRPr="00012085">
        <w:rPr>
          <w:rStyle w:val="FootnoteReference"/>
        </w:rPr>
        <w:footnoteReference w:id="13"/>
      </w:r>
      <w:r w:rsidRPr="00012085">
        <w:t xml:space="preserve"> (fællesforetagendet BCB 2);</w:t>
      </w:r>
    </w:p>
    <w:p w:rsidR="00631A0A" w:rsidRPr="00012085" w:rsidRDefault="00631A0A" w:rsidP="00631A0A">
      <w:pPr>
        <w:spacing w:after="240"/>
        <w:ind w:left="567" w:hanging="567"/>
      </w:pPr>
      <w:r w:rsidRPr="00012085">
        <w:t>B.</w:t>
      </w:r>
      <w:r w:rsidRPr="00012085">
        <w:tab/>
        <w:t>der henviser til, at fællesforetagendet CH er et offentlig-privat partnerskab om forskning og innovation vedrørende brint- og brændselscelleteknologier; der henviser til, at dets stiftende medlemmer er EU, repræsenteret ved Kommissionen, industrisammenslutningen (Hydrogen Europe) og forskningssammenslutningen (Hydrogen Europe Research);</w:t>
      </w:r>
    </w:p>
    <w:p w:rsidR="00631A0A" w:rsidRPr="00012085" w:rsidRDefault="00631A0A" w:rsidP="00631A0A">
      <w:pPr>
        <w:pStyle w:val="NormalHanging12a"/>
      </w:pPr>
      <w:r w:rsidRPr="00012085">
        <w:t>C.</w:t>
      </w:r>
      <w:r w:rsidRPr="00012085">
        <w:tab/>
        <w:t>der henviser til, at fællesforetagendet CH i sine årsregnskaber bør give relevante oplysninger om medlemmernes bidrag på programniveau med henblik på at øge gennemsigtigheden; der henviser til, at fællesforetagendet CH for hvert program, som det opererer under, frem til årets udgang bør fremlægge alle relevante oplysninger pr. medlemskategori, herunder de lovbestemte bidragsmål for det pågældende program, omfanget af de modtagne bidrag og omfanget af de retlige forpligtelser; foreslår, at fællesforetagendet CH fortsat forbedrer gennemsigtigheden;</w:t>
      </w:r>
    </w:p>
    <w:p w:rsidR="00631A0A" w:rsidRPr="00012085" w:rsidRDefault="00631A0A" w:rsidP="00631A0A">
      <w:pPr>
        <w:spacing w:after="240"/>
        <w:ind w:left="567" w:hanging="567"/>
        <w:rPr>
          <w:b/>
          <w:i/>
        </w:rPr>
      </w:pPr>
      <w:r w:rsidRPr="00012085">
        <w:rPr>
          <w:b/>
          <w:i/>
        </w:rPr>
        <w:t>Budgetmæssig og økonomisk forvaltning</w:t>
      </w:r>
    </w:p>
    <w:p w:rsidR="00631A0A" w:rsidRPr="00012085" w:rsidRDefault="00631A0A" w:rsidP="00631A0A">
      <w:pPr>
        <w:spacing w:after="240"/>
        <w:ind w:left="567" w:hanging="567"/>
      </w:pPr>
      <w:r w:rsidRPr="00012085">
        <w:t>1.</w:t>
      </w:r>
      <w:r w:rsidRPr="00012085">
        <w:tab/>
        <w:t xml:space="preserve">bemærker, at det i Revisionsrettens beretning om årsregnskabet for 2022 for fællesforetagendet </w:t>
      </w:r>
      <w:r w:rsidR="00CF4A77" w:rsidRPr="00012085">
        <w:t>CH</w:t>
      </w:r>
      <w:r w:rsidRPr="00012085">
        <w:t xml:space="preserve"> ("Revisionsrettens beretning") konstateres, at det i alt væsentligt giver et retvisende billede af fællesforetagende for ren brints finansielle stilling pr. 31. december 2022 og af resultaterne af dets transaktioner, pengestrømme og ændringer i nettoaktiverne i det afsluttede regnskabsår i overensstemmelse med dets finansforordning og de regnskabsregler, Kommissionens regnskabsfører har fastlagt; bemærker desuden på baggrund af Revisionsrettens beretning, at de underliggende transaktioner i alt væsentligt er lovlige og formelt rigtige;</w:t>
      </w:r>
    </w:p>
    <w:p w:rsidR="00631A0A" w:rsidRPr="00012085" w:rsidRDefault="00631A0A" w:rsidP="00631A0A">
      <w:pPr>
        <w:pStyle w:val="NormalHanging12a"/>
      </w:pPr>
      <w:r w:rsidRPr="00012085">
        <w:t>2.</w:t>
      </w:r>
      <w:r w:rsidRPr="00012085">
        <w:tab/>
        <w:t>glæder sig over den rolle, som fællesforetagendet CH spiller med hensyn til at støtte forsknings- og innovationsaktiviteter inden for brintteknologier i Europa;</w:t>
      </w:r>
    </w:p>
    <w:p w:rsidR="00631A0A" w:rsidRPr="00012085" w:rsidRDefault="00631A0A" w:rsidP="00631A0A">
      <w:pPr>
        <w:spacing w:after="240"/>
        <w:ind w:left="567" w:hanging="567"/>
        <w:rPr>
          <w:rFonts w:eastAsiaTheme="minorHAnsi"/>
          <w:szCs w:val="24"/>
        </w:rPr>
      </w:pPr>
      <w:r w:rsidRPr="00012085">
        <w:t>3.</w:t>
      </w:r>
      <w:r w:rsidRPr="00012085">
        <w:tab/>
        <w:t>bemærker, at det disponible budget for 2022</w:t>
      </w:r>
      <w:r w:rsidRPr="00012085">
        <w:rPr>
          <w:rStyle w:val="FootnoteReference"/>
        </w:rPr>
        <w:footnoteReference w:id="14"/>
      </w:r>
      <w:r w:rsidRPr="00012085">
        <w:t xml:space="preserve"> i forpligtelsesbevillinger</w:t>
      </w:r>
      <w:r w:rsidRPr="00012085">
        <w:rPr>
          <w:rStyle w:val="FootnoteReference"/>
        </w:rPr>
        <w:footnoteReference w:id="15"/>
      </w:r>
      <w:r w:rsidRPr="00012085">
        <w:t xml:space="preserve"> var på 314,3 mio. EUR (sammenlignet med 15,8 mio. EUR i 2021), heraf 305,8 mio. EUR til operationelle aktiviteter og 8 mio. EUR til administrationsudgifter, og i betalingsbevillinger</w:t>
      </w:r>
      <w:r w:rsidRPr="00012085">
        <w:rPr>
          <w:rStyle w:val="FootnoteReference"/>
        </w:rPr>
        <w:footnoteReference w:id="16"/>
      </w:r>
      <w:r w:rsidRPr="00012085">
        <w:t xml:space="preserve"> var på 118,3 mio. EUR (sammenlignet med 56,2 mio. EUR i 2021), heraf 109,7 mio. EUR til operationelle aktiviteter og 8,1 mio. EUR til administrationsudgifter;</w:t>
      </w:r>
    </w:p>
    <w:p w:rsidR="00631A0A" w:rsidRPr="00012085" w:rsidRDefault="00631A0A" w:rsidP="00631A0A">
      <w:pPr>
        <w:spacing w:after="240"/>
        <w:ind w:left="567" w:hanging="567"/>
      </w:pPr>
      <w:r w:rsidRPr="00012085">
        <w:t>4.</w:t>
      </w:r>
      <w:r w:rsidRPr="00012085">
        <w:tab/>
        <w:t xml:space="preserve">bemærker, at ændringerne i størrelsen af fællesforetagendet </w:t>
      </w:r>
      <w:proofErr w:type="spellStart"/>
      <w:r w:rsidRPr="00012085">
        <w:t>CH's</w:t>
      </w:r>
      <w:proofErr w:type="spellEnd"/>
      <w:r w:rsidRPr="00012085">
        <w:t xml:space="preserve"> budget i høj grad afhænger af gennemførelsesfasen af de flerårige forsknings- og innovationsprogrammer, som det gennemfører; bemærker, at fællesforetagendet CH påbegyndte gennemførelsen af Horisont Europa-programmet i 2022, og at budgettet for 2022 derfor omfatter forpligtelsesbudgettet for de første indkaldelser af forslag under Horisont Europa, der var planlagt for 2022, og betalingsbudgettet for de tilhørende </w:t>
      </w:r>
      <w:proofErr w:type="spellStart"/>
      <w:r w:rsidRPr="00012085">
        <w:t>forfinansieringsbetalinger</w:t>
      </w:r>
      <w:proofErr w:type="spellEnd"/>
      <w:r w:rsidRPr="00012085">
        <w:t>;</w:t>
      </w:r>
    </w:p>
    <w:p w:rsidR="00631A0A" w:rsidRPr="00012085" w:rsidRDefault="00631A0A" w:rsidP="00631A0A">
      <w:pPr>
        <w:pStyle w:val="NormalHanging12a"/>
      </w:pPr>
      <w:r w:rsidRPr="00012085">
        <w:t>5.</w:t>
      </w:r>
      <w:r w:rsidRPr="00012085">
        <w:tab/>
        <w:t xml:space="preserve">bemærker, at Revisionsretten vurderer, at oplysningerne om medlemmernes bidrag på programniveau er utilstrækkelige; glæder sig over fællesforetagendet </w:t>
      </w:r>
      <w:proofErr w:type="spellStart"/>
      <w:r w:rsidRPr="00012085">
        <w:t>CH's</w:t>
      </w:r>
      <w:proofErr w:type="spellEnd"/>
      <w:r w:rsidRPr="00012085">
        <w:t xml:space="preserve"> tilsagn om at løse dette problem;</w:t>
      </w:r>
    </w:p>
    <w:p w:rsidR="00631A0A" w:rsidRPr="00012085" w:rsidRDefault="00631A0A" w:rsidP="00631A0A">
      <w:pPr>
        <w:spacing w:after="240"/>
        <w:ind w:left="567" w:hanging="567"/>
      </w:pPr>
      <w:r w:rsidRPr="00012085">
        <w:t>6.</w:t>
      </w:r>
      <w:r w:rsidRPr="00012085">
        <w:tab/>
        <w:t xml:space="preserve">bemærker, at de bogførte bidragsbeløb pr. medlemskategori (EU og private medlemmer) i fællesforetagendet </w:t>
      </w:r>
      <w:proofErr w:type="spellStart"/>
      <w:r w:rsidRPr="00012085">
        <w:t>CH's</w:t>
      </w:r>
      <w:proofErr w:type="spellEnd"/>
      <w:r w:rsidRPr="00012085">
        <w:t xml:space="preserve"> årsregnskab for 2022 afviger betydeligt fra hinanden; noterer sig, at dette skyldes, at Unionens kontantbidrag valideres og bogføres, når de betales til fællesforetagendet CH ved projektgennemførelsens start, hvorimod medlemmernes bidrag i naturalier først bogføres, når de omkostninger, der er afholdt og anmeldt i forbindelse med projektgennemførelsen, er blevet valideret;</w:t>
      </w:r>
    </w:p>
    <w:p w:rsidR="00631A0A" w:rsidRPr="00012085" w:rsidRDefault="00631A0A" w:rsidP="00631A0A">
      <w:pPr>
        <w:pStyle w:val="NormalHanging12a"/>
      </w:pPr>
      <w:r w:rsidRPr="00012085">
        <w:t>7.</w:t>
      </w:r>
      <w:r w:rsidRPr="00012085">
        <w:tab/>
        <w:t xml:space="preserve">opfordrer fællesforetagendet CH til at gøre noget ved forskellen mellem de bogførte kontantbidrag på den ene side og bidragene i naturalier på den anden side ved at give information om fællesforetagendet </w:t>
      </w:r>
      <w:proofErr w:type="spellStart"/>
      <w:r w:rsidRPr="00012085">
        <w:t>CH's</w:t>
      </w:r>
      <w:proofErr w:type="spellEnd"/>
      <w:r w:rsidRPr="00012085">
        <w:t xml:space="preserve"> medlemmers retlige forpligtelser ved årets udgang i form af underskrevne tilskudsaftaler og kontrakter;</w:t>
      </w:r>
    </w:p>
    <w:p w:rsidR="00631A0A" w:rsidRPr="00012085" w:rsidRDefault="00631A0A" w:rsidP="00631A0A">
      <w:pPr>
        <w:pStyle w:val="NormalHanging12a"/>
      </w:pPr>
      <w:r w:rsidRPr="00012085">
        <w:t>8.</w:t>
      </w:r>
      <w:r w:rsidRPr="00012085">
        <w:tab/>
        <w:t>glæder sig over, at fællesforetagendet CH med hensyn til gennemførelsen af det syvende forskningsrammeprogram nåede målet for medlemmernes bidrag;</w:t>
      </w:r>
    </w:p>
    <w:p w:rsidR="00631A0A" w:rsidRPr="00012085" w:rsidRDefault="00631A0A" w:rsidP="00631A0A">
      <w:pPr>
        <w:spacing w:after="240"/>
        <w:ind w:left="567" w:hanging="567"/>
        <w:rPr>
          <w:rFonts w:eastAsiaTheme="minorHAnsi"/>
          <w:szCs w:val="24"/>
        </w:rPr>
      </w:pPr>
      <w:r w:rsidRPr="00012085">
        <w:t>9.</w:t>
      </w:r>
      <w:r w:rsidRPr="00012085">
        <w:tab/>
        <w:t>bemærker, at fællesforetagendet CH ved udgangen af 2022 havde indgået forpligtelser for 425,8 mio. EUR, (dvs. 95 %) af det maksimale operationelle EU-bidrag på 450 mio. EUR til underskrevne tilskudsaftaler under det syvende forskningsrammeprogram; bemærker, at ca. 3 mio. EUR (dvs. 0,7 %) af dette forpligtede beløb skulle betales i 2023 i forbindelse med afslutningen af det sidste igangværende projekt under det syvende forskningsrammeprogram; noterer sig endvidere, at de private medlemmer ved udgangen af 2022 havde anmeldt bidrag i naturalier svarende til minimumsmålet på 450 mio. EUR, og at bidragene var fuldt valideret af fællesforetagendet CH;</w:t>
      </w:r>
    </w:p>
    <w:p w:rsidR="00631A0A" w:rsidRPr="00012085" w:rsidRDefault="00631A0A" w:rsidP="00631A0A">
      <w:pPr>
        <w:spacing w:after="240"/>
        <w:ind w:left="567" w:hanging="567"/>
      </w:pPr>
      <w:r w:rsidRPr="00012085">
        <w:t>10.</w:t>
      </w:r>
      <w:r w:rsidRPr="00012085">
        <w:tab/>
        <w:t>noterer sig for så vidt angår Horisont 2020-programmet, at beløbet for de private medlemmers validerede bidrag i naturalier til operationelle aktiviteter er lavt – 51,7 mio. EUR (2021: 38,6 mio. EUR) – fordi fællesforetagendet CH attesterer bidraget senere, når de endelige betalinger til Horisont 2020-projekterne foretages, og attesterne for årsregnskaberne skal foreligge;</w:t>
      </w:r>
    </w:p>
    <w:p w:rsidR="00631A0A" w:rsidRPr="00012085" w:rsidRDefault="00631A0A" w:rsidP="00631A0A">
      <w:pPr>
        <w:spacing w:after="240"/>
        <w:ind w:left="567" w:hanging="567"/>
      </w:pPr>
      <w:r w:rsidRPr="00012085">
        <w:t>11.</w:t>
      </w:r>
      <w:r w:rsidRPr="00012085">
        <w:tab/>
        <w:t>noterer sig på baggrund af Revisionsrettens beretning, at medlemmernes retlige forpligtelser er på niveau med deres bidragsmål;</w:t>
      </w:r>
    </w:p>
    <w:p w:rsidR="00631A0A" w:rsidRPr="00012085" w:rsidRDefault="00631A0A" w:rsidP="00631A0A">
      <w:pPr>
        <w:spacing w:after="240"/>
        <w:ind w:left="567" w:hanging="567"/>
      </w:pPr>
      <w:r w:rsidRPr="00012085">
        <w:t>12.</w:t>
      </w:r>
      <w:r w:rsidRPr="00012085">
        <w:tab/>
        <w:t xml:space="preserve">bemærker for så vidt angår fællesforetagendet </w:t>
      </w:r>
      <w:proofErr w:type="spellStart"/>
      <w:r w:rsidRPr="00012085">
        <w:t>CH's</w:t>
      </w:r>
      <w:proofErr w:type="spellEnd"/>
      <w:r w:rsidRPr="00012085">
        <w:t xml:space="preserve"> resultater i forbindelse med Horisont 2020-programmet med hensyn til underskrevne tilskudsaftaler og kontrakter, at fællesforetagendet CH ved udgangen af 2022 havde indgået forpligtelser for hele det beløb på 646 mio. EUR, som udgør det maksimale operationelle EU-bidrag til underskrevne tilskudsaftaler og kontrakter under dette program; noterer sig endvidere, at der af dette forpligtede beløb skal betales ca. 88,5 mio. EUR (13,7 %) i de kommende år vedrørende projekter og kontrakter, der endnu ikke er afsluttet;</w:t>
      </w:r>
    </w:p>
    <w:p w:rsidR="00631A0A" w:rsidRPr="00012085" w:rsidRDefault="00631A0A" w:rsidP="00631A0A">
      <w:pPr>
        <w:spacing w:after="240"/>
        <w:ind w:left="567" w:hanging="567"/>
      </w:pPr>
      <w:r w:rsidRPr="00012085">
        <w:t>13.</w:t>
      </w:r>
      <w:r w:rsidRPr="00012085">
        <w:tab/>
        <w:t xml:space="preserve">bemærker desuden, at de private medlemmer retligt havde forpligtet sig til at yde bidrag i naturalier til fællesforetagendet </w:t>
      </w:r>
      <w:proofErr w:type="spellStart"/>
      <w:r w:rsidRPr="00012085">
        <w:t>CH's</w:t>
      </w:r>
      <w:proofErr w:type="spellEnd"/>
      <w:r w:rsidRPr="00012085">
        <w:t xml:space="preserve"> operationelle aktiviteter på 190,5 mio. EUR og bidrag i naturalier til supplerende aktiviteter på 1 039 mio. EUR (dvs. 340,6 %) af minimumsmålet på 361 mio. EUR; noterer sig, at disse forpligtede beløb blev rapporteret fuldt ud ved udgangen af 2022;</w:t>
      </w:r>
    </w:p>
    <w:p w:rsidR="00631A0A" w:rsidRPr="00012085" w:rsidRDefault="00631A0A" w:rsidP="00631A0A">
      <w:pPr>
        <w:spacing w:after="240"/>
        <w:ind w:left="567" w:hanging="567"/>
      </w:pPr>
      <w:r w:rsidRPr="00012085">
        <w:t>14.</w:t>
      </w:r>
      <w:r w:rsidRPr="00012085">
        <w:tab/>
        <w:t>bemærker med hensyn til Horisont 2020-aktiviteter, at fællesforetagendet CH ikke modtog nogen nye forpligtelsesbevillinger vedrørende aktionsudgifter, eftersom fællesforetagendet CH havde afsluttet sin sidste indkaldelse af forslag ved udgangen af 2020;</w:t>
      </w:r>
    </w:p>
    <w:p w:rsidR="00631A0A" w:rsidRPr="00012085" w:rsidRDefault="00631A0A" w:rsidP="00631A0A">
      <w:pPr>
        <w:spacing w:after="240"/>
        <w:ind w:left="567" w:hanging="567"/>
      </w:pPr>
      <w:r w:rsidRPr="00012085">
        <w:t>15.</w:t>
      </w:r>
      <w:r w:rsidRPr="00012085">
        <w:tab/>
        <w:t>noterer sig på baggrund af Revisionsrettens beretning, at gennemførelsen af 2022-budgettet for aktionsudgifterne til Horisont 2020-aktiviteter blev forringet (81 % for 2022 sammenlignet med 88 % for 2021), idet støttemodtagerne stod over for stigende omkostninger og leveringsproblemer i kølvandet på covid-19-krisen og angrebskrigen mod Ukraine, og at de fleste Horisont 2020-projekter derfor måtte forlænges, og de endelige betalinger måtte udsættes til 2023;</w:t>
      </w:r>
    </w:p>
    <w:p w:rsidR="00631A0A" w:rsidRPr="00012085" w:rsidRDefault="00631A0A" w:rsidP="00631A0A">
      <w:pPr>
        <w:spacing w:after="240"/>
        <w:ind w:left="567" w:hanging="567"/>
      </w:pPr>
      <w:r w:rsidRPr="00012085">
        <w:t>16.</w:t>
      </w:r>
      <w:r w:rsidRPr="00012085">
        <w:tab/>
        <w:t xml:space="preserve">bemærker, at Kommissionen for så vidt angår Horisont Europa-programmet i 2022 ydede kontantbidrag på 80 mio. EUR, hvoraf fællesforetagendet CH brugte 47 mio. EUR (dvs. 59 %) til </w:t>
      </w:r>
      <w:proofErr w:type="spellStart"/>
      <w:r w:rsidRPr="00012085">
        <w:t>forfinansieringsbetalinger</w:t>
      </w:r>
      <w:proofErr w:type="spellEnd"/>
      <w:r w:rsidRPr="00012085">
        <w:t xml:space="preserve"> i forbindelse med de første tilskudsaftaler, der blev indgået under Horisont Europa-programmet;</w:t>
      </w:r>
    </w:p>
    <w:p w:rsidR="00631A0A" w:rsidRPr="00012085" w:rsidRDefault="00631A0A" w:rsidP="00631A0A">
      <w:pPr>
        <w:spacing w:after="240"/>
        <w:ind w:left="567" w:hanging="567"/>
      </w:pPr>
      <w:r w:rsidRPr="00012085">
        <w:t>17.</w:t>
      </w:r>
      <w:r w:rsidRPr="00012085">
        <w:tab/>
        <w:t>bemærker, at fællesforetagendet CH iværksatte den første indkaldelse af forslag om brint under Horisont Europa til en samlet værdi af 300 mio. EUR; bemærker, at evalueringen af 2022-indkaldelsen resulterede i, at fire emner, for hvilke der ikke var indsendt egnede forslag, blev trukket tilbage</w:t>
      </w:r>
      <w:r w:rsidRPr="00012085">
        <w:rPr>
          <w:rStyle w:val="FootnoteReference"/>
        </w:rPr>
        <w:footnoteReference w:id="17"/>
      </w:r>
      <w:r w:rsidRPr="00012085">
        <w:t xml:space="preserve">; bemærker, at fællesforetagendet CH overførte det uudnyttede betalingsbudget på 33 mio. EUR til 2023 med henblik på betaling af </w:t>
      </w:r>
      <w:proofErr w:type="spellStart"/>
      <w:r w:rsidRPr="00012085">
        <w:t>forfinansieringer</w:t>
      </w:r>
      <w:proofErr w:type="spellEnd"/>
      <w:r w:rsidRPr="00012085">
        <w:t xml:space="preserve"> i forbindelse med nye tilskudsaftaler, der efter planen skulle underskrives i begyndelsen af 2023;</w:t>
      </w:r>
    </w:p>
    <w:p w:rsidR="00631A0A" w:rsidRPr="00012085" w:rsidRDefault="00631A0A" w:rsidP="00631A0A">
      <w:pPr>
        <w:spacing w:after="240"/>
        <w:ind w:left="567" w:hanging="567"/>
      </w:pPr>
      <w:r w:rsidRPr="00012085">
        <w:t>18.</w:t>
      </w:r>
      <w:r w:rsidRPr="00012085">
        <w:tab/>
        <w:t xml:space="preserve">bemærker på baggrund af Revisionsrettens beretning, at gennemførelsesgraden for administrationsbudgettet (afsnit 2) ved udgangen af 2022 var lav, idet den var 62 % for forpligtelsesbevillingerne og 51 % for betalingsbevillingerne; bemærker, at fællesforetagendet CH forklarede, at dette skyldtes suspensioner af betalinger i forbindelse med arrangementet "Hydrogen </w:t>
      </w:r>
      <w:proofErr w:type="spellStart"/>
      <w:r w:rsidRPr="00012085">
        <w:t>Week</w:t>
      </w:r>
      <w:proofErr w:type="spellEnd"/>
      <w:r w:rsidRPr="00012085">
        <w:t>", det udskudte udbud vedrørende renovering af kontorbygningen og den forsinkede indgåelse af en vigtig rammeaftale om tjenesteydelser;</w:t>
      </w:r>
    </w:p>
    <w:p w:rsidR="00631A0A" w:rsidRPr="00012085" w:rsidRDefault="00631A0A" w:rsidP="00631A0A">
      <w:pPr>
        <w:spacing w:after="240"/>
        <w:ind w:left="720" w:hanging="720"/>
        <w:rPr>
          <w:b/>
          <w:i/>
        </w:rPr>
      </w:pPr>
      <w:r w:rsidRPr="00012085">
        <w:rPr>
          <w:b/>
          <w:i/>
        </w:rPr>
        <w:t>Udbud og personale</w:t>
      </w:r>
    </w:p>
    <w:p w:rsidR="00631A0A" w:rsidRPr="00012085" w:rsidRDefault="00631A0A" w:rsidP="00631A0A">
      <w:pPr>
        <w:spacing w:after="240"/>
        <w:ind w:left="567" w:hanging="567"/>
      </w:pPr>
      <w:r w:rsidRPr="00012085">
        <w:t>19.</w:t>
      </w:r>
      <w:r w:rsidRPr="00012085">
        <w:tab/>
        <w:t xml:space="preserve">bemærker på baggrund af den konsoliderede årlige aktivitetsrapport, at forvaltningen af udbud og kontrakter i 2022 i forlængelse af fællesforetagendet </w:t>
      </w:r>
      <w:proofErr w:type="spellStart"/>
      <w:r w:rsidRPr="00012085">
        <w:t>CH's</w:t>
      </w:r>
      <w:proofErr w:type="spellEnd"/>
      <w:r w:rsidRPr="00012085">
        <w:t xml:space="preserve"> praksis i de seneste år har omfattet </w:t>
      </w:r>
      <w:proofErr w:type="spellStart"/>
      <w:r w:rsidRPr="00012085">
        <w:t>interinstitutionelle</w:t>
      </w:r>
      <w:proofErr w:type="spellEnd"/>
      <w:r w:rsidRPr="00012085">
        <w:t xml:space="preserve"> udbudsprocedurer, som Kommissionen eller andre EU-organer har iværksat, og de deraf følgende flerårige rammekontrakter; bemærker endvidere, at fællesforetagendet CH også samarbejder med andre fællesforetagender om udbudsbehov for at minimere den administrative indsats;</w:t>
      </w:r>
    </w:p>
    <w:p w:rsidR="00631A0A" w:rsidRPr="00012085" w:rsidRDefault="00631A0A" w:rsidP="00631A0A">
      <w:pPr>
        <w:spacing w:after="240"/>
        <w:ind w:left="567" w:hanging="567"/>
      </w:pPr>
      <w:r w:rsidRPr="00012085">
        <w:t>20.</w:t>
      </w:r>
      <w:r w:rsidRPr="00012085">
        <w:tab/>
        <w:t xml:space="preserve">bemærker, at fællesforetagendet CH har gjort intensiv brug af modulerne </w:t>
      </w:r>
      <w:proofErr w:type="spellStart"/>
      <w:r w:rsidRPr="00012085">
        <w:t>eTendering</w:t>
      </w:r>
      <w:proofErr w:type="spellEnd"/>
      <w:r w:rsidRPr="00012085">
        <w:t xml:space="preserve">, </w:t>
      </w:r>
      <w:proofErr w:type="spellStart"/>
      <w:r w:rsidRPr="00012085">
        <w:t>eNotices</w:t>
      </w:r>
      <w:proofErr w:type="spellEnd"/>
      <w:r w:rsidRPr="00012085">
        <w:t xml:space="preserve"> og </w:t>
      </w:r>
      <w:proofErr w:type="spellStart"/>
      <w:r w:rsidRPr="00012085">
        <w:t>eSubmission</w:t>
      </w:r>
      <w:proofErr w:type="spellEnd"/>
      <w:r w:rsidRPr="00012085">
        <w:t xml:space="preserve"> og har indledt processen med at integrere værktøjet til forvaltning af offentlige udbud (PPMT), som vil være i brug i 2023;</w:t>
      </w:r>
    </w:p>
    <w:p w:rsidR="00631A0A" w:rsidRPr="00012085" w:rsidRDefault="00631A0A" w:rsidP="00631A0A">
      <w:pPr>
        <w:spacing w:after="240"/>
        <w:ind w:left="567" w:hanging="567"/>
      </w:pPr>
      <w:r w:rsidRPr="00012085">
        <w:t>21.</w:t>
      </w:r>
      <w:r w:rsidRPr="00012085">
        <w:tab/>
        <w:t xml:space="preserve">bemærker, at fællesforetagendet </w:t>
      </w:r>
      <w:proofErr w:type="spellStart"/>
      <w:r w:rsidRPr="00012085">
        <w:t>CH's</w:t>
      </w:r>
      <w:proofErr w:type="spellEnd"/>
      <w:r w:rsidRPr="00012085">
        <w:t xml:space="preserve"> team af vedtægtsomfattet personale består af 29 stillinger (27 midlertidigt ansatte og to kontraktansatte); bemærker endvidere, at personaleressourcerne omfatter to udstationerede nationale eksperter;</w:t>
      </w:r>
    </w:p>
    <w:p w:rsidR="00631A0A" w:rsidRPr="00012085" w:rsidRDefault="00631A0A" w:rsidP="00631A0A">
      <w:pPr>
        <w:spacing w:after="240"/>
        <w:ind w:left="567" w:hanging="567"/>
      </w:pPr>
      <w:r w:rsidRPr="00012085">
        <w:t>22.</w:t>
      </w:r>
      <w:r w:rsidRPr="00012085">
        <w:tab/>
        <w:t xml:space="preserve">bemærker på baggrund af den konsoliderede årlige aktivitetsrapport for 2022, at den digitale arbejdsplads for de enkelte medarbejdere hele tiden moderniseres: fællesforetagendet </w:t>
      </w:r>
      <w:proofErr w:type="spellStart"/>
      <w:r w:rsidRPr="00012085">
        <w:t>CH's</w:t>
      </w:r>
      <w:proofErr w:type="spellEnd"/>
      <w:r w:rsidRPr="00012085">
        <w:t xml:space="preserve"> personale blev sikret tilstrækkelig adgang til alle Kommissionens ansøgninger om forvaltning af tilskud; udrulningen af ny hardware blev gennemført som planlagt sammen med den nødvendige licensfornyelse for væsentlige applikationer såsom </w:t>
      </w:r>
      <w:proofErr w:type="spellStart"/>
      <w:r w:rsidRPr="00012085">
        <w:t>Slido</w:t>
      </w:r>
      <w:proofErr w:type="spellEnd"/>
      <w:r w:rsidRPr="00012085">
        <w:t xml:space="preserve">, </w:t>
      </w:r>
      <w:proofErr w:type="spellStart"/>
      <w:r w:rsidRPr="00012085">
        <w:t>Webex</w:t>
      </w:r>
      <w:proofErr w:type="spellEnd"/>
      <w:r w:rsidRPr="00012085">
        <w:t xml:space="preserve">, Business Object, Adobe eller mobiltelefoni, hvilket gav hver enkelt medarbejder større fleksibilitet under den nye </w:t>
      </w:r>
      <w:proofErr w:type="spellStart"/>
      <w:r w:rsidRPr="00012085">
        <w:t>telearbejdsordning</w:t>
      </w:r>
      <w:proofErr w:type="spellEnd"/>
      <w:r w:rsidRPr="00012085">
        <w:t>;</w:t>
      </w:r>
    </w:p>
    <w:p w:rsidR="00631A0A" w:rsidRPr="00012085" w:rsidRDefault="00631A0A" w:rsidP="00631A0A">
      <w:pPr>
        <w:spacing w:after="240"/>
        <w:ind w:left="567" w:hanging="567"/>
      </w:pPr>
      <w:r w:rsidRPr="00012085">
        <w:t>23.</w:t>
      </w:r>
      <w:r w:rsidRPr="00012085">
        <w:tab/>
        <w:t xml:space="preserve">bemærker, at personaleudvalget i henhold til vedtægten for tjenestemænd i Den Europæiske Union og ansættelsesvilkårene for de øvrige ansatte i Unionen som fastsat i Rådets forordning (EØF, </w:t>
      </w:r>
      <w:proofErr w:type="spellStart"/>
      <w:r w:rsidRPr="00012085">
        <w:t>Euratom</w:t>
      </w:r>
      <w:proofErr w:type="spellEnd"/>
      <w:r w:rsidRPr="00012085">
        <w:t>, EKSF) nr. 259/68</w:t>
      </w:r>
      <w:r w:rsidRPr="00012085">
        <w:rPr>
          <w:rStyle w:val="FootnoteReference"/>
        </w:rPr>
        <w:footnoteReference w:id="18"/>
      </w:r>
      <w:r w:rsidRPr="00012085">
        <w:t xml:space="preserve"> og fællesforetagendet </w:t>
      </w:r>
      <w:proofErr w:type="spellStart"/>
      <w:r w:rsidRPr="00012085">
        <w:t>CH's</w:t>
      </w:r>
      <w:proofErr w:type="spellEnd"/>
      <w:r w:rsidRPr="00012085">
        <w:t xml:space="preserve"> retningslinjer bør udpege mindst ét medlem til udvælgelseskomitéen i forbindelse med eksterne ansættelsesprocedurer; bemærker, at Revisionsretten konstaterede, at udvælgelseskomitéen for den reviderede ansættelsesprocedure ikke omfattede et medlem udpeget af personaleudvalget, og at fællesforetagendet CH ikke kunne nedsætte et personaleudvalg trods flere indkaldelser af interessetilkendegivelser blandt de ansatte;</w:t>
      </w:r>
    </w:p>
    <w:p w:rsidR="00631A0A" w:rsidRPr="00012085" w:rsidRDefault="00631A0A" w:rsidP="00631A0A">
      <w:pPr>
        <w:spacing w:after="240"/>
        <w:ind w:left="720" w:hanging="720"/>
        <w:rPr>
          <w:b/>
          <w:i/>
        </w:rPr>
      </w:pPr>
      <w:r w:rsidRPr="00012085">
        <w:rPr>
          <w:b/>
          <w:i/>
        </w:rPr>
        <w:t>Forvaltnings- og kontrolsystemer</w:t>
      </w:r>
    </w:p>
    <w:p w:rsidR="00631A0A" w:rsidRPr="00012085" w:rsidRDefault="00631A0A" w:rsidP="00631A0A">
      <w:pPr>
        <w:spacing w:after="240"/>
        <w:ind w:left="567" w:hanging="567"/>
      </w:pPr>
      <w:r w:rsidRPr="00012085">
        <w:t>24.</w:t>
      </w:r>
      <w:r w:rsidRPr="00012085">
        <w:tab/>
        <w:t>bemærker, at fællesforetagendet CH udførte efterfølgende revisioner af udgifter under det syvende forskningsrammeprogram, mens den fælles revisionstjeneste under Kommissionens Generaldirektorat for Forskning og Innovation var ansvarligt for de efterfølgende revisioner af Horisont 2020- og Horisont Europa-udgifter; bemærker endvidere, at fællesforetagendet CH ikke udførte efterfølgende revisioner af de endelige udgifter under det syvende forskningsrammeprogram, der var afholdt i 2022, idet beløbene var ubetydelige, og at det derfor som endelige fejlfrekvenser vedrørende udgifter under det syvende forskningsrammeprogram rapporterede den repræsentative fejlfrekvens på 2,0 % og den restfejlfrekvens på 1,1 %, som det konstaterede ved udgangen af 2021;</w:t>
      </w:r>
    </w:p>
    <w:p w:rsidR="00631A0A" w:rsidRPr="00012085" w:rsidRDefault="00631A0A" w:rsidP="00631A0A">
      <w:pPr>
        <w:spacing w:after="240"/>
        <w:ind w:left="567" w:hanging="567"/>
      </w:pPr>
      <w:r w:rsidRPr="00012085">
        <w:t>25.</w:t>
      </w:r>
      <w:r w:rsidRPr="00012085">
        <w:tab/>
        <w:t>noterer sig, at fællesforetagendet CH med hensyn til Horisont 2020-udgifterne (afregninger og endelige betalinger) rapporterede en repræsentativ fejlfrekvens på 2,9 % og en restfejlfrekvens på 0,9 %</w:t>
      </w:r>
      <w:r w:rsidRPr="00012085">
        <w:rPr>
          <w:rStyle w:val="FootnoteReference"/>
        </w:rPr>
        <w:footnoteReference w:id="19"/>
      </w:r>
      <w:r w:rsidRPr="00012085">
        <w:t>; noterer sig endvidere, at der i forbindelse med Horisont Europa-programmet ikke blev foretaget nogen efterfølgende revisioner, da de første mellemliggende betalinger først forventes i 2024;</w:t>
      </w:r>
    </w:p>
    <w:p w:rsidR="00631A0A" w:rsidRPr="00012085" w:rsidRDefault="00631A0A" w:rsidP="00631A0A">
      <w:pPr>
        <w:spacing w:after="240"/>
        <w:ind w:left="567" w:hanging="567"/>
      </w:pPr>
      <w:r w:rsidRPr="00012085">
        <w:t>26.</w:t>
      </w:r>
      <w:r w:rsidRPr="00012085">
        <w:tab/>
        <w:t xml:space="preserve">bemærker, at Revisionsretten med henblik på at vurdere fællesforetagendet </w:t>
      </w:r>
      <w:proofErr w:type="spellStart"/>
      <w:r w:rsidRPr="00012085">
        <w:t>CH's</w:t>
      </w:r>
      <w:proofErr w:type="spellEnd"/>
      <w:r w:rsidRPr="00012085">
        <w:t xml:space="preserve"> kontrol af aktionsudgifterne reviderede en tilfældigt udvalgt stikprøve på støttemodtagerniveau af Horisont 2020-betalinger afholdt i 2022</w:t>
      </w:r>
      <w:r w:rsidRPr="00012085">
        <w:rPr>
          <w:rStyle w:val="FootnoteReference"/>
        </w:rPr>
        <w:footnoteReference w:id="20"/>
      </w:r>
      <w:r w:rsidRPr="00012085">
        <w:t>; bemærker, at Revisionsretten i ét tilfælde konstaterede og kvantificerede en alvorlig fejl i personaleomkostningerne, fordi støttemodtageren havde anmeldt arbejdstimer under ferieperioder og medtaget ikkestøtteberettigede supplerende lønomkostninger i de anmeldte omkostninger, og at Revisionsretten i et andet tilfælde konstaterede og kvantificerede en alvorlig fejl, som skyldtes, at støttemodtageren havde anmeldt udgifter for udstyr, som vedkommende ikke anvendte i rapporteringsperioden, og at personaleomkostninger ikke var blevet beregnet korrekt;</w:t>
      </w:r>
    </w:p>
    <w:p w:rsidR="00631A0A" w:rsidRPr="00012085" w:rsidRDefault="00631A0A" w:rsidP="00631A0A">
      <w:pPr>
        <w:pStyle w:val="NormalHanging12a"/>
      </w:pPr>
      <w:r w:rsidRPr="00012085">
        <w:t>27.</w:t>
      </w:r>
      <w:r w:rsidRPr="00012085">
        <w:tab/>
        <w:t xml:space="preserve">glæder sig over, at fællesforetagendet CH ved udgangen af 2022 havde udviklet og indført en fuldstændig risikobaseret tilgang til forudgående kontrol i overensstemmelse med Kommissionens fælles revisionstjenestes vejledning under hensyntagen til fællesforetagendet </w:t>
      </w:r>
      <w:proofErr w:type="spellStart"/>
      <w:r w:rsidRPr="00012085">
        <w:t>CH's</w:t>
      </w:r>
      <w:proofErr w:type="spellEnd"/>
      <w:r w:rsidRPr="00012085">
        <w:t xml:space="preserve"> specifikke risikoforhold; bemærker, at det i denne forbindelse lykkedes fællesforetagendet CH at identificere de mest relevante risikokriterier, og at det på grundlag heraf udformede en risikobaseret tilgang til overvågning;</w:t>
      </w:r>
    </w:p>
    <w:p w:rsidR="00631A0A" w:rsidRPr="00012085" w:rsidRDefault="00631A0A" w:rsidP="00631A0A">
      <w:pPr>
        <w:spacing w:after="240"/>
        <w:ind w:left="567" w:hanging="567"/>
      </w:pPr>
      <w:r w:rsidRPr="00012085">
        <w:t>28.</w:t>
      </w:r>
      <w:r w:rsidRPr="00012085">
        <w:tab/>
        <w:t>bemærker, at en sådan tilgang gjorde det muligt for fællesforetagendet CH at vurdere risikoniveauet for hvert projekt og hver støttemodtager i de vigtigste faser af projektgennemførelsen såsom udarbejdelse af tilskudsaftaler, ændring af tilskudsaftaler, rapportering og betaling; bemærker i den forbindelse, at fællesforetagendet CH også udarbejdede interne retningslinjer for sin risikobaserede tilgang og uddannede og vejledte sine medarbejdere i korrekt og konsekvent anvendelse af retningslinjerne;</w:t>
      </w:r>
    </w:p>
    <w:p w:rsidR="00631A0A" w:rsidRPr="00012085" w:rsidRDefault="00631A0A" w:rsidP="00631A0A">
      <w:pPr>
        <w:pStyle w:val="NormalHanging12a"/>
      </w:pPr>
      <w:r w:rsidRPr="00012085">
        <w:t>29.</w:t>
      </w:r>
      <w:r w:rsidRPr="00012085">
        <w:tab/>
        <w:t>glæder sig over, at fællesforetagendet CH udviklede en risikobaseret tilgang til efterfølgende revision for at reducere fejlfrekvensen ved at styrke de efterfølgende revisioners rensende effekt;</w:t>
      </w:r>
    </w:p>
    <w:p w:rsidR="00631A0A" w:rsidRPr="00012085" w:rsidRDefault="00631A0A" w:rsidP="00631A0A">
      <w:pPr>
        <w:pStyle w:val="NormalHanging12a"/>
      </w:pPr>
      <w:r w:rsidRPr="00012085">
        <w:t>30.</w:t>
      </w:r>
      <w:r w:rsidRPr="00012085">
        <w:tab/>
        <w:t xml:space="preserve">noterer sig på baggrund af Revisionsrettens beretning, at fællesforetagendet CH udviklede en skræddersyet risikobaseret tilgang for at styrke den sikkerhed, det opnår fra forudgående kontrol og efterfølgende revision: I begyndelsen af 2022 analyserede fællesforetagendet CH hele populationen af sine Horisont 2020-støttemodtagere og kortlagde dem med størst risiko med henblik på risikobaseret efterfølgende revision; noterer sig, at de mest risikable støttemodtagere alle var store støttemodtagere, som modtog bidrag fra fællesforetagendet CH på over 1 mio. EUR vedrørende alle Horisont 2020-projekter drevet af fællesforetagendet CH, som aldrig havde været genstand for efterfølgende revision, og som havde en risikoprofil som lille eller mellemstor virksomhed eller status som ny aktør; </w:t>
      </w:r>
    </w:p>
    <w:p w:rsidR="00631A0A" w:rsidRPr="00012085" w:rsidRDefault="00631A0A" w:rsidP="00631A0A">
      <w:pPr>
        <w:spacing w:after="240"/>
        <w:ind w:left="567" w:hanging="567"/>
      </w:pPr>
      <w:r w:rsidRPr="00012085">
        <w:t>31.</w:t>
      </w:r>
      <w:r w:rsidRPr="00012085">
        <w:tab/>
        <w:t xml:space="preserve">bemærker, at de resterende store støttemodtagere blev opfordret til at udfylde et kort selvevalueringsskema, som havde fokus på de mest almindelige fejl, der blev konstateret i forbindelse med tidligere efterfølgende revisioner, og som f.eks. vedrørte den valgte personaleomkostningsmodels kompleksitet, betydelig underentreprise, indkøb af aktiver, interne leverancer, omkostningsrapporteringsmetoden og opfølgning på revisionsresultater fra tidligere efterfølgende revisioner; bemærker, at fællesforetagendet CH på grundlag af deres svar identificerede store støttemodtagere med høj risici i forbindelse med den forudgående kontrol, og at det afholdt finansielle </w:t>
      </w:r>
      <w:proofErr w:type="spellStart"/>
      <w:r w:rsidRPr="00012085">
        <w:t>webinarer</w:t>
      </w:r>
      <w:proofErr w:type="spellEnd"/>
      <w:r w:rsidRPr="00012085">
        <w:t xml:space="preserve"> for dem med fokus på de vigtigste karakteristika ved en korrekt omkostningsanmeldelse med store omkostningsposter; bemærker endvidere, at resultatet af </w:t>
      </w:r>
      <w:proofErr w:type="spellStart"/>
      <w:r w:rsidRPr="00012085">
        <w:t>webinarerne</w:t>
      </w:r>
      <w:proofErr w:type="spellEnd"/>
      <w:r w:rsidRPr="00012085">
        <w:t xml:space="preserve"> blev anvendt af fællesforetagendet </w:t>
      </w:r>
      <w:proofErr w:type="spellStart"/>
      <w:r w:rsidRPr="00012085">
        <w:t>CH's</w:t>
      </w:r>
      <w:proofErr w:type="spellEnd"/>
      <w:r w:rsidRPr="00012085">
        <w:t xml:space="preserve"> projektansvarlige og finansmedarbejdere til at forbedre effektiviteten af den forudgående kontrol af disse store støttemodtageres senere omkostningsanmeldelser (betalingsfasen);</w:t>
      </w:r>
    </w:p>
    <w:p w:rsidR="00631A0A" w:rsidRPr="00012085" w:rsidRDefault="00631A0A" w:rsidP="00631A0A">
      <w:pPr>
        <w:spacing w:after="240"/>
        <w:ind w:left="567" w:hanging="567"/>
      </w:pPr>
      <w:r w:rsidRPr="00012085">
        <w:t>32.</w:t>
      </w:r>
      <w:r w:rsidRPr="00012085">
        <w:tab/>
        <w:t>glæder sig over, at fællesforetagendet CH udviklede en risikobaseret tilgang til efterfølgende revision med det formål at reducere fejlfrekvensen ved hjælp af en mere målrettet stikprøve for at identificere de støttemodtagere, der var mest tilbøjelige til at begå fejl, og dermed styrke deres efterfølgende revisioners rensende effekt; mener, at dette er en vigtig positiv ændring i tilgangen til efterfølgende revision, da Kommissionens ramme for intern kontrol af tilskud under Horisont Europa ikke giver mulighed for at fastlægge fællesforetagendets specifikke repræsentative stikprøver og dermed beregne specifikke repræsentative fejlfrekvenser og restfejlfrekvenser for fællesforetagenderne;</w:t>
      </w:r>
    </w:p>
    <w:p w:rsidR="00631A0A" w:rsidRPr="00012085" w:rsidRDefault="00631A0A" w:rsidP="00631A0A">
      <w:pPr>
        <w:spacing w:after="240"/>
        <w:ind w:left="567" w:hanging="567"/>
      </w:pPr>
      <w:r w:rsidRPr="00012085">
        <w:t>33.</w:t>
      </w:r>
      <w:r w:rsidRPr="00012085">
        <w:tab/>
        <w:t>bemærker, at Revisionsretten konstaterede, at fællesforetagender med en veludviklet risikobaseret tilgang til efterfølgende revision havde en restfejlfrekvens, der lå under gennemsnittet for fællesforetagenderne uden en sådan tilgang, takket være systematisk identificering og revision af de mest risikable støttemodtagere;</w:t>
      </w:r>
    </w:p>
    <w:p w:rsidR="00631A0A" w:rsidRPr="00012085" w:rsidRDefault="00631A0A" w:rsidP="00631A0A">
      <w:pPr>
        <w:spacing w:after="240"/>
        <w:rPr>
          <w:b/>
          <w:i/>
        </w:rPr>
      </w:pPr>
      <w:r w:rsidRPr="00012085">
        <w:rPr>
          <w:b/>
          <w:i/>
        </w:rPr>
        <w:t>Opfølgning på tidligere års bemærkninger</w:t>
      </w:r>
    </w:p>
    <w:p w:rsidR="00631A0A" w:rsidRPr="00012085" w:rsidRDefault="00631A0A" w:rsidP="00631A0A">
      <w:pPr>
        <w:spacing w:after="240"/>
        <w:ind w:left="567" w:hanging="567"/>
      </w:pPr>
      <w:r w:rsidRPr="00012085">
        <w:t>34.</w:t>
      </w:r>
      <w:r w:rsidRPr="00012085">
        <w:tab/>
        <w:t>noterer sig, at de "bemærkninger", som Revisionsretten har fremsat i de særlige årsberetninger om fællesforetagendet CH rent faktisk ikke fastsætter en tidsfrist for gennemførelsen af anbefalingerne; bemærker, at Revisionsretten årligt følger op på disse bemærkninger ved at vurdere deres status som "udestående" eller "afsluttet";</w:t>
      </w:r>
    </w:p>
    <w:p w:rsidR="00631A0A" w:rsidRPr="00012085" w:rsidRDefault="00631A0A" w:rsidP="00631A0A">
      <w:pPr>
        <w:spacing w:after="240"/>
        <w:ind w:left="567" w:hanging="567"/>
      </w:pPr>
      <w:r w:rsidRPr="00012085">
        <w:t>35.</w:t>
      </w:r>
      <w:r w:rsidRPr="00012085">
        <w:tab/>
        <w:t>bemærker for så vidt angår fællesforetagendet CH, at alle de tidligere års bemærkninger var afsluttet, da fællesforetagendet CH havde truffet korrigerende foranstaltninger i løbet af 2022.</w:t>
      </w:r>
    </w:p>
    <w:sectPr w:rsidR="00631A0A" w:rsidRPr="00012085" w:rsidSect="002B01BF">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64F7" w:rsidRPr="002B01BF" w:rsidRDefault="00E464F7">
      <w:r w:rsidRPr="002B01BF">
        <w:separator/>
      </w:r>
    </w:p>
  </w:endnote>
  <w:endnote w:type="continuationSeparator" w:id="0">
    <w:p w:rsidR="00E464F7" w:rsidRPr="002B01BF" w:rsidRDefault="00E464F7">
      <w:r w:rsidRPr="002B01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1A0A" w:rsidRPr="002B01BF" w:rsidRDefault="00631A0A" w:rsidP="0090064E">
    <w:pPr>
      <w:pStyle w:val="EPFooter"/>
    </w:pPr>
    <w:r w:rsidRPr="002B01BF">
      <w:t>PE</w:t>
    </w:r>
    <w:r w:rsidRPr="002B01BF">
      <w:rPr>
        <w:rStyle w:val="HideTWBExt"/>
      </w:rPr>
      <w:t>&lt;NoPE&gt;</w:t>
    </w:r>
    <w:r w:rsidRPr="002B01BF">
      <w:t>753.490</w:t>
    </w:r>
    <w:r w:rsidRPr="002B01BF">
      <w:rPr>
        <w:rStyle w:val="HideTWBExt"/>
      </w:rPr>
      <w:t>&lt;/NoPE&gt;&lt;Version&gt;</w:t>
    </w:r>
    <w:r w:rsidRPr="002B01BF">
      <w:t>v02-00</w:t>
    </w:r>
    <w:r w:rsidRPr="002B01BF">
      <w:rPr>
        <w:rStyle w:val="HideTWBExt"/>
      </w:rPr>
      <w:t>&lt;/Version&gt;</w:t>
    </w:r>
    <w:r w:rsidRPr="002B01BF">
      <w:tab/>
    </w:r>
    <w:r w:rsidRPr="002B01BF">
      <w:fldChar w:fldCharType="begin"/>
    </w:r>
    <w:r w:rsidRPr="002B01BF">
      <w:instrText xml:space="preserve"> PAGE  \* MERGEFORMAT </w:instrText>
    </w:r>
    <w:r w:rsidRPr="002B01BF">
      <w:fldChar w:fldCharType="separate"/>
    </w:r>
    <w:r w:rsidRPr="002B01BF">
      <w:rPr>
        <w:noProof/>
      </w:rPr>
      <w:t>4</w:t>
    </w:r>
    <w:r w:rsidRPr="002B01BF">
      <w:fldChar w:fldCharType="end"/>
    </w:r>
    <w:r w:rsidRPr="002B01BF">
      <w:t>/</w:t>
    </w:r>
    <w:fldSimple w:instr=" NUMPAGES  \* MERGEFORMAT ">
      <w:r w:rsidRPr="002B01BF">
        <w:rPr>
          <w:noProof/>
        </w:rPr>
        <w:t>4</w:t>
      </w:r>
    </w:fldSimple>
    <w:r w:rsidRPr="002B01BF">
      <w:tab/>
    </w:r>
    <w:r w:rsidRPr="002B01BF">
      <w:rPr>
        <w:rStyle w:val="HideTWBExt"/>
      </w:rPr>
      <w:t>&lt;PathFdR&gt;</w:t>
    </w:r>
    <w:r w:rsidRPr="002B01BF">
      <w:t>RR\1298721DA.docx</w:t>
    </w:r>
    <w:r w:rsidRPr="002B01BF">
      <w:rPr>
        <w:rStyle w:val="HideTWBExt"/>
      </w:rPr>
      <w:t>&lt;/PathFdR&gt;</w:t>
    </w:r>
  </w:p>
  <w:p w:rsidR="00631A0A" w:rsidRPr="002B01BF" w:rsidRDefault="00631A0A" w:rsidP="0090064E">
    <w:pPr>
      <w:pStyle w:val="EPFooter2"/>
    </w:pPr>
    <w:r w:rsidRPr="002B01BF">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31A0A" w:rsidRPr="002B01BF" w:rsidRDefault="00631A0A" w:rsidP="0090064E">
    <w:pPr>
      <w:pStyle w:val="EPFooter"/>
    </w:pPr>
    <w:r w:rsidRPr="002B01BF">
      <w:rPr>
        <w:rStyle w:val="HideTWBExt"/>
      </w:rPr>
      <w:t>&lt;PathFdR&gt;</w:t>
    </w:r>
    <w:r w:rsidRPr="002B01BF">
      <w:t>RR\1298721DA.docx</w:t>
    </w:r>
    <w:r w:rsidRPr="002B01BF">
      <w:rPr>
        <w:rStyle w:val="HideTWBExt"/>
      </w:rPr>
      <w:t>&lt;/PathFdR&gt;</w:t>
    </w:r>
    <w:r w:rsidRPr="002B01BF">
      <w:tab/>
    </w:r>
    <w:r w:rsidRPr="002B01BF">
      <w:tab/>
      <w:t>PE</w:t>
    </w:r>
    <w:r w:rsidRPr="002B01BF">
      <w:rPr>
        <w:rStyle w:val="HideTWBExt"/>
      </w:rPr>
      <w:t>&lt;NoPE&gt;</w:t>
    </w:r>
    <w:r w:rsidRPr="002B01BF">
      <w:t>753.490</w:t>
    </w:r>
    <w:r w:rsidRPr="002B01BF">
      <w:rPr>
        <w:rStyle w:val="HideTWBExt"/>
      </w:rPr>
      <w:t>&lt;/NoPE&gt;&lt;Version&gt;</w:t>
    </w:r>
    <w:r w:rsidRPr="002B01BF">
      <w:t>v02-00</w:t>
    </w:r>
    <w:r w:rsidRPr="002B01BF">
      <w:rPr>
        <w:rStyle w:val="HideTWBExt"/>
      </w:rPr>
      <w:t>&lt;/Version&gt;</w:t>
    </w:r>
  </w:p>
  <w:p w:rsidR="00631A0A" w:rsidRPr="002B01BF" w:rsidRDefault="00631A0A" w:rsidP="0090064E">
    <w:pPr>
      <w:pStyle w:val="EPFooter2"/>
    </w:pPr>
    <w:r w:rsidRPr="002B01BF">
      <w:t>DA</w:t>
    </w:r>
    <w:r w:rsidRPr="002B01BF">
      <w:tab/>
    </w:r>
    <w:r w:rsidRPr="002B01BF">
      <w:rPr>
        <w:b w:val="0"/>
        <w:i/>
        <w:color w:val="C0C0C0"/>
        <w:sz w:val="22"/>
      </w:rPr>
      <w:t>Forenet i mangfoldighed</w:t>
    </w:r>
    <w:r w:rsidRPr="002B01BF">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01BF"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01BF"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01B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64F7" w:rsidRPr="002B01BF" w:rsidRDefault="00E464F7">
      <w:r w:rsidRPr="002B01BF">
        <w:separator/>
      </w:r>
    </w:p>
  </w:footnote>
  <w:footnote w:type="continuationSeparator" w:id="0">
    <w:p w:rsidR="00E464F7" w:rsidRPr="002B01BF" w:rsidRDefault="00E464F7">
      <w:r w:rsidRPr="002B01BF">
        <w:continuationSeparator/>
      </w:r>
    </w:p>
  </w:footnote>
  <w:footnote w:id="1">
    <w:p w:rsidR="00631A0A" w:rsidRPr="00012085" w:rsidRDefault="00631A0A" w:rsidP="002B01BF">
      <w:pPr>
        <w:pStyle w:val="FootnoteText"/>
        <w:ind w:left="567" w:hanging="567"/>
        <w:rPr>
          <w:sz w:val="24"/>
        </w:rPr>
      </w:pPr>
      <w:r w:rsidRPr="002B01BF">
        <w:rPr>
          <w:rStyle w:val="FootnoteReference"/>
          <w:sz w:val="24"/>
          <w:lang w:val="da-DK"/>
        </w:rPr>
        <w:footnoteRef/>
      </w:r>
      <w:r w:rsidR="002B01BF" w:rsidRPr="00012085">
        <w:rPr>
          <w:sz w:val="24"/>
        </w:rPr>
        <w:t xml:space="preserve"> </w:t>
      </w:r>
      <w:r w:rsidR="002B01BF" w:rsidRPr="00012085">
        <w:rPr>
          <w:sz w:val="24"/>
        </w:rPr>
        <w:tab/>
      </w:r>
      <w:r w:rsidRPr="00012085">
        <w:rPr>
          <w:sz w:val="24"/>
        </w:rPr>
        <w:t>EUT C, C/2023/1025, 16.11</w:t>
      </w:r>
      <w:r w:rsidR="00B579DC" w:rsidRPr="00012085">
        <w:rPr>
          <w:sz w:val="24"/>
        </w:rPr>
        <w:t>.</w:t>
      </w:r>
      <w:r w:rsidRPr="00012085">
        <w:rPr>
          <w:sz w:val="24"/>
        </w:rPr>
        <w:t>2023.</w:t>
      </w:r>
    </w:p>
  </w:footnote>
  <w:footnote w:id="2">
    <w:p w:rsidR="00631A0A" w:rsidRPr="00012085" w:rsidRDefault="00631A0A" w:rsidP="002B01BF">
      <w:pPr>
        <w:pStyle w:val="FootnoteText"/>
        <w:ind w:left="567" w:hanging="567"/>
        <w:rPr>
          <w:sz w:val="24"/>
        </w:rPr>
      </w:pPr>
      <w:r w:rsidRPr="002B01BF">
        <w:rPr>
          <w:rStyle w:val="FootnoteReference"/>
          <w:sz w:val="24"/>
          <w:lang w:val="da-DK"/>
        </w:rPr>
        <w:footnoteRef/>
      </w:r>
      <w:r w:rsidR="002B01BF" w:rsidRPr="00012085">
        <w:rPr>
          <w:sz w:val="24"/>
        </w:rPr>
        <w:t xml:space="preserve"> </w:t>
      </w:r>
      <w:r w:rsidR="002B01BF" w:rsidRPr="00012085">
        <w:rPr>
          <w:sz w:val="24"/>
        </w:rPr>
        <w:tab/>
      </w:r>
      <w:r w:rsidRPr="00012085">
        <w:rPr>
          <w:sz w:val="24"/>
        </w:rPr>
        <w:t>EUT C, C/2023/112, 12.10.2023.</w:t>
      </w:r>
    </w:p>
  </w:footnote>
  <w:footnote w:id="3">
    <w:p w:rsidR="00631A0A" w:rsidRPr="002B01BF" w:rsidRDefault="00631A0A" w:rsidP="002B01BF">
      <w:pPr>
        <w:pStyle w:val="FootnoteText"/>
        <w:ind w:left="567" w:hanging="567"/>
        <w:rPr>
          <w:sz w:val="24"/>
          <w:lang w:val="da-DK"/>
        </w:rPr>
      </w:pPr>
      <w:r w:rsidRPr="002B01BF">
        <w:rPr>
          <w:rStyle w:val="FootnoteReference"/>
          <w:sz w:val="24"/>
          <w:lang w:val="da-DK"/>
        </w:rPr>
        <w:footnoteRef/>
      </w:r>
      <w:r w:rsidR="002B01BF" w:rsidRPr="002B01BF">
        <w:rPr>
          <w:sz w:val="24"/>
          <w:lang w:val="da-DK"/>
        </w:rPr>
        <w:t xml:space="preserve"> </w:t>
      </w:r>
      <w:r w:rsidR="002B01BF" w:rsidRPr="002B01BF">
        <w:rPr>
          <w:sz w:val="24"/>
          <w:lang w:val="da-DK"/>
        </w:rPr>
        <w:tab/>
      </w:r>
      <w:r w:rsidRPr="002B01BF">
        <w:rPr>
          <w:sz w:val="24"/>
          <w:lang w:val="da-DK"/>
        </w:rPr>
        <w:t>EUT L 193 af 30.7.2018, s. 1.</w:t>
      </w:r>
    </w:p>
  </w:footnote>
  <w:footnote w:id="4">
    <w:p w:rsidR="00631A0A" w:rsidRPr="002B01BF" w:rsidRDefault="00631A0A" w:rsidP="002B01BF">
      <w:pPr>
        <w:pStyle w:val="FootnoteText"/>
        <w:ind w:left="567" w:hanging="567"/>
        <w:rPr>
          <w:sz w:val="24"/>
          <w:szCs w:val="24"/>
          <w:lang w:val="da-DK"/>
        </w:rPr>
      </w:pPr>
      <w:r w:rsidRPr="002B01BF">
        <w:rPr>
          <w:rStyle w:val="FootnoteReference"/>
          <w:sz w:val="24"/>
          <w:lang w:val="da-DK"/>
        </w:rPr>
        <w:footnoteRef/>
      </w:r>
      <w:r w:rsidR="002B01BF" w:rsidRPr="002B01BF">
        <w:rPr>
          <w:sz w:val="24"/>
          <w:lang w:val="da-DK"/>
        </w:rPr>
        <w:t xml:space="preserve"> </w:t>
      </w:r>
      <w:r w:rsidR="002B01BF" w:rsidRPr="002B01BF">
        <w:rPr>
          <w:sz w:val="24"/>
          <w:lang w:val="da-DK"/>
        </w:rPr>
        <w:tab/>
      </w:r>
      <w:r w:rsidRPr="002B01BF">
        <w:rPr>
          <w:sz w:val="24"/>
          <w:lang w:val="da-DK"/>
        </w:rPr>
        <w:t>EUT L 427 af 30.11.2021, s. 17.</w:t>
      </w:r>
    </w:p>
  </w:footnote>
  <w:footnote w:id="5">
    <w:p w:rsidR="00631A0A" w:rsidRPr="00C733B1" w:rsidRDefault="00631A0A" w:rsidP="002B01BF">
      <w:pPr>
        <w:pStyle w:val="FootnoteText"/>
        <w:ind w:left="567" w:hanging="567"/>
        <w:rPr>
          <w:sz w:val="24"/>
          <w:lang w:val="da-DK"/>
        </w:rPr>
      </w:pPr>
      <w:r w:rsidRPr="002B01BF">
        <w:rPr>
          <w:rStyle w:val="FootnoteReference"/>
          <w:sz w:val="24"/>
          <w:lang w:val="da-DK"/>
        </w:rPr>
        <w:footnoteRef/>
      </w:r>
      <w:r w:rsidR="002B01BF" w:rsidRPr="00C733B1">
        <w:rPr>
          <w:sz w:val="24"/>
          <w:lang w:val="da-DK"/>
        </w:rPr>
        <w:t xml:space="preserve"> </w:t>
      </w:r>
      <w:r w:rsidR="002B01BF" w:rsidRPr="00C733B1">
        <w:rPr>
          <w:sz w:val="24"/>
          <w:lang w:val="da-DK"/>
        </w:rPr>
        <w:tab/>
      </w:r>
      <w:r w:rsidRPr="00C733B1">
        <w:rPr>
          <w:sz w:val="24"/>
          <w:lang w:val="da-DK"/>
        </w:rPr>
        <w:t>EUT L 142 af 29.5.2019, s. 16.</w:t>
      </w:r>
    </w:p>
  </w:footnote>
  <w:footnote w:id="6">
    <w:p w:rsidR="00631A0A" w:rsidRPr="00C733B1" w:rsidRDefault="00631A0A" w:rsidP="002B01BF">
      <w:pPr>
        <w:pStyle w:val="FootnoteText"/>
        <w:ind w:left="567" w:hanging="567"/>
        <w:rPr>
          <w:sz w:val="24"/>
          <w:lang w:val="da-DK"/>
        </w:rPr>
      </w:pPr>
      <w:r w:rsidRPr="002B01BF">
        <w:rPr>
          <w:rStyle w:val="FootnoteReference"/>
          <w:sz w:val="24"/>
          <w:lang w:val="da-DK"/>
        </w:rPr>
        <w:footnoteRef/>
      </w:r>
      <w:r w:rsidR="002B01BF" w:rsidRPr="00C733B1">
        <w:rPr>
          <w:sz w:val="24"/>
          <w:lang w:val="da-DK"/>
        </w:rPr>
        <w:t xml:space="preserve"> </w:t>
      </w:r>
      <w:r w:rsidR="002B01BF" w:rsidRPr="00C733B1">
        <w:rPr>
          <w:sz w:val="24"/>
          <w:lang w:val="da-DK"/>
        </w:rPr>
        <w:tab/>
      </w:r>
      <w:r w:rsidRPr="00C733B1">
        <w:rPr>
          <w:sz w:val="24"/>
          <w:lang w:val="da-DK"/>
        </w:rPr>
        <w:t>EUT C, C/2023/1025, 16.11</w:t>
      </w:r>
      <w:r w:rsidR="00B579DC" w:rsidRPr="00C733B1">
        <w:rPr>
          <w:sz w:val="24"/>
          <w:lang w:val="da-DK"/>
        </w:rPr>
        <w:t>.</w:t>
      </w:r>
      <w:r w:rsidRPr="00C733B1">
        <w:rPr>
          <w:sz w:val="24"/>
          <w:lang w:val="da-DK"/>
        </w:rPr>
        <w:t>2023.</w:t>
      </w:r>
    </w:p>
  </w:footnote>
  <w:footnote w:id="7">
    <w:p w:rsidR="00631A0A" w:rsidRPr="00012085" w:rsidRDefault="00631A0A" w:rsidP="002B01BF">
      <w:pPr>
        <w:pStyle w:val="FootnoteText"/>
        <w:ind w:left="567" w:hanging="567"/>
        <w:rPr>
          <w:sz w:val="24"/>
        </w:rPr>
      </w:pPr>
      <w:r w:rsidRPr="002B01BF">
        <w:rPr>
          <w:rStyle w:val="FootnoteReference"/>
          <w:sz w:val="24"/>
          <w:lang w:val="da-DK"/>
        </w:rPr>
        <w:footnoteRef/>
      </w:r>
      <w:r w:rsidR="002B01BF" w:rsidRPr="00012085">
        <w:rPr>
          <w:sz w:val="24"/>
        </w:rPr>
        <w:t xml:space="preserve"> </w:t>
      </w:r>
      <w:r w:rsidR="002B01BF" w:rsidRPr="00012085">
        <w:rPr>
          <w:sz w:val="24"/>
        </w:rPr>
        <w:tab/>
      </w:r>
      <w:r w:rsidRPr="00012085">
        <w:rPr>
          <w:sz w:val="24"/>
        </w:rPr>
        <w:t>EUT C, C/2023/112, 12.10.2023.</w:t>
      </w:r>
    </w:p>
  </w:footnote>
  <w:footnote w:id="8">
    <w:p w:rsidR="00631A0A" w:rsidRPr="00C733B1" w:rsidRDefault="00631A0A" w:rsidP="002B01BF">
      <w:pPr>
        <w:pStyle w:val="FootnoteText"/>
        <w:ind w:left="567" w:hanging="567"/>
        <w:rPr>
          <w:sz w:val="24"/>
        </w:rPr>
      </w:pPr>
      <w:r w:rsidRPr="002B01BF">
        <w:rPr>
          <w:rStyle w:val="FootnoteReference"/>
          <w:sz w:val="24"/>
          <w:lang w:val="da-DK"/>
        </w:rPr>
        <w:footnoteRef/>
      </w:r>
      <w:r w:rsidR="002B01BF" w:rsidRPr="00C733B1">
        <w:rPr>
          <w:sz w:val="24"/>
        </w:rPr>
        <w:t xml:space="preserve"> </w:t>
      </w:r>
      <w:r w:rsidR="002B01BF" w:rsidRPr="00C733B1">
        <w:rPr>
          <w:sz w:val="24"/>
        </w:rPr>
        <w:tab/>
      </w:r>
      <w:r w:rsidRPr="00C733B1">
        <w:rPr>
          <w:sz w:val="24"/>
        </w:rPr>
        <w:t>EUT L 193 af 30.7.2018, s. 1.</w:t>
      </w:r>
    </w:p>
  </w:footnote>
  <w:footnote w:id="9">
    <w:p w:rsidR="00631A0A" w:rsidRPr="002B01BF" w:rsidRDefault="00631A0A" w:rsidP="002B01BF">
      <w:pPr>
        <w:pStyle w:val="FootnoteText"/>
        <w:ind w:left="567" w:hanging="567"/>
        <w:rPr>
          <w:sz w:val="24"/>
          <w:szCs w:val="24"/>
          <w:lang w:val="da-DK"/>
        </w:rPr>
      </w:pPr>
      <w:r w:rsidRPr="002B01BF">
        <w:rPr>
          <w:rStyle w:val="FootnoteReference"/>
          <w:sz w:val="24"/>
          <w:lang w:val="da-DK"/>
        </w:rPr>
        <w:footnoteRef/>
      </w:r>
      <w:r w:rsidR="002B01BF" w:rsidRPr="002B01BF">
        <w:rPr>
          <w:sz w:val="24"/>
          <w:lang w:val="da-DK"/>
        </w:rPr>
        <w:t xml:space="preserve"> </w:t>
      </w:r>
      <w:r w:rsidR="002B01BF" w:rsidRPr="002B01BF">
        <w:rPr>
          <w:sz w:val="24"/>
          <w:lang w:val="da-DK"/>
        </w:rPr>
        <w:tab/>
      </w:r>
      <w:r w:rsidRPr="002B01BF">
        <w:rPr>
          <w:sz w:val="24"/>
          <w:lang w:val="da-DK"/>
        </w:rPr>
        <w:t>EUT L 427 af 30.11.2021, s. 17.</w:t>
      </w:r>
    </w:p>
  </w:footnote>
  <w:footnote w:id="10">
    <w:p w:rsidR="00631A0A" w:rsidRPr="002B01BF" w:rsidRDefault="00631A0A" w:rsidP="002B01BF">
      <w:pPr>
        <w:pStyle w:val="FootnoteText"/>
        <w:ind w:left="567" w:hanging="567"/>
        <w:rPr>
          <w:sz w:val="24"/>
          <w:szCs w:val="24"/>
          <w:lang w:val="da-DK"/>
        </w:rPr>
      </w:pPr>
      <w:r w:rsidRPr="002B01BF">
        <w:rPr>
          <w:rStyle w:val="FootnoteReference"/>
          <w:sz w:val="24"/>
          <w:lang w:val="da-DK"/>
        </w:rPr>
        <w:footnoteRef/>
      </w:r>
      <w:r w:rsidR="002B01BF" w:rsidRPr="002B01BF">
        <w:rPr>
          <w:sz w:val="24"/>
          <w:lang w:val="da-DK"/>
        </w:rPr>
        <w:t xml:space="preserve"> </w:t>
      </w:r>
      <w:r w:rsidR="002B01BF" w:rsidRPr="002B01BF">
        <w:rPr>
          <w:sz w:val="24"/>
          <w:lang w:val="da-DK"/>
        </w:rPr>
        <w:tab/>
      </w:r>
      <w:r w:rsidRPr="002B01BF">
        <w:rPr>
          <w:sz w:val="24"/>
          <w:lang w:val="da-DK"/>
        </w:rPr>
        <w:t>EUT L 142 af 29.5.2019, s. 16.</w:t>
      </w:r>
    </w:p>
  </w:footnote>
  <w:footnote w:id="11">
    <w:p w:rsidR="00631A0A" w:rsidRPr="002B01BF" w:rsidRDefault="00631A0A" w:rsidP="002B01BF">
      <w:pPr>
        <w:pStyle w:val="FootnoteText"/>
        <w:ind w:left="567" w:hanging="567"/>
        <w:rPr>
          <w:rFonts w:eastAsiaTheme="minorHAnsi"/>
          <w:sz w:val="24"/>
          <w:lang w:val="da-DK"/>
        </w:rPr>
      </w:pPr>
      <w:r w:rsidRPr="002B01BF">
        <w:rPr>
          <w:rStyle w:val="FootnoteReference"/>
          <w:sz w:val="24"/>
          <w:lang w:val="da-DK"/>
        </w:rPr>
        <w:footnoteRef/>
      </w:r>
      <w:r w:rsidR="002B01BF" w:rsidRPr="002B01BF">
        <w:rPr>
          <w:sz w:val="24"/>
          <w:lang w:val="da-DK"/>
        </w:rPr>
        <w:t xml:space="preserve"> </w:t>
      </w:r>
      <w:r w:rsidR="002B01BF" w:rsidRPr="002B01BF">
        <w:rPr>
          <w:sz w:val="24"/>
          <w:lang w:val="da-DK"/>
        </w:rPr>
        <w:tab/>
      </w:r>
      <w:r w:rsidRPr="002B01BF">
        <w:rPr>
          <w:sz w:val="24"/>
          <w:lang w:val="da-DK"/>
        </w:rPr>
        <w:t>Rådets forordning (EU) 2021/2085 af 19. november 2021 om oprettelse af fællesforetagenderne under Horisont Europa og om ophævelse af forordning (EF) nr. 219/2007, (EU) nr. 557/2014, (EU) nr. 558/2014, (EU) nr. 559/2014, (EU) nr. 560/2014, (EU) nr. 561/2014 og (EU) nr. 642/2014 (EUT L 427 af 30.11.2021, s. 17).</w:t>
      </w:r>
    </w:p>
  </w:footnote>
  <w:footnote w:id="12">
    <w:p w:rsidR="00631A0A" w:rsidRPr="002B01BF" w:rsidRDefault="00631A0A" w:rsidP="002B01BF">
      <w:pPr>
        <w:pStyle w:val="FootnoteText"/>
        <w:ind w:left="567" w:hanging="567"/>
        <w:rPr>
          <w:sz w:val="24"/>
          <w:lang w:val="da-DK"/>
        </w:rPr>
      </w:pPr>
      <w:r w:rsidRPr="002B01BF">
        <w:rPr>
          <w:rStyle w:val="FootnoteReference"/>
          <w:sz w:val="24"/>
          <w:lang w:val="da-DK"/>
        </w:rPr>
        <w:footnoteRef/>
      </w:r>
      <w:r w:rsidR="002B01BF" w:rsidRPr="002B01BF">
        <w:rPr>
          <w:sz w:val="24"/>
          <w:lang w:val="da-DK"/>
        </w:rPr>
        <w:t xml:space="preserve"> </w:t>
      </w:r>
      <w:r w:rsidR="002B01BF" w:rsidRPr="002B01BF">
        <w:rPr>
          <w:sz w:val="24"/>
          <w:lang w:val="da-DK"/>
        </w:rPr>
        <w:tab/>
      </w:r>
      <w:r w:rsidRPr="002B01BF">
        <w:rPr>
          <w:sz w:val="24"/>
          <w:lang w:val="da-DK"/>
        </w:rPr>
        <w:t>Rådets forordning (EF) nr. 521/2008 af 30. maj 2008 om oprettese af fællesforetagendet for brændselsceller og brint (EUT L 153 af 12.6.2008, s. 1).</w:t>
      </w:r>
    </w:p>
  </w:footnote>
  <w:footnote w:id="13">
    <w:p w:rsidR="00631A0A" w:rsidRPr="002B01BF" w:rsidRDefault="00631A0A" w:rsidP="002B01BF">
      <w:pPr>
        <w:pStyle w:val="FootnoteText"/>
        <w:ind w:left="567" w:hanging="567"/>
        <w:rPr>
          <w:sz w:val="24"/>
          <w:lang w:val="da-DK"/>
        </w:rPr>
      </w:pPr>
      <w:r w:rsidRPr="002B01BF">
        <w:rPr>
          <w:rStyle w:val="FootnoteReference"/>
          <w:sz w:val="24"/>
          <w:lang w:val="da-DK"/>
        </w:rPr>
        <w:footnoteRef/>
      </w:r>
      <w:r w:rsidR="002B01BF" w:rsidRPr="002B01BF">
        <w:rPr>
          <w:sz w:val="24"/>
          <w:lang w:val="da-DK"/>
        </w:rPr>
        <w:t xml:space="preserve"> </w:t>
      </w:r>
      <w:r w:rsidR="002B01BF" w:rsidRPr="002B01BF">
        <w:rPr>
          <w:sz w:val="24"/>
          <w:lang w:val="da-DK"/>
        </w:rPr>
        <w:tab/>
      </w:r>
      <w:r w:rsidRPr="002B01BF">
        <w:rPr>
          <w:sz w:val="24"/>
          <w:lang w:val="da-DK"/>
        </w:rPr>
        <w:t>Rådets forordning (EU) nr. 559/2014 af 6. maj 2014 om oprettelse af fællesforetagendet for brændselsceller og brint 2 (EUT L 169 af 7.6.2014, s. 108).</w:t>
      </w:r>
    </w:p>
  </w:footnote>
  <w:footnote w:id="14">
    <w:p w:rsidR="00631A0A" w:rsidRPr="002B01BF" w:rsidRDefault="00631A0A" w:rsidP="002B01BF">
      <w:pPr>
        <w:pStyle w:val="FootnoteText"/>
        <w:ind w:left="567" w:hanging="567"/>
        <w:rPr>
          <w:sz w:val="24"/>
          <w:lang w:val="da-DK"/>
        </w:rPr>
      </w:pPr>
      <w:r w:rsidRPr="002B01BF">
        <w:rPr>
          <w:rStyle w:val="FootnoteReference"/>
          <w:sz w:val="24"/>
          <w:lang w:val="da-DK"/>
        </w:rPr>
        <w:footnoteRef/>
      </w:r>
      <w:r w:rsidR="002B01BF" w:rsidRPr="002B01BF">
        <w:rPr>
          <w:sz w:val="24"/>
          <w:lang w:val="da-DK"/>
        </w:rPr>
        <w:t xml:space="preserve"> </w:t>
      </w:r>
      <w:r w:rsidR="002B01BF" w:rsidRPr="002B01BF">
        <w:rPr>
          <w:sz w:val="24"/>
          <w:lang w:val="da-DK"/>
        </w:rPr>
        <w:tab/>
      </w:r>
      <w:r w:rsidRPr="002B01BF">
        <w:rPr>
          <w:sz w:val="24"/>
          <w:lang w:val="da-DK"/>
        </w:rPr>
        <w:t>Det disponible budget omfatter uudnyttede bevillinger fra tidligere år, som fællesforetagendet CH har genopført på det aktuelle års budget, formålsbestemte indtægter og omfordelinger til det følgende år.</w:t>
      </w:r>
    </w:p>
  </w:footnote>
  <w:footnote w:id="15">
    <w:p w:rsidR="00631A0A" w:rsidRPr="002B01BF" w:rsidRDefault="00631A0A" w:rsidP="002B01BF">
      <w:pPr>
        <w:pStyle w:val="FootnoteText"/>
        <w:ind w:left="567" w:hanging="567"/>
        <w:rPr>
          <w:sz w:val="24"/>
          <w:lang w:val="da-DK"/>
        </w:rPr>
      </w:pPr>
      <w:r w:rsidRPr="002B01BF">
        <w:rPr>
          <w:rStyle w:val="FootnoteReference"/>
          <w:sz w:val="24"/>
          <w:lang w:val="da-DK"/>
        </w:rPr>
        <w:footnoteRef/>
      </w:r>
      <w:r w:rsidR="002B01BF" w:rsidRPr="002B01BF">
        <w:rPr>
          <w:sz w:val="24"/>
          <w:lang w:val="da-DK"/>
        </w:rPr>
        <w:t xml:space="preserve"> </w:t>
      </w:r>
      <w:r w:rsidR="002B01BF" w:rsidRPr="002B01BF">
        <w:rPr>
          <w:sz w:val="24"/>
          <w:lang w:val="da-DK"/>
        </w:rPr>
        <w:tab/>
      </w:r>
      <w:r w:rsidRPr="002B01BF">
        <w:rPr>
          <w:sz w:val="24"/>
          <w:lang w:val="da-DK"/>
        </w:rPr>
        <w:t>De vedtagne forpligtelsesbevillinger var på 8,4 mio. EUR, som efterfølgende blev ændret for at medtage stigningen i indtægter og udgifter i forbindelse med det nye program under Horisont Europa og uudnyttede bevillinger fra tidligere år.</w:t>
      </w:r>
    </w:p>
  </w:footnote>
  <w:footnote w:id="16">
    <w:p w:rsidR="00631A0A" w:rsidRPr="002B01BF" w:rsidRDefault="00631A0A" w:rsidP="002B01BF">
      <w:pPr>
        <w:pStyle w:val="FootnoteText"/>
        <w:ind w:left="567" w:hanging="567"/>
        <w:rPr>
          <w:sz w:val="24"/>
          <w:vertAlign w:val="superscript"/>
          <w:lang w:val="da-DK"/>
        </w:rPr>
      </w:pPr>
      <w:r w:rsidRPr="002B01BF">
        <w:rPr>
          <w:rStyle w:val="FootnoteReference"/>
          <w:sz w:val="24"/>
          <w:lang w:val="da-DK"/>
        </w:rPr>
        <w:footnoteRef/>
      </w:r>
      <w:r w:rsidR="002B01BF" w:rsidRPr="002B01BF">
        <w:rPr>
          <w:sz w:val="24"/>
          <w:lang w:val="da-DK"/>
        </w:rPr>
        <w:t xml:space="preserve"> </w:t>
      </w:r>
      <w:r w:rsidR="002B01BF" w:rsidRPr="002B01BF">
        <w:rPr>
          <w:sz w:val="24"/>
          <w:lang w:val="da-DK"/>
        </w:rPr>
        <w:tab/>
      </w:r>
      <w:r w:rsidRPr="002B01BF">
        <w:rPr>
          <w:sz w:val="24"/>
          <w:lang w:val="da-DK"/>
        </w:rPr>
        <w:t>De vedtagne betalingsbevillinger var på 53,2 mio. EUR, og ændringen forhøjede beløbet – som følge af det nye program og – for at dække den planlagte indkaldelse af forslag, der blev iværksat i 2022, og som havde til formål at gennemføre den strategiske forsknings- og innovationsdagsorden for Sortehavet (SRIA).</w:t>
      </w:r>
    </w:p>
    <w:p w:rsidR="00631A0A" w:rsidRPr="002B01BF" w:rsidRDefault="002B01BF" w:rsidP="002B01BF">
      <w:pPr>
        <w:pStyle w:val="FootnoteText"/>
        <w:ind w:left="567" w:hanging="567"/>
        <w:rPr>
          <w:sz w:val="24"/>
          <w:lang w:val="da-DK"/>
        </w:rPr>
      </w:pPr>
      <w:r w:rsidRPr="002B01BF">
        <w:rPr>
          <w:sz w:val="24"/>
          <w:lang w:val="da-DK"/>
        </w:rPr>
        <w:t xml:space="preserve"> </w:t>
      </w:r>
      <w:r w:rsidRPr="002B01BF">
        <w:rPr>
          <w:sz w:val="24"/>
          <w:lang w:val="da-DK"/>
        </w:rPr>
        <w:tab/>
      </w:r>
    </w:p>
  </w:footnote>
  <w:footnote w:id="17">
    <w:p w:rsidR="00631A0A" w:rsidRPr="002B01BF" w:rsidRDefault="00631A0A" w:rsidP="002B01BF">
      <w:pPr>
        <w:pStyle w:val="FootnoteText"/>
        <w:ind w:left="567" w:hanging="567"/>
        <w:rPr>
          <w:sz w:val="24"/>
          <w:lang w:val="da-DK"/>
        </w:rPr>
      </w:pPr>
      <w:r w:rsidRPr="002B01BF">
        <w:rPr>
          <w:rStyle w:val="FootnoteReference"/>
          <w:sz w:val="24"/>
          <w:lang w:val="da-DK"/>
        </w:rPr>
        <w:footnoteRef/>
      </w:r>
      <w:r w:rsidR="002B01BF" w:rsidRPr="002B01BF">
        <w:rPr>
          <w:sz w:val="24"/>
          <w:lang w:val="da-DK"/>
        </w:rPr>
        <w:t xml:space="preserve"> </w:t>
      </w:r>
      <w:r w:rsidR="002B01BF" w:rsidRPr="002B01BF">
        <w:rPr>
          <w:sz w:val="24"/>
          <w:lang w:val="da-DK"/>
        </w:rPr>
        <w:tab/>
      </w:r>
      <w:r w:rsidRPr="002B01BF">
        <w:rPr>
          <w:sz w:val="24"/>
          <w:lang w:val="da-DK"/>
        </w:rPr>
        <w:t>Ifølge fællesforetagendets præcisering skal "tilbagetrækning af emner" forstås som "ingen dækning af emner på grund af mangel på accepterede ansøgninger/forslag".</w:t>
      </w:r>
    </w:p>
  </w:footnote>
  <w:footnote w:id="18">
    <w:p w:rsidR="00631A0A" w:rsidRPr="002B01BF" w:rsidRDefault="00631A0A" w:rsidP="002B01BF">
      <w:pPr>
        <w:pStyle w:val="FootnoteText"/>
        <w:ind w:left="567" w:hanging="567"/>
        <w:rPr>
          <w:sz w:val="24"/>
          <w:lang w:val="da-DK"/>
        </w:rPr>
      </w:pPr>
      <w:r w:rsidRPr="002B01BF">
        <w:rPr>
          <w:rStyle w:val="FootnoteReference"/>
          <w:sz w:val="24"/>
          <w:lang w:val="da-DK"/>
        </w:rPr>
        <w:footnoteRef/>
      </w:r>
      <w:r w:rsidR="002B01BF" w:rsidRPr="002B01BF">
        <w:rPr>
          <w:sz w:val="24"/>
          <w:lang w:val="da-DK"/>
        </w:rPr>
        <w:t xml:space="preserve"> </w:t>
      </w:r>
      <w:r w:rsidR="002B01BF" w:rsidRPr="002B01BF">
        <w:rPr>
          <w:sz w:val="24"/>
          <w:lang w:val="da-DK"/>
        </w:rPr>
        <w:tab/>
      </w:r>
      <w:r w:rsidRPr="002B01BF">
        <w:rPr>
          <w:sz w:val="24"/>
          <w:lang w:val="da-DK"/>
        </w:rPr>
        <w:t>E</w:t>
      </w:r>
      <w:r w:rsidR="00CF4A77">
        <w:rPr>
          <w:sz w:val="24"/>
          <w:lang w:val="da-DK"/>
        </w:rPr>
        <w:t>F</w:t>
      </w:r>
      <w:r w:rsidRPr="002B01BF">
        <w:rPr>
          <w:sz w:val="24"/>
          <w:lang w:val="da-DK"/>
        </w:rPr>
        <w:t>T L 56 af 4.3.1968, s. 1, ELI: http://data.europa.eu/eli/reg/1968/259(1)/oj.</w:t>
      </w:r>
    </w:p>
  </w:footnote>
  <w:footnote w:id="19">
    <w:p w:rsidR="00631A0A" w:rsidRPr="002B01BF" w:rsidRDefault="00631A0A" w:rsidP="002B01BF">
      <w:pPr>
        <w:pStyle w:val="FootnoteText"/>
        <w:ind w:left="567" w:hanging="567"/>
        <w:rPr>
          <w:sz w:val="24"/>
          <w:lang w:val="da-DK"/>
        </w:rPr>
      </w:pPr>
      <w:r w:rsidRPr="002B01BF">
        <w:rPr>
          <w:rStyle w:val="FootnoteReference"/>
          <w:sz w:val="24"/>
          <w:lang w:val="da-DK"/>
        </w:rPr>
        <w:footnoteRef/>
      </w:r>
      <w:r w:rsidR="002B01BF" w:rsidRPr="002B01BF">
        <w:rPr>
          <w:sz w:val="24"/>
          <w:lang w:val="da-DK"/>
        </w:rPr>
        <w:t xml:space="preserve"> </w:t>
      </w:r>
      <w:r w:rsidR="002B01BF" w:rsidRPr="002B01BF">
        <w:rPr>
          <w:sz w:val="24"/>
          <w:lang w:val="da-DK"/>
        </w:rPr>
        <w:tab/>
      </w:r>
      <w:r w:rsidRPr="002B01BF">
        <w:rPr>
          <w:sz w:val="24"/>
          <w:lang w:val="da-DK"/>
        </w:rPr>
        <w:t xml:space="preserve">Fællesforetagendet </w:t>
      </w:r>
      <w:proofErr w:type="spellStart"/>
      <w:r w:rsidRPr="002B01BF">
        <w:rPr>
          <w:sz w:val="24"/>
          <w:lang w:val="da-DK"/>
        </w:rPr>
        <w:t>CH's</w:t>
      </w:r>
      <w:proofErr w:type="spellEnd"/>
      <w:r w:rsidRPr="002B01BF">
        <w:rPr>
          <w:sz w:val="24"/>
          <w:lang w:val="da-DK"/>
        </w:rPr>
        <w:t xml:space="preserve"> konsoliderede årlige aktivitetsrapport for 2022, kapitel 4.1.1.1.</w:t>
      </w:r>
    </w:p>
  </w:footnote>
  <w:footnote w:id="20">
    <w:p w:rsidR="00631A0A" w:rsidRPr="002B01BF" w:rsidRDefault="00631A0A" w:rsidP="002B01BF">
      <w:pPr>
        <w:pStyle w:val="FootnoteText"/>
        <w:ind w:left="567" w:hanging="567"/>
        <w:rPr>
          <w:sz w:val="24"/>
          <w:lang w:val="da-DK"/>
        </w:rPr>
      </w:pPr>
      <w:r w:rsidRPr="002B01BF">
        <w:rPr>
          <w:rStyle w:val="FootnoteReference"/>
          <w:sz w:val="24"/>
          <w:lang w:val="da-DK"/>
        </w:rPr>
        <w:footnoteRef/>
      </w:r>
      <w:r w:rsidR="002B01BF" w:rsidRPr="002B01BF">
        <w:rPr>
          <w:sz w:val="24"/>
          <w:lang w:val="da-DK"/>
        </w:rPr>
        <w:t xml:space="preserve"> </w:t>
      </w:r>
      <w:r w:rsidR="002B01BF" w:rsidRPr="002B01BF">
        <w:rPr>
          <w:sz w:val="24"/>
          <w:lang w:val="da-DK"/>
        </w:rPr>
        <w:tab/>
      </w:r>
      <w:r w:rsidRPr="002B01BF">
        <w:rPr>
          <w:sz w:val="24"/>
          <w:lang w:val="da-DK"/>
        </w:rPr>
        <w:t>Med hensyn til tilskudsbetalingstransaktioner, der testes hos støttemodtagerne, er rapporteringstærsklen for kvantificerbare fejl 1 % af de reviderede omkostninger.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01B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01B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01B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9/2024"/>
    <w:docVar w:name="dvlangue" w:val="DA"/>
    <w:docVar w:name="dvnumam" w:val="0"/>
    <w:docVar w:name="dvpe" w:val="753.490"/>
    <w:docVar w:name="dvrapporteur" w:val="Ordfører: "/>
    <w:docVar w:name="dvtitre" w:val="1. Europa-Parlamentets afgørelse af 11. april 2024 om decharge for gennemførelsen af budgettet for fællesforetagendet for ren brint for regnskabsåret 2022(2023/2175(DEC))"/>
  </w:docVars>
  <w:rsids>
    <w:rsidRoot w:val="00E464F7"/>
    <w:rsid w:val="00002272"/>
    <w:rsid w:val="00012085"/>
    <w:rsid w:val="00064002"/>
    <w:rsid w:val="000677B9"/>
    <w:rsid w:val="000831BA"/>
    <w:rsid w:val="000A42CC"/>
    <w:rsid w:val="000E7DD9"/>
    <w:rsid w:val="0010095E"/>
    <w:rsid w:val="00125B37"/>
    <w:rsid w:val="00187494"/>
    <w:rsid w:val="001F32AE"/>
    <w:rsid w:val="002767FF"/>
    <w:rsid w:val="002B01B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31A0A"/>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579DC"/>
    <w:rsid w:val="00BD48FE"/>
    <w:rsid w:val="00BD7BD8"/>
    <w:rsid w:val="00BE6ADC"/>
    <w:rsid w:val="00C05BFE"/>
    <w:rsid w:val="00C23CD4"/>
    <w:rsid w:val="00C61C0C"/>
    <w:rsid w:val="00C733B1"/>
    <w:rsid w:val="00C941CB"/>
    <w:rsid w:val="00CC2357"/>
    <w:rsid w:val="00CF071A"/>
    <w:rsid w:val="00CF4A77"/>
    <w:rsid w:val="00D058B8"/>
    <w:rsid w:val="00D56C11"/>
    <w:rsid w:val="00D834A0"/>
    <w:rsid w:val="00D872DF"/>
    <w:rsid w:val="00D91E21"/>
    <w:rsid w:val="00DA7FCD"/>
    <w:rsid w:val="00DF7084"/>
    <w:rsid w:val="00E365E1"/>
    <w:rsid w:val="00E464F7"/>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356059"/>
  <w15:chartTrackingRefBased/>
  <w15:docId w15:val="{1E27DC4B-F4EB-401D-A84B-CA231E8DB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31A0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31A0A"/>
    <w:pPr>
      <w:spacing w:before="480" w:after="240"/>
    </w:pPr>
  </w:style>
  <w:style w:type="paragraph" w:customStyle="1" w:styleId="PageHeading">
    <w:name w:val="PageHeading"/>
    <w:basedOn w:val="Normal"/>
    <w:rsid w:val="00631A0A"/>
    <w:pPr>
      <w:keepNext/>
      <w:spacing w:after="480"/>
      <w:jc w:val="center"/>
    </w:pPr>
    <w:rPr>
      <w:rFonts w:ascii="Arial" w:hAnsi="Arial" w:cs="Arial"/>
      <w:b/>
    </w:rPr>
  </w:style>
  <w:style w:type="paragraph" w:customStyle="1" w:styleId="NormalBold">
    <w:name w:val="NormalBold"/>
    <w:basedOn w:val="Normal"/>
    <w:rsid w:val="00631A0A"/>
    <w:rPr>
      <w:b/>
    </w:rPr>
  </w:style>
  <w:style w:type="paragraph" w:customStyle="1" w:styleId="NormalHanging12a">
    <w:name w:val="NormalHanging12a"/>
    <w:basedOn w:val="Normal"/>
    <w:link w:val="NormalHanging12aChar"/>
    <w:rsid w:val="00631A0A"/>
    <w:pPr>
      <w:spacing w:after="240"/>
      <w:ind w:left="567" w:hanging="567"/>
    </w:pPr>
  </w:style>
  <w:style w:type="paragraph" w:styleId="Header">
    <w:name w:val="header"/>
    <w:basedOn w:val="Normal"/>
    <w:link w:val="HeaderChar"/>
    <w:rsid w:val="00631A0A"/>
    <w:pPr>
      <w:tabs>
        <w:tab w:val="center" w:pos="4513"/>
        <w:tab w:val="right" w:pos="9026"/>
      </w:tabs>
    </w:pPr>
  </w:style>
  <w:style w:type="character" w:customStyle="1" w:styleId="HeaderChar">
    <w:name w:val="Header Char"/>
    <w:basedOn w:val="DefaultParagraphFont"/>
    <w:link w:val="Header"/>
    <w:rsid w:val="00631A0A"/>
    <w:rPr>
      <w:sz w:val="24"/>
      <w:lang w:val="da-DK"/>
    </w:rPr>
  </w:style>
  <w:style w:type="paragraph" w:customStyle="1" w:styleId="EPFooter">
    <w:name w:val="EPFooter"/>
    <w:basedOn w:val="Normal"/>
    <w:rsid w:val="00631A0A"/>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631A0A"/>
    <w:rPr>
      <w:sz w:val="24"/>
      <w:lang w:val="da-DK"/>
    </w:rPr>
  </w:style>
  <w:style w:type="paragraph" w:styleId="Footer">
    <w:name w:val="footer"/>
    <w:basedOn w:val="Normal"/>
    <w:link w:val="FooterChar"/>
    <w:rsid w:val="00B579DC"/>
    <w:pPr>
      <w:tabs>
        <w:tab w:val="center" w:pos="4513"/>
        <w:tab w:val="right" w:pos="9026"/>
      </w:tabs>
    </w:pPr>
  </w:style>
  <w:style w:type="character" w:customStyle="1" w:styleId="FooterChar">
    <w:name w:val="Footer Char"/>
    <w:basedOn w:val="DefaultParagraphFont"/>
    <w:link w:val="Footer"/>
    <w:rsid w:val="00B579DC"/>
    <w:rPr>
      <w:sz w:val="24"/>
      <w:lang w:val="da-DK"/>
    </w:rPr>
  </w:style>
  <w:style w:type="paragraph" w:styleId="BalloonText">
    <w:name w:val="Balloon Text"/>
    <w:basedOn w:val="Normal"/>
    <w:link w:val="BalloonTextChar"/>
    <w:rsid w:val="00CF4A77"/>
    <w:rPr>
      <w:rFonts w:ascii="Segoe UI" w:hAnsi="Segoe UI" w:cs="Segoe UI"/>
      <w:sz w:val="18"/>
      <w:szCs w:val="18"/>
    </w:rPr>
  </w:style>
  <w:style w:type="character" w:customStyle="1" w:styleId="BalloonTextChar">
    <w:name w:val="Balloon Text Char"/>
    <w:basedOn w:val="DefaultParagraphFont"/>
    <w:link w:val="BalloonText"/>
    <w:rsid w:val="00CF4A77"/>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E0C569-E8A8-43EB-B4A0-A81E6B006E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3075</Words>
  <Characters>20356</Characters>
  <Application>Microsoft Office Word</Application>
  <DocSecurity>0</DocSecurity>
  <Lines>169</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2024-04-11T12:16:00Z</dcterms:created>
  <dcterms:modified xsi:type="dcterms:W3CDTF">2024-04-11T12:16:00Z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A9-0089/2024</vt:lpwstr>
  </property>
  <property fmtid="{D5CDD505-2E9C-101B-9397-08002B2CF9AE}" pid="4" name="&lt;Type&gt;">
    <vt:lpwstr>RR</vt:lpwstr>
  </property>
</Properties>
</file>