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67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67B3" w:rsidRDefault="0029194C" w:rsidP="0010095E">
            <w:pPr>
              <w:pStyle w:val="EPName"/>
            </w:pPr>
            <w:r w:rsidRPr="000C67B3">
              <w:t>Europski parlament</w:t>
            </w:r>
          </w:p>
          <w:p w:rsidR="00751A4A" w:rsidRPr="000C67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67B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C67B3" w:rsidRDefault="00187494" w:rsidP="0010095E">
            <w:pPr>
              <w:pStyle w:val="EPLogo"/>
            </w:pPr>
            <w:r w:rsidRPr="000C67B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67B3" w:rsidRDefault="00D058B8" w:rsidP="004C5D52">
      <w:pPr>
        <w:pStyle w:val="LineTop"/>
      </w:pPr>
    </w:p>
    <w:p w:rsidR="00680577" w:rsidRPr="000C67B3" w:rsidRDefault="0029194C" w:rsidP="00680577">
      <w:pPr>
        <w:pStyle w:val="EPBodyTA1"/>
      </w:pPr>
      <w:r w:rsidRPr="000C67B3">
        <w:t>USVOJENI TEKSTOVI</w:t>
      </w:r>
    </w:p>
    <w:p w:rsidR="00D058B8" w:rsidRPr="000C67B3" w:rsidRDefault="00D058B8" w:rsidP="00D058B8">
      <w:pPr>
        <w:pStyle w:val="LineBottom"/>
      </w:pPr>
    </w:p>
    <w:p w:rsidR="0029194C" w:rsidRPr="000C67B3" w:rsidRDefault="0029194C" w:rsidP="0029194C">
      <w:pPr>
        <w:pStyle w:val="ATHeading1"/>
      </w:pPr>
      <w:bookmarkStart w:id="0" w:name="TANumber"/>
      <w:r w:rsidRPr="000C67B3">
        <w:t>P9_TA(2024)0</w:t>
      </w:r>
      <w:r w:rsidR="00501FAA">
        <w:t>275</w:t>
      </w:r>
      <w:bookmarkEnd w:id="0"/>
    </w:p>
    <w:p w:rsidR="0029194C" w:rsidRPr="000C67B3" w:rsidRDefault="0029194C" w:rsidP="0029194C">
      <w:pPr>
        <w:pStyle w:val="ATHeading2"/>
      </w:pPr>
      <w:bookmarkStart w:id="1" w:name="title"/>
      <w:r w:rsidRPr="000C67B3">
        <w:t>Razrješnica za 2022.: Zajedničko poduzeće za čisti vodik</w:t>
      </w:r>
      <w:bookmarkEnd w:id="1"/>
    </w:p>
    <w:p w:rsidR="0029194C" w:rsidRPr="000C67B3" w:rsidRDefault="0029194C" w:rsidP="0029194C">
      <w:pPr>
        <w:rPr>
          <w:i/>
          <w:vanish/>
        </w:rPr>
      </w:pPr>
      <w:r w:rsidRPr="000C67B3">
        <w:rPr>
          <w:i/>
        </w:rPr>
        <w:fldChar w:fldCharType="begin"/>
      </w:r>
      <w:r w:rsidRPr="000C67B3">
        <w:rPr>
          <w:i/>
        </w:rPr>
        <w:instrText xml:space="preserve"> TC"(</w:instrText>
      </w:r>
      <w:bookmarkStart w:id="2" w:name="DocNumber"/>
      <w:r w:rsidRPr="000C67B3">
        <w:rPr>
          <w:i/>
        </w:rPr>
        <w:instrText>A9-0089/2024</w:instrText>
      </w:r>
      <w:bookmarkEnd w:id="2"/>
      <w:r w:rsidRPr="000C67B3">
        <w:rPr>
          <w:i/>
        </w:rPr>
        <w:instrText xml:space="preserve"> - Izvjestitelj: Michal </w:instrText>
      </w:r>
      <w:proofErr w:type="spellStart"/>
      <w:r w:rsidRPr="000C67B3">
        <w:rPr>
          <w:i/>
        </w:rPr>
        <w:instrText>Wiezik</w:instrText>
      </w:r>
      <w:proofErr w:type="spellEnd"/>
      <w:r w:rsidRPr="000C67B3">
        <w:rPr>
          <w:i/>
        </w:rPr>
        <w:instrText xml:space="preserve">)"\l3 \n&gt; \* MERGEFORMAT </w:instrText>
      </w:r>
      <w:r w:rsidRPr="000C67B3">
        <w:rPr>
          <w:i/>
        </w:rPr>
        <w:fldChar w:fldCharType="end"/>
      </w:r>
    </w:p>
    <w:p w:rsidR="0029194C" w:rsidRPr="000C67B3" w:rsidRDefault="0029194C" w:rsidP="0029194C">
      <w:pPr>
        <w:rPr>
          <w:vanish/>
        </w:rPr>
      </w:pPr>
      <w:bookmarkStart w:id="3" w:name="Commission"/>
      <w:r w:rsidRPr="000C67B3">
        <w:rPr>
          <w:vanish/>
        </w:rPr>
        <w:t>Odbor za proračunski nadzor</w:t>
      </w:r>
      <w:bookmarkEnd w:id="3"/>
    </w:p>
    <w:p w:rsidR="0029194C" w:rsidRPr="000C67B3" w:rsidRDefault="0029194C" w:rsidP="0029194C">
      <w:pPr>
        <w:rPr>
          <w:vanish/>
        </w:rPr>
      </w:pPr>
      <w:bookmarkStart w:id="4" w:name="PE"/>
      <w:r w:rsidRPr="000C67B3">
        <w:rPr>
          <w:vanish/>
        </w:rPr>
        <w:t>PE753.490</w:t>
      </w:r>
      <w:bookmarkEnd w:id="4"/>
    </w:p>
    <w:p w:rsidR="0029194C" w:rsidRPr="000C67B3" w:rsidRDefault="000C67B3" w:rsidP="0029194C">
      <w:pPr>
        <w:pStyle w:val="ATHeading3"/>
      </w:pPr>
      <w:bookmarkStart w:id="5" w:name="Sujet"/>
      <w:r>
        <w:t xml:space="preserve">1. </w:t>
      </w:r>
      <w:r w:rsidR="0029194C" w:rsidRPr="000C67B3">
        <w:t>Od</w:t>
      </w:r>
      <w:r>
        <w:t>luka Europskog parlamenta od 11</w:t>
      </w:r>
      <w:r w:rsidR="0029194C" w:rsidRPr="000C67B3">
        <w:t xml:space="preserve">. </w:t>
      </w:r>
      <w:r>
        <w:t xml:space="preserve">travnja </w:t>
      </w:r>
      <w:r w:rsidR="0029194C" w:rsidRPr="000C67B3">
        <w:t>2024. o razrješnici za izvršenje proračuna Zajedničkog poduzeća za čisti vodik za financijsku godinu 2022.</w:t>
      </w:r>
      <w:bookmarkEnd w:id="5"/>
      <w:r w:rsidR="0029194C" w:rsidRPr="000C67B3">
        <w:t xml:space="preserve"> </w:t>
      </w:r>
      <w:bookmarkStart w:id="6" w:name="References"/>
      <w:r w:rsidR="0029194C" w:rsidRPr="000C67B3">
        <w:t>(2023/2175(DEC))</w:t>
      </w:r>
      <w:bookmarkEnd w:id="6"/>
    </w:p>
    <w:p w:rsidR="00FA718F" w:rsidRPr="000C67B3" w:rsidRDefault="00FA718F" w:rsidP="00FA718F">
      <w:pPr>
        <w:pStyle w:val="EPComma"/>
      </w:pPr>
      <w:bookmarkStart w:id="7" w:name="TextBodyBegin"/>
      <w:bookmarkEnd w:id="7"/>
      <w:r w:rsidRPr="000C67B3">
        <w:rPr>
          <w:i/>
        </w:rPr>
        <w:t>Europski parlament</w:t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završnu godišnju računovodstvenu dokumentaciju Zajedničkog poduzeća za čisti vodik za financijsku godinu 2022.,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godišnje izvješće Revizorskog suda o zajedničkim poduzećima EU-a za financijsku godinu 2022., s odgovorom Zajedničkog poduzeća</w:t>
      </w:r>
      <w:r w:rsidRPr="000C67B3">
        <w:rPr>
          <w:rStyle w:val="FootnoteReference"/>
        </w:rPr>
        <w:footnoteReference w:id="1"/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izjavu o jamstvu</w:t>
      </w:r>
      <w:r w:rsidRPr="000C67B3">
        <w:rPr>
          <w:rStyle w:val="FootnoteReference"/>
        </w:rPr>
        <w:footnoteReference w:id="2"/>
      </w:r>
      <w:r w:rsidRPr="000C67B3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preporuku Vijeća od 22. veljače 2024. o razrješnici koju Zajedničko poduzeće treba dobiti za izvršenje proračuna za financijsku godinu 2022. (0</w:t>
      </w:r>
      <w:r w:rsidR="00845288">
        <w:t>6182</w:t>
      </w:r>
      <w:r w:rsidRPr="000C67B3">
        <w:t>/2024 – C9</w:t>
      </w:r>
      <w:r w:rsidRPr="000C67B3">
        <w:noBreakHyphen/>
        <w:t>0</w:t>
      </w:r>
      <w:r w:rsidR="00845288">
        <w:t>113</w:t>
      </w:r>
      <w:r w:rsidRPr="000C67B3">
        <w:t>/2024),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članak 319. Ugovora o funkcioniranju Europske unije,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0C67B3">
        <w:rPr>
          <w:rStyle w:val="FootnoteReference"/>
        </w:rPr>
        <w:footnoteReference w:id="3"/>
      </w:r>
      <w:r w:rsidRPr="000C67B3">
        <w:t>, a posebno njezin članak 71.,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 xml:space="preserve">uzimajući u obzir Uredbu Vijeća (EU) 2021/2085 od 19. studenoga 2021. o osnivanju zajedničkih poduzeća u okviru programa Obzor Europa te o stavljanju izvan snage </w:t>
      </w:r>
      <w:r w:rsidRPr="000C67B3">
        <w:lastRenderedPageBreak/>
        <w:t>uredbi (EZ) br. 219/2007, (EU) br. 557/2014, (EU) br. 558/2014, (EU) br. 559/2014, (EU) br. 560/2014, (EU) br. 561/2014 i (EU) br. 642/2014</w:t>
      </w:r>
      <w:r w:rsidRPr="000C67B3">
        <w:rPr>
          <w:rStyle w:val="FootnoteReference"/>
        </w:rPr>
        <w:footnoteReference w:id="4"/>
      </w:r>
      <w:r w:rsidRPr="000C67B3">
        <w:t>, a posebno njezin članak 26.,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 xml:space="preserve">uzimajući u obzir Delegiranu uredbu Komisije (EU) 2019/887 </w:t>
      </w:r>
      <w:proofErr w:type="spellStart"/>
      <w:r w:rsidRPr="000C67B3">
        <w:t>оd</w:t>
      </w:r>
      <w:proofErr w:type="spellEnd"/>
      <w:r w:rsidRPr="000C67B3">
        <w:t xml:space="preserve"> 13. ožujka 2019. o oglednoj financijskoj uredbi za tijela javno-privatnog partnerstva iz članka 71. Uredbe (EU, Euratom) 2018/1046 Europskog parlamenta i Vijeća</w:t>
      </w:r>
      <w:r w:rsidRPr="000C67B3">
        <w:rPr>
          <w:rStyle w:val="FootnoteReference"/>
        </w:rPr>
        <w:footnoteReference w:id="5"/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članak 100. Poslovnika i Prilog V. Poslovniku,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izvješće Odbora za proračunski nadzor (A9</w:t>
      </w:r>
      <w:r w:rsidRPr="000C67B3">
        <w:noBreakHyphen/>
        <w:t>0089/2024),</w:t>
      </w:r>
    </w:p>
    <w:p w:rsidR="00FA718F" w:rsidRPr="000C67B3" w:rsidRDefault="00FA718F" w:rsidP="00FA718F">
      <w:pPr>
        <w:pStyle w:val="NormalHanging12a"/>
      </w:pPr>
      <w:r w:rsidRPr="000C67B3">
        <w:t>1.</w:t>
      </w:r>
      <w:r w:rsidRPr="000C67B3">
        <w:tab/>
        <w:t>daje razrješnicu privremenoj izvršnoj direktorici Zajedničkog poduzeća za čisti vodik za izvršenje proračuna Zajedničkog poduzeća za financijsku godinu 2022.;</w:t>
      </w:r>
    </w:p>
    <w:p w:rsidR="00FA718F" w:rsidRPr="000C67B3" w:rsidRDefault="00FA718F" w:rsidP="00FA718F">
      <w:pPr>
        <w:pStyle w:val="NormalHanging12a"/>
      </w:pPr>
      <w:r w:rsidRPr="000C67B3">
        <w:t>2.</w:t>
      </w:r>
      <w:r w:rsidRPr="000C67B3">
        <w:tab/>
        <w:t>iznosi svoje primjedbe u Rezoluciji u nastavku;</w:t>
      </w:r>
    </w:p>
    <w:p w:rsidR="00FA718F" w:rsidRPr="000C67B3" w:rsidRDefault="00FA718F" w:rsidP="00FA718F">
      <w:pPr>
        <w:pStyle w:val="NormalHanging12a"/>
      </w:pPr>
      <w:r w:rsidRPr="000C67B3">
        <w:t>3.</w:t>
      </w:r>
      <w:r w:rsidRPr="000C67B3">
        <w:tab/>
        <w:t xml:space="preserve">nalaže svojoj predsjednici da ovu Odluku i Rezoluciju, koja je njezin sastavni dio, proslijedi privremenoj izvršnoj direktorici Zajedničkog poduzeća za čisti vodik, Vijeću, Komisiji i Revizorskom sudu te da ih da na objavu u </w:t>
      </w:r>
      <w:r w:rsidRPr="000C67B3">
        <w:rPr>
          <w:i/>
          <w:iCs/>
        </w:rPr>
        <w:t>Službenom listu Europske unije</w:t>
      </w:r>
      <w:r w:rsidRPr="000C67B3">
        <w:t xml:space="preserve"> (serija L).</w:t>
      </w:r>
    </w:p>
    <w:p w:rsidR="00FA718F" w:rsidRPr="000C67B3" w:rsidRDefault="00FA718F" w:rsidP="00FA718F">
      <w:pPr>
        <w:pStyle w:val="PageHeading"/>
        <w:sectPr w:rsidR="00FA718F" w:rsidRPr="000C67B3" w:rsidSect="00810D9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A718F" w:rsidRPr="000C67B3" w:rsidRDefault="000C67B3" w:rsidP="000C67B3">
      <w:pPr>
        <w:pStyle w:val="ATHeading3"/>
      </w:pPr>
      <w:bookmarkStart w:id="8" w:name="_Toc161834347"/>
      <w:r w:rsidRPr="000C67B3">
        <w:lastRenderedPageBreak/>
        <w:t xml:space="preserve">2. </w:t>
      </w:r>
      <w:r>
        <w:t>Odluka E</w:t>
      </w:r>
      <w:r w:rsidRPr="000C67B3">
        <w:t>uropskog parlamenta</w:t>
      </w:r>
      <w:bookmarkEnd w:id="8"/>
      <w:r w:rsidRPr="000C67B3">
        <w:t xml:space="preserve"> </w:t>
      </w:r>
      <w:r>
        <w:t xml:space="preserve">od 11. travnja 2024. </w:t>
      </w:r>
      <w:r w:rsidR="00FA718F" w:rsidRPr="000C67B3">
        <w:t>o zaključenju poslovnih knjiga Zajedničkog poduzeća za čisti vodik za financijsku godinu 2022.</w:t>
      </w:r>
      <w:r w:rsidRPr="000C67B3">
        <w:t xml:space="preserve"> </w:t>
      </w:r>
      <w:r w:rsidR="00FA718F" w:rsidRPr="000C67B3">
        <w:t>(2023/2175(DEC))</w:t>
      </w:r>
    </w:p>
    <w:p w:rsidR="00FA718F" w:rsidRPr="000C67B3" w:rsidRDefault="00FA718F" w:rsidP="00FA718F">
      <w:pPr>
        <w:pStyle w:val="EPComma"/>
      </w:pPr>
      <w:r w:rsidRPr="000C67B3">
        <w:rPr>
          <w:i/>
        </w:rPr>
        <w:t>Europski parlament</w:t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završnu godišnju računovodstvenu dokumentaciju Zajedničkog poduzeća za čisti vodik za financijsku godinu 2022.,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godišnje izvješće Revizorskog suda o zajedničkim poduzećima EU-a za financijsku godinu 2022., s odgovorom Zajedničkog poduzeća</w:t>
      </w:r>
      <w:r w:rsidRPr="000C67B3">
        <w:rPr>
          <w:rStyle w:val="FootnoteReference"/>
        </w:rPr>
        <w:footnoteReference w:id="6"/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izjavu o jamstvu</w:t>
      </w:r>
      <w:r w:rsidRPr="000C67B3">
        <w:rPr>
          <w:rStyle w:val="FootnoteReference"/>
        </w:rPr>
        <w:footnoteReference w:id="7"/>
      </w:r>
      <w:r w:rsidRPr="000C67B3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preporuku Vijeća od 22. veljače 2024. o razrješnici koju Zajedničko poduzeće treba dobiti za izvršenje proračuna za financijsku godinu 2022. (0</w:t>
      </w:r>
      <w:r w:rsidR="00845288">
        <w:t>6182</w:t>
      </w:r>
      <w:r w:rsidRPr="000C67B3">
        <w:t>/2024 – C9</w:t>
      </w:r>
      <w:r w:rsidRPr="000C67B3">
        <w:noBreakHyphen/>
        <w:t>0</w:t>
      </w:r>
      <w:r w:rsidR="00845288">
        <w:t>113</w:t>
      </w:r>
      <w:r w:rsidRPr="000C67B3">
        <w:t>/2024),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članak 319. Ugovora o funkcioniranju Europske unije,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0C67B3">
        <w:rPr>
          <w:rStyle w:val="FootnoteReference"/>
        </w:rPr>
        <w:footnoteReference w:id="8"/>
      </w:r>
      <w:r w:rsidRPr="000C67B3">
        <w:t>, a posebno njezin članak 71.,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Uredbu Vijeća (EU) 2021/2085 od 19. studenoga 2021. o osnivanju zajedničkih poduzeća u okviru programa Obzor Europa te o stavljanju izvan snage uredbi (EZ) br. 219/2007, (EU) br. 557/2014, (EU) br. 558/2014, (EU) br. 559/2014, (EU) br. 560/2014, (EU) br. 561/2014 i (EU) br. 642/2014</w:t>
      </w:r>
      <w:r w:rsidRPr="000C67B3">
        <w:rPr>
          <w:rStyle w:val="FootnoteReference"/>
        </w:rPr>
        <w:footnoteReference w:id="9"/>
      </w:r>
      <w:r w:rsidRPr="000C67B3">
        <w:t>, a posebno njezin članak 26.,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 xml:space="preserve">uzimajući u obzir Delegiranu uredbu Komisije (EU) 2019/887 </w:t>
      </w:r>
      <w:proofErr w:type="spellStart"/>
      <w:r w:rsidRPr="000C67B3">
        <w:t>оd</w:t>
      </w:r>
      <w:proofErr w:type="spellEnd"/>
      <w:r w:rsidRPr="000C67B3">
        <w:t xml:space="preserve"> 13. ožujka 2019. o oglednoj financijskoj uredbi za tijela javno-privatnog partnerstva iz članka 71. Uredbe (EU, Euratom) 2018/1046 Europskog parlamenta i Vijeća</w:t>
      </w:r>
      <w:r w:rsidRPr="000C67B3">
        <w:rPr>
          <w:rStyle w:val="FootnoteReference"/>
        </w:rPr>
        <w:footnoteReference w:id="10"/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članak 100. Poslovnika i Prilog V. Poslovniku,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izvješće Odbora za proračunski nadzor (A9</w:t>
      </w:r>
      <w:r w:rsidRPr="000C67B3">
        <w:noBreakHyphen/>
        <w:t>0089/2024),</w:t>
      </w:r>
    </w:p>
    <w:p w:rsidR="00FA718F" w:rsidRPr="000C67B3" w:rsidRDefault="00FA718F" w:rsidP="00FA718F">
      <w:pPr>
        <w:pStyle w:val="NormalHanging12a"/>
      </w:pPr>
      <w:r w:rsidRPr="000C67B3">
        <w:t>1.</w:t>
      </w:r>
      <w:r w:rsidRPr="000C67B3">
        <w:tab/>
        <w:t>odobrava zaključenje poslovnih knjiga Zajedničkog poduzeća za čisti vodik za financijsku godinu 2022.;</w:t>
      </w:r>
    </w:p>
    <w:p w:rsidR="00FA718F" w:rsidRPr="000C67B3" w:rsidRDefault="00FA718F" w:rsidP="00FA718F">
      <w:pPr>
        <w:pStyle w:val="NormalHanging12a"/>
      </w:pPr>
      <w:r w:rsidRPr="000C67B3">
        <w:lastRenderedPageBreak/>
        <w:t>2.</w:t>
      </w:r>
      <w:r w:rsidRPr="000C67B3">
        <w:tab/>
        <w:t xml:space="preserve">nalaže svojoj predsjednici da ovu Odluku proslijedi privremenoj izvršnoj direktorici Zajedničkog poduzeća za čisti vodik, Vijeću, Komisiji i Revizorskom sudu te da je da na objavu u </w:t>
      </w:r>
      <w:r w:rsidRPr="000C67B3">
        <w:rPr>
          <w:i/>
          <w:iCs/>
        </w:rPr>
        <w:t>Službenom listu Europske unije</w:t>
      </w:r>
      <w:r w:rsidRPr="000C67B3">
        <w:t xml:space="preserve"> (serija L).</w:t>
      </w:r>
    </w:p>
    <w:p w:rsidR="00FA718F" w:rsidRPr="000C67B3" w:rsidRDefault="00FA718F" w:rsidP="00FA718F"/>
    <w:p w:rsidR="00FA718F" w:rsidRPr="000C67B3" w:rsidRDefault="00FA718F" w:rsidP="00FA718F">
      <w:pPr>
        <w:pStyle w:val="PageHeading"/>
        <w:sectPr w:rsidR="00FA718F" w:rsidRPr="000C67B3" w:rsidSect="00810D9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718F" w:rsidRPr="000C67B3" w:rsidRDefault="000C67B3" w:rsidP="000C67B3">
      <w:pPr>
        <w:pStyle w:val="ATHeading3"/>
      </w:pPr>
      <w:bookmarkStart w:id="9" w:name="_Toc161834348"/>
      <w:r w:rsidRPr="000C67B3">
        <w:lastRenderedPageBreak/>
        <w:t xml:space="preserve">3. </w:t>
      </w:r>
      <w:r>
        <w:t>Rezolucija E</w:t>
      </w:r>
      <w:r w:rsidRPr="000C67B3">
        <w:t>uropskog parlamenta</w:t>
      </w:r>
      <w:bookmarkEnd w:id="9"/>
      <w:r w:rsidRPr="000C67B3">
        <w:t xml:space="preserve"> </w:t>
      </w:r>
      <w:r>
        <w:t xml:space="preserve">od 11. travnja 2024. </w:t>
      </w:r>
      <w:r w:rsidR="00FA718F" w:rsidRPr="000C67B3">
        <w:t>s primjedbama koje su sastavni dio Odluke o razrješnici za izvršenje proračuna Zajedničkog poduzeća za čisti vodik za financijsku godinu 2022.</w:t>
      </w:r>
      <w:r w:rsidRPr="000C67B3">
        <w:t xml:space="preserve"> </w:t>
      </w:r>
      <w:r w:rsidR="00FA718F" w:rsidRPr="000C67B3">
        <w:t>(2023/2175(DEC))</w:t>
      </w:r>
    </w:p>
    <w:p w:rsidR="00FA718F" w:rsidRPr="000C67B3" w:rsidRDefault="00FA718F" w:rsidP="00FA718F">
      <w:pPr>
        <w:pStyle w:val="EPComma"/>
      </w:pPr>
      <w:r w:rsidRPr="000C67B3">
        <w:rPr>
          <w:i/>
        </w:rPr>
        <w:t>Europski parlament</w:t>
      </w:r>
      <w:r w:rsidRPr="000C67B3">
        <w:t>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svoju Odluku o razrješnici za izvršenje proračuna Zajedničkog poduzeća za čisti vodik za financijsku godinu 2022.,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članak 100. Poslovnika i Prilog V. Poslovniku,</w:t>
      </w:r>
    </w:p>
    <w:p w:rsidR="00FA718F" w:rsidRPr="000C67B3" w:rsidRDefault="00FA718F" w:rsidP="00FA718F">
      <w:pPr>
        <w:pStyle w:val="NormalHanging12a"/>
      </w:pPr>
      <w:r w:rsidRPr="000C67B3">
        <w:t>–</w:t>
      </w:r>
      <w:r w:rsidRPr="000C67B3">
        <w:tab/>
        <w:t>uzimajući u obzir izvješće Odbora za proračunski nadzor (A9</w:t>
      </w:r>
      <w:r w:rsidRPr="000C67B3">
        <w:noBreakHyphen/>
        <w:t>0089/2024),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A.</w:t>
      </w:r>
      <w:r w:rsidRPr="000C67B3">
        <w:tab/>
        <w:t xml:space="preserve">budući da je Zajedničko poduzeće za čisti vodik („Zajedničko poduzeće </w:t>
      </w:r>
      <w:proofErr w:type="spellStart"/>
      <w:r w:rsidRPr="000C67B3">
        <w:t>Clean</w:t>
      </w:r>
      <w:proofErr w:type="spellEnd"/>
      <w:r w:rsidRPr="000C67B3">
        <w:t> H2”), sa sjedištem u Bruxellesu, osnovano u studenome 2021. u okviru programa Obzor Europa Uredbom Vijeća (EU) 2021/2085</w:t>
      </w:r>
      <w:r w:rsidRPr="000C67B3">
        <w:rPr>
          <w:rStyle w:val="FootnoteReference"/>
        </w:rPr>
        <w:footnoteReference w:id="11"/>
      </w:r>
      <w:r w:rsidRPr="000C67B3">
        <w:t xml:space="preserve"> na razdoblje do 31. prosinca 2031.; budući da je Zajedničko poduzeće za čisti vodik zamijenilo i naslijedilo Zajedničko poduzeće za provedbu zajedničke tehnolo</w:t>
      </w:r>
      <w:bookmarkStart w:id="10" w:name="_GoBack"/>
      <w:bookmarkEnd w:id="10"/>
      <w:r w:rsidRPr="000C67B3">
        <w:t xml:space="preserve">ške inicijative za </w:t>
      </w:r>
      <w:proofErr w:type="spellStart"/>
      <w:r w:rsidRPr="000C67B3">
        <w:t>gorivne</w:t>
      </w:r>
      <w:proofErr w:type="spellEnd"/>
      <w:r w:rsidRPr="000C67B3">
        <w:t xml:space="preserve"> članke i vodik („Zajedničko poduzeće FCH”), koje je osnovano u svibnju 2008. u okviru Sedmog okvirnog programa za</w:t>
      </w:r>
      <w:r w:rsidR="008A3C44">
        <w:t xml:space="preserve"> istraživanja Uredbom Vijeća (EZ</w:t>
      </w:r>
      <w:r w:rsidRPr="000C67B3">
        <w:t>) br. 521/2008</w:t>
      </w:r>
      <w:r w:rsidRPr="000C67B3">
        <w:rPr>
          <w:rStyle w:val="FootnoteReference"/>
        </w:rPr>
        <w:footnoteReference w:id="12"/>
      </w:r>
      <w:r w:rsidRPr="000C67B3">
        <w:t xml:space="preserve"> na razdoblje do 31. prosinca 2017. i čije je djelovanje produženo u svibnju 2014. u okviru programa Obzor 2020. Uredbom Vijeća (EU) br. 559/2014</w:t>
      </w:r>
      <w:r w:rsidRPr="000C67B3">
        <w:rPr>
          <w:rStyle w:val="FootnoteReference"/>
        </w:rPr>
        <w:footnoteReference w:id="13"/>
      </w:r>
      <w:r w:rsidRPr="000C67B3">
        <w:t xml:space="preserve"> na razdoblje do 31. prosinca 2024. („Zajedničko poduzeće FCH 2”);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B.</w:t>
      </w:r>
      <w:r w:rsidRPr="000C67B3">
        <w:tab/>
        <w:t xml:space="preserve">budući da Zajedničko poduzeće </w:t>
      </w:r>
      <w:proofErr w:type="spellStart"/>
      <w:r w:rsidRPr="000C67B3">
        <w:t>Clean</w:t>
      </w:r>
      <w:proofErr w:type="spellEnd"/>
      <w:r w:rsidRPr="000C67B3">
        <w:t xml:space="preserve"> H2 ima oblik javno-privatnog partnerstva za istraživanja i inovacije u području tehnologije </w:t>
      </w:r>
      <w:proofErr w:type="spellStart"/>
      <w:r w:rsidRPr="000C67B3">
        <w:t>gorivnih</w:t>
      </w:r>
      <w:proofErr w:type="spellEnd"/>
      <w:r w:rsidRPr="000C67B3">
        <w:t xml:space="preserve"> članaka i vodika; budući da članove osnivače čine Europska unija, koju predstavlja Komisija, te sektorsko udruženje (</w:t>
      </w:r>
      <w:proofErr w:type="spellStart"/>
      <w:r w:rsidRPr="000C67B3">
        <w:t>Hydrogen</w:t>
      </w:r>
      <w:proofErr w:type="spellEnd"/>
      <w:r w:rsidRPr="000C67B3">
        <w:t xml:space="preserve"> Europe) i istraživačko udruženje (</w:t>
      </w:r>
      <w:proofErr w:type="spellStart"/>
      <w:r w:rsidRPr="000C67B3">
        <w:t>Hydrogen</w:t>
      </w:r>
      <w:proofErr w:type="spellEnd"/>
      <w:r w:rsidRPr="000C67B3">
        <w:t xml:space="preserve"> Europe Research);</w:t>
      </w:r>
    </w:p>
    <w:p w:rsidR="00FA718F" w:rsidRPr="000C67B3" w:rsidRDefault="00FA718F" w:rsidP="00FA718F">
      <w:pPr>
        <w:pStyle w:val="NormalHanging12a"/>
      </w:pPr>
      <w:r w:rsidRPr="000C67B3">
        <w:t>C.</w:t>
      </w:r>
      <w:r w:rsidRPr="000C67B3">
        <w:tab/>
        <w:t xml:space="preserve">budući da bi Zajedničko poduzeće </w:t>
      </w:r>
      <w:proofErr w:type="spellStart"/>
      <w:r w:rsidRPr="000C67B3">
        <w:t>Clean</w:t>
      </w:r>
      <w:proofErr w:type="spellEnd"/>
      <w:r w:rsidRPr="000C67B3">
        <w:t xml:space="preserve"> H2, kako bi se povećala transparentnost, trebalo u svojoj godišnjoj računovodstvenoj dokumentaciji objavljivati relevantne informacije o doprinosima članova na razini programa; budući da bi Zajedničko poduzeće </w:t>
      </w:r>
      <w:proofErr w:type="spellStart"/>
      <w:r w:rsidRPr="000C67B3">
        <w:t>Clean</w:t>
      </w:r>
      <w:proofErr w:type="spellEnd"/>
      <w:r w:rsidRPr="000C67B3">
        <w:t xml:space="preserve"> H2 za svaki program u okviru kojeg djeluje trebalo iznijeti sve relevantne informacije za svaku kategoriju člana zaključno s krajem godine, uključujući zakonske ciljne vrijednosti doprinosa utvrđene za predmetni program, iznos primljenih doprinosa i iznos pravnih obveza; predlaže da Zajedničko poduzeće </w:t>
      </w:r>
      <w:proofErr w:type="spellStart"/>
      <w:r w:rsidRPr="000C67B3">
        <w:t>Clean</w:t>
      </w:r>
      <w:proofErr w:type="spellEnd"/>
      <w:r w:rsidRPr="000C67B3">
        <w:t xml:space="preserve"> H2 nastavi poboljšavati transparentnost;</w:t>
      </w:r>
    </w:p>
    <w:p w:rsidR="00FA718F" w:rsidRPr="000C67B3" w:rsidRDefault="00FA718F" w:rsidP="00FA718F">
      <w:pPr>
        <w:spacing w:after="240"/>
        <w:ind w:left="567" w:hanging="567"/>
        <w:rPr>
          <w:b/>
          <w:i/>
        </w:rPr>
      </w:pPr>
      <w:r w:rsidRPr="000C67B3">
        <w:rPr>
          <w:b/>
          <w:i/>
        </w:rPr>
        <w:t>Upravljanje proračunom i financijama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1.</w:t>
      </w:r>
      <w:r w:rsidRPr="000C67B3">
        <w:tab/>
        <w:t xml:space="preserve">konstatira da se u izvješću Revizorskog suda o godišnjoj računovodstvenoj dokumentaciji Zajedničkog poduzeća </w:t>
      </w:r>
      <w:proofErr w:type="spellStart"/>
      <w:r w:rsidRPr="000C67B3">
        <w:t>Clean</w:t>
      </w:r>
      <w:proofErr w:type="spellEnd"/>
      <w:r w:rsidRPr="000C67B3">
        <w:t xml:space="preserve"> H2 za 2022. godinu („izvješće Revizorskog </w:t>
      </w:r>
      <w:r w:rsidRPr="000C67B3">
        <w:lastRenderedPageBreak/>
        <w:t xml:space="preserve">suda”) navodi da ona u svim relevantnim aspektima vjerno prikazuje financijsko stanje Zajedničkog poduzeća </w:t>
      </w:r>
      <w:proofErr w:type="spellStart"/>
      <w:r w:rsidRPr="000C67B3">
        <w:t>Clean</w:t>
      </w:r>
      <w:proofErr w:type="spellEnd"/>
      <w:r w:rsidRPr="000C67B3">
        <w:t xml:space="preserve"> H2 na dan 31. prosinca 2022. te rezultate poslovanja, novčane tokove i promjene u neto imovini za godinu završenu tim danom, u skladu s financijskom uredbom Zajedničkog poduzeća i računovodstvenim pravilima koja je usvojio računovodstveni službenik Komisije; konstatira nadalje na temelju izvješća Revizorskog suda da su transakcije povezane s godišnjom računovodstvenom dokumentacijom zakonite i pravilne u svim značajnim aspektima;</w:t>
      </w:r>
    </w:p>
    <w:p w:rsidR="00FA718F" w:rsidRPr="000C67B3" w:rsidRDefault="00FA718F" w:rsidP="00FA718F">
      <w:pPr>
        <w:pStyle w:val="NormalHanging12a"/>
      </w:pPr>
      <w:r w:rsidRPr="000C67B3">
        <w:t>2.</w:t>
      </w:r>
      <w:r w:rsidRPr="000C67B3">
        <w:tab/>
        <w:t xml:space="preserve">pozdravlja ulogu Zajedničkog poduzeća </w:t>
      </w:r>
      <w:proofErr w:type="spellStart"/>
      <w:r w:rsidRPr="000C67B3">
        <w:t>Clean</w:t>
      </w:r>
      <w:proofErr w:type="spellEnd"/>
      <w:r w:rsidRPr="000C67B3">
        <w:t xml:space="preserve"> H2 u podupiranju aktivnosti povezanih s istraživanjem i inovacijama u području tehnologija vodika u Europi;</w:t>
      </w:r>
    </w:p>
    <w:p w:rsidR="00FA718F" w:rsidRPr="000C67B3" w:rsidRDefault="00FA718F" w:rsidP="00FA718F">
      <w:pPr>
        <w:spacing w:after="240"/>
        <w:ind w:left="567" w:hanging="567"/>
        <w:rPr>
          <w:rFonts w:eastAsiaTheme="minorHAnsi"/>
          <w:szCs w:val="24"/>
        </w:rPr>
      </w:pPr>
      <w:r w:rsidRPr="000C67B3">
        <w:t>3.</w:t>
      </w:r>
      <w:r w:rsidRPr="000C67B3">
        <w:tab/>
        <w:t>prima na znanje da je raspoloživi proračun za 2022.</w:t>
      </w:r>
      <w:r w:rsidRPr="000C67B3">
        <w:rPr>
          <w:rStyle w:val="FootnoteReference"/>
        </w:rPr>
        <w:footnoteReference w:id="14"/>
      </w:r>
      <w:r w:rsidRPr="000C67B3">
        <w:t xml:space="preserve"> u odobrenim sredstvima za preuzimanje obveza</w:t>
      </w:r>
      <w:r w:rsidRPr="000C67B3">
        <w:rPr>
          <w:rStyle w:val="FootnoteReference"/>
        </w:rPr>
        <w:footnoteReference w:id="15"/>
      </w:r>
      <w:r w:rsidRPr="000C67B3">
        <w:t xml:space="preserve"> iznosio 314,3 milijuna EUR (u odnosu na 15,8 milijuna EUR 2021.), od čega je 305,8 milijuna EUR bilo za operativne aktivnosti i 8 milijuna EUR za administrativne rashode, te je u odobrenim sredstvima za plaćanje</w:t>
      </w:r>
      <w:r w:rsidRPr="000C67B3">
        <w:rPr>
          <w:rStyle w:val="FootnoteReference"/>
        </w:rPr>
        <w:footnoteReference w:id="16"/>
      </w:r>
      <w:r w:rsidRPr="000C67B3">
        <w:t xml:space="preserve"> iznosio 118,3 milijuna EUR (u odnosu na 56,2 milijuna EUR 2021.), od čega je 109,7 milijuna EUR bilo za operativne aktivnosti i 8,1 milijun EUR za administrativne rashode;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4.</w:t>
      </w:r>
      <w:r w:rsidRPr="000C67B3">
        <w:tab/>
        <w:t xml:space="preserve">primjećuje da izmjene u veličini proračuna Zajedničkog poduzeća </w:t>
      </w:r>
      <w:proofErr w:type="spellStart"/>
      <w:r w:rsidRPr="000C67B3">
        <w:t>Clean</w:t>
      </w:r>
      <w:proofErr w:type="spellEnd"/>
      <w:r w:rsidRPr="000C67B3">
        <w:t xml:space="preserve"> H2 uvelike ovise o fazi provedbe višegodišnjih programa za istraživanja i inovacije koje ono provodi; konstatira da je 2022. Zajedničko poduzeće </w:t>
      </w:r>
      <w:proofErr w:type="spellStart"/>
      <w:r w:rsidRPr="000C67B3">
        <w:t>Clean</w:t>
      </w:r>
      <w:proofErr w:type="spellEnd"/>
      <w:r w:rsidRPr="000C67B3">
        <w:t xml:space="preserve"> H2 započelo s provedbom programa Obzor Europa te stoga proračun za 2022. uključuje proračun za preuzimanje obveza za prve pozive na podnošenje prijedloga u okviru programa Obzor Europa planirane za 2022. te proračun za plaćanja za povezana plaćanja u okviru </w:t>
      </w:r>
      <w:proofErr w:type="spellStart"/>
      <w:r w:rsidRPr="000C67B3">
        <w:t>pretfinanciranja</w:t>
      </w:r>
      <w:proofErr w:type="spellEnd"/>
      <w:r w:rsidRPr="000C67B3">
        <w:t>;</w:t>
      </w:r>
    </w:p>
    <w:p w:rsidR="00FA718F" w:rsidRPr="000C67B3" w:rsidRDefault="00FA718F" w:rsidP="00FA718F">
      <w:pPr>
        <w:pStyle w:val="NormalHanging12a"/>
      </w:pPr>
      <w:r w:rsidRPr="000C67B3">
        <w:t>5.</w:t>
      </w:r>
      <w:r w:rsidRPr="000C67B3">
        <w:tab/>
        <w:t xml:space="preserve">konstatira da Revizorski sud smatra da su informacije o doprinosu članova na razini programa nedostatne; pozdravlja predanost Zajedničkog poduzeća </w:t>
      </w:r>
      <w:proofErr w:type="spellStart"/>
      <w:r w:rsidRPr="000C67B3">
        <w:t>Clean</w:t>
      </w:r>
      <w:proofErr w:type="spellEnd"/>
      <w:r w:rsidRPr="000C67B3">
        <w:t xml:space="preserve"> H2 rješavanju tog pitanja;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6.</w:t>
      </w:r>
      <w:r w:rsidRPr="000C67B3">
        <w:tab/>
        <w:t xml:space="preserve">konstatira da u godišnjoj računovodstvenoj dokumentaciji Zajedničkog poduzeća </w:t>
      </w:r>
      <w:proofErr w:type="spellStart"/>
      <w:r w:rsidRPr="000C67B3">
        <w:t>Clean</w:t>
      </w:r>
      <w:proofErr w:type="spellEnd"/>
      <w:r w:rsidRPr="000C67B3">
        <w:t xml:space="preserve"> H2 za 2022. postoje znatne razlike u iznosima doprinosa priznatih po kategoriji člana (EU i privatni članovi); primjećuje da je tomu uzrok činjenica da se novčani doprinosi Unije potvrđuju i priznaju pri njihovu plaćanju Zajedničkom poduzeću </w:t>
      </w:r>
      <w:proofErr w:type="spellStart"/>
      <w:r w:rsidRPr="000C67B3">
        <w:t>Clean</w:t>
      </w:r>
      <w:proofErr w:type="spellEnd"/>
      <w:r w:rsidRPr="000C67B3">
        <w:t> H2 na početku provedbe projekta, dok se doprinosi u naravi članova priznaju tek nakon potvrde nastalih i prijavljenih troškova provedbe projekta;</w:t>
      </w:r>
    </w:p>
    <w:p w:rsidR="00FA718F" w:rsidRPr="000C67B3" w:rsidRDefault="00FA718F" w:rsidP="00FA718F">
      <w:pPr>
        <w:pStyle w:val="NormalHanging12a"/>
      </w:pPr>
      <w:r w:rsidRPr="000C67B3">
        <w:t>7.</w:t>
      </w:r>
      <w:r w:rsidRPr="000C67B3">
        <w:tab/>
        <w:t xml:space="preserve">poziva Zajedničko poduzeće </w:t>
      </w:r>
      <w:proofErr w:type="spellStart"/>
      <w:r w:rsidRPr="000C67B3">
        <w:t>Clean</w:t>
      </w:r>
      <w:proofErr w:type="spellEnd"/>
      <w:r w:rsidRPr="000C67B3">
        <w:t xml:space="preserve"> H2 da se pozabavi razlikom između priznatog iznosa novčanih doprinosa s jedne te doprinosa u naravi s druge strane iznošenjem informacija o pravnim obvezama Zajedničkog poduzeća </w:t>
      </w:r>
      <w:proofErr w:type="spellStart"/>
      <w:r w:rsidRPr="000C67B3">
        <w:t>Clean</w:t>
      </w:r>
      <w:proofErr w:type="spellEnd"/>
      <w:r w:rsidRPr="000C67B3">
        <w:t xml:space="preserve"> H2 na kraju godine u </w:t>
      </w:r>
      <w:r w:rsidRPr="000C67B3">
        <w:lastRenderedPageBreak/>
        <w:t>smislu sklopljenih sporazuma o dodjeli bespovratnih sredstava i ugovora;</w:t>
      </w:r>
    </w:p>
    <w:p w:rsidR="00FA718F" w:rsidRPr="000C67B3" w:rsidRDefault="00FA718F" w:rsidP="00FA718F">
      <w:pPr>
        <w:pStyle w:val="NormalHanging12a"/>
      </w:pPr>
      <w:r w:rsidRPr="000C67B3">
        <w:t>8.</w:t>
      </w:r>
      <w:r w:rsidRPr="000C67B3">
        <w:tab/>
        <w:t xml:space="preserve">pozdravlja činjenicu da je u pogledu provedbe Sedmog okvirnog programa za istraživanja Zajedničko poduzeće </w:t>
      </w:r>
      <w:proofErr w:type="spellStart"/>
      <w:r w:rsidRPr="000C67B3">
        <w:t>Clean</w:t>
      </w:r>
      <w:proofErr w:type="spellEnd"/>
      <w:r w:rsidRPr="000C67B3">
        <w:t xml:space="preserve"> H2 ostvarilo ciljne vrijednosti doprinosa članova;</w:t>
      </w:r>
    </w:p>
    <w:p w:rsidR="00FA718F" w:rsidRPr="000C67B3" w:rsidRDefault="00FA718F" w:rsidP="00FA718F">
      <w:pPr>
        <w:spacing w:after="240"/>
        <w:ind w:left="567" w:hanging="567"/>
        <w:rPr>
          <w:rFonts w:eastAsiaTheme="minorHAnsi"/>
          <w:szCs w:val="24"/>
        </w:rPr>
      </w:pPr>
      <w:r w:rsidRPr="000C67B3">
        <w:t>9.</w:t>
      </w:r>
      <w:r w:rsidRPr="000C67B3">
        <w:tab/>
        <w:t xml:space="preserve">konstatira da je na kraju 2022. Zajedničko poduzeće </w:t>
      </w:r>
      <w:proofErr w:type="spellStart"/>
      <w:r w:rsidRPr="000C67B3">
        <w:t>Clean</w:t>
      </w:r>
      <w:proofErr w:type="spellEnd"/>
      <w:r w:rsidRPr="000C67B3">
        <w:t xml:space="preserve"> H2 preuzelo obveze u iznosu od 425,8 milijuna EUR (ili 95 %) maksimalnog operativnog doprinosa EU-a od 450 milijuna EUR za sklopljene sporazume o dodjeli bespovratnih sredstava u okviru Sedmog okvirnog programa za istraživanja; primjećuje da od tog iznosa preuzetih obveza treba isplatiti još oko 3 milijuna eura (ili 0,7 %) tijekom 2023. za zaključenje posljednjeg projekta u okviru Sedmog okvirnog programa za istraživanja čija je provedba u tijeku; osim toga konstatira da su na kraju 2022. privatni članovi prijavili doprinose u naravi na razini minimalne ciljne vrijednosti od 450 milijuna eura, koje je Zajedničko poduzeće </w:t>
      </w:r>
      <w:proofErr w:type="spellStart"/>
      <w:r w:rsidRPr="000C67B3">
        <w:t>Clean</w:t>
      </w:r>
      <w:proofErr w:type="spellEnd"/>
      <w:r w:rsidRPr="000C67B3">
        <w:t xml:space="preserve"> H2 u potpunosti potvrdilo;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10.</w:t>
      </w:r>
      <w:r w:rsidRPr="000C67B3">
        <w:tab/>
        <w:t xml:space="preserve">primjećuje da je, u pogledu programa Obzor 2020., iznos potvrđenih doprinosa u naravi koje su privatni članovi izdvojili za operativne aktivnosti ostao na niskoj razini od 51,7 milijuna EUR (2021.: 38,6 milijuna EUR) jer Zajedničko poduzeće </w:t>
      </w:r>
      <w:proofErr w:type="spellStart"/>
      <w:r w:rsidRPr="000C67B3">
        <w:t>Clean</w:t>
      </w:r>
      <w:proofErr w:type="spellEnd"/>
      <w:r w:rsidRPr="000C67B3">
        <w:t xml:space="preserve"> H2 te doprinose potvrđuje poslije, u trenutku završnih plaćanja za projekte u okviru programa Obzor 2020. i isteka roka za dostavu potvrda o financijskim izvještajima;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11.</w:t>
      </w:r>
      <w:r w:rsidRPr="000C67B3">
        <w:tab/>
        <w:t>iz izvješća Revizorskog suda konstatira da su pravne obveze članova na razini njihovih ciljnih vrijednosti doprinosa;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12.</w:t>
      </w:r>
      <w:r w:rsidRPr="000C67B3">
        <w:tab/>
        <w:t xml:space="preserve">napominje da je, kad je riječ o postignućima Zajedničkog poduzeća </w:t>
      </w:r>
      <w:proofErr w:type="spellStart"/>
      <w:r w:rsidRPr="000C67B3">
        <w:t>Clean</w:t>
      </w:r>
      <w:proofErr w:type="spellEnd"/>
      <w:r w:rsidRPr="000C67B3">
        <w:t xml:space="preserve"> H2 u okviru programa Obzor 2020., u pogledu potpisanih sporazuma i ugovora o dodjeli bespovratnih sredstava Zajedničko poduzeće </w:t>
      </w:r>
      <w:proofErr w:type="spellStart"/>
      <w:r w:rsidRPr="000C67B3">
        <w:t>Clean</w:t>
      </w:r>
      <w:proofErr w:type="spellEnd"/>
      <w:r w:rsidRPr="000C67B3">
        <w:t xml:space="preserve"> H2 na kraju 2022. u potpunosti preuzelo obveze za maksimalni operativni doprinos Unije u iznosu od 646 milijuna EUR za potpisane sporazume i ugovore o dodjeli bespovratnih sredstava u okviru tog programa; osim toga, primjećuje da je od iznosa preuzetih obveza preostalo otprilike 88,5 milijuna EUR (ili 13,7 %) za isplatu u narednim godinama za projekte i ugovore koji još nisu dovršeni;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13.</w:t>
      </w:r>
      <w:r w:rsidRPr="000C67B3">
        <w:tab/>
        <w:t xml:space="preserve">povrh toga primjećuje da su se privatni članovi pravno obvezali da će osigurati doprinose u naravi za operativne aktivnosti Zajedničkog poduzeća </w:t>
      </w:r>
      <w:proofErr w:type="spellStart"/>
      <w:r w:rsidRPr="000C67B3">
        <w:t>Clean</w:t>
      </w:r>
      <w:proofErr w:type="spellEnd"/>
      <w:r w:rsidRPr="000C67B3">
        <w:t xml:space="preserve"> H2 u iznosu od 190,5 milijuna EUR te doprinose u naravi za dodatne aktivnosti u iznosu od 1 039 milijuna EUR, odnosno 340,6 % minimalne ciljne vrijednosti koja iznosi 361 milijun EUR; konstatira da su iznosi tih odobrenih obveza krajem 2022. bili u potpunosti prijavljeni;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14.</w:t>
      </w:r>
      <w:r w:rsidRPr="000C67B3">
        <w:tab/>
        <w:t xml:space="preserve">konstatira da, kad je riječ o aktivnostima u okviru programa Obzor 2020., Zajedničko poduzeće </w:t>
      </w:r>
      <w:proofErr w:type="spellStart"/>
      <w:r w:rsidRPr="000C67B3">
        <w:t>Clean</w:t>
      </w:r>
      <w:proofErr w:type="spellEnd"/>
      <w:r w:rsidRPr="000C67B3">
        <w:t xml:space="preserve"> H2 nije primilo nova operativna odobrena sredstva za preuzimanje obveza jer je svoje posljednje pozive na podnošenje prijedloga zaključilo do kraja 2020.;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15.</w:t>
      </w:r>
      <w:r w:rsidRPr="000C67B3">
        <w:tab/>
        <w:t xml:space="preserve">prima na znanje, iz izvješća Revizorskog suda, da su se proračunska operativna plaćanja za aktivnosti u okviru programa Obzor 2020. za 2022. smanjila (81 % za 2022. u odnosu na 88 % za 2021.) jer su se korisnici zbog krize prouzročene bolešću COVID-19 i ratne agresije na Ukrajinu suočili s povećanim troškovima i problemima u pogledu isporuke te da se, kao posljedica toga, trajanje većine projekata u okviru programa </w:t>
      </w:r>
      <w:r w:rsidRPr="000C67B3">
        <w:lastRenderedPageBreak/>
        <w:t>Obzor 2020. moralo produljiti, a završna plaćanja odgoditi za 2023. godinu;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16.</w:t>
      </w:r>
      <w:r w:rsidRPr="000C67B3">
        <w:tab/>
        <w:t xml:space="preserve">primjećuje da je, kad je riječ o programu Obzor Europa, Komisija tijekom 2022. uplatila novčane doprinose u iznosu od 80 milijuna EUR, od čega je Zajedničko poduzeće </w:t>
      </w:r>
      <w:proofErr w:type="spellStart"/>
      <w:r w:rsidRPr="000C67B3">
        <w:t>Clean</w:t>
      </w:r>
      <w:proofErr w:type="spellEnd"/>
      <w:r w:rsidRPr="000C67B3">
        <w:t xml:space="preserve"> H2 iskoristilo 47 milijuna EUR (ili 59 %) za plaćanja </w:t>
      </w:r>
      <w:proofErr w:type="spellStart"/>
      <w:r w:rsidRPr="000C67B3">
        <w:t>pretfinanciranja</w:t>
      </w:r>
      <w:proofErr w:type="spellEnd"/>
      <w:r w:rsidRPr="000C67B3">
        <w:t xml:space="preserve"> povezana s prvim sporazumima o dodjeli bespovratnih sredstava sklopljenima u okviru programa Obzor Europa;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17.</w:t>
      </w:r>
      <w:r w:rsidRPr="000C67B3">
        <w:tab/>
        <w:t xml:space="preserve">napominje da je Zajedničko poduzeće </w:t>
      </w:r>
      <w:proofErr w:type="spellStart"/>
      <w:r w:rsidR="00845288">
        <w:t>Clean</w:t>
      </w:r>
      <w:proofErr w:type="spellEnd"/>
      <w:r w:rsidR="00845288">
        <w:t xml:space="preserve"> H2</w:t>
      </w:r>
      <w:r w:rsidRPr="000C67B3">
        <w:t xml:space="preserve"> objavilo prvi poziv na podnošenje prijedloga za vodik u okviru programa Obzor Europa, ukupne vrijednosti 300 milijuna EUR; primjećuje da je evaluacija poziva na podnošenje prijedloga za 2022. dovela do povlačenja četiriju tema za koje nisu bili podneseni prikladni prijedlozi</w:t>
      </w:r>
      <w:r w:rsidRPr="000C67B3">
        <w:rPr>
          <w:rStyle w:val="FootnoteReference"/>
        </w:rPr>
        <w:footnoteReference w:id="17"/>
      </w:r>
      <w:r w:rsidRPr="000C67B3">
        <w:t xml:space="preserve">; konstatira da je Zajedničko poduzeće </w:t>
      </w:r>
      <w:proofErr w:type="spellStart"/>
      <w:r w:rsidRPr="000C67B3">
        <w:t>Clean</w:t>
      </w:r>
      <w:proofErr w:type="spellEnd"/>
      <w:r w:rsidRPr="000C67B3">
        <w:t xml:space="preserve"> H2 prenijelo neiskorišteni proračun za plaćanja u iznosu od 33 milijuna EUR u 2023., i to za plaćanja </w:t>
      </w:r>
      <w:proofErr w:type="spellStart"/>
      <w:r w:rsidRPr="000C67B3">
        <w:t>pretfinanciranja</w:t>
      </w:r>
      <w:proofErr w:type="spellEnd"/>
      <w:r w:rsidRPr="000C67B3">
        <w:t xml:space="preserve"> u vezi s novim sporazumima o dodjeli bespovratnih sredstava, čije se sklapanje planiralo za početak 2023. godine;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18.</w:t>
      </w:r>
      <w:r w:rsidRPr="000C67B3">
        <w:tab/>
        <w:t xml:space="preserve">iz izvješća Revizorskog suda primjećuje da su krajem 2022. stope izvršenja administrativnog proračuna (glava II.) bile niske, pri čemu je stopa izvršenja za odobrena sredstva za preuzimanje obveza iznosila 62 %, a za odobrena sredstva za plaćanje 51 %; konstatira da je Zajedničko poduzeće </w:t>
      </w:r>
      <w:proofErr w:type="spellStart"/>
      <w:r w:rsidRPr="000C67B3">
        <w:t>Clean</w:t>
      </w:r>
      <w:proofErr w:type="spellEnd"/>
      <w:r w:rsidRPr="000C67B3">
        <w:t xml:space="preserve"> H2 objasnilo da je to bila posljedica obustava plaćanja u vezi s održavanjem europskog tjedna vodika, odgođene javne nabave u vezi s obnovom uredske zgrade i zakašnjelog zaključenja važnog okvirnog ugovora za usluge;</w:t>
      </w:r>
    </w:p>
    <w:p w:rsidR="00FA718F" w:rsidRPr="000C67B3" w:rsidRDefault="00FA718F" w:rsidP="00FA718F">
      <w:pPr>
        <w:spacing w:after="240"/>
        <w:ind w:left="720" w:hanging="720"/>
        <w:rPr>
          <w:b/>
          <w:i/>
        </w:rPr>
      </w:pPr>
      <w:r w:rsidRPr="000C67B3">
        <w:rPr>
          <w:b/>
          <w:i/>
        </w:rPr>
        <w:t>Javna nabava i osoblje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19.</w:t>
      </w:r>
      <w:r w:rsidRPr="000C67B3">
        <w:tab/>
        <w:t xml:space="preserve">iz konsolidiranog godišnjeg izvješća o radu konstatira da je 2022., nastavljajući s praksom Zajedničkog poduzeća </w:t>
      </w:r>
      <w:proofErr w:type="spellStart"/>
      <w:r w:rsidRPr="000C67B3">
        <w:t>Clean</w:t>
      </w:r>
      <w:proofErr w:type="spellEnd"/>
      <w:r w:rsidRPr="000C67B3">
        <w:t xml:space="preserve"> H2 tijekom proteklih godina, upravljanje natječajima i ugovorima uključivalo </w:t>
      </w:r>
      <w:proofErr w:type="spellStart"/>
      <w:r w:rsidRPr="000C67B3">
        <w:t>međuinstitucijske</w:t>
      </w:r>
      <w:proofErr w:type="spellEnd"/>
      <w:r w:rsidRPr="000C67B3">
        <w:t xml:space="preserve"> postupke javne nabave koje su pokrenuli Komisija ili druga tijela EU-a i višegodišnje okvirne ugovore koji iz toga proizlaze; nadalje, prima na znanje da Zajedničko poduzeće </w:t>
      </w:r>
      <w:proofErr w:type="spellStart"/>
      <w:r w:rsidRPr="000C67B3">
        <w:t>Clean</w:t>
      </w:r>
      <w:proofErr w:type="spellEnd"/>
      <w:r w:rsidRPr="000C67B3">
        <w:t xml:space="preserve"> H2 surađuje i s drugim zajedničkim poduzećima u pogledu potreba za javnom nabavom kako bi se administrativni napori sveli na najmanju moguću mjeru;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20.</w:t>
      </w:r>
      <w:r w:rsidRPr="000C67B3">
        <w:tab/>
        <w:t xml:space="preserve">primjećuje da se Zajedničko poduzeće </w:t>
      </w:r>
      <w:proofErr w:type="spellStart"/>
      <w:r w:rsidRPr="000C67B3">
        <w:t>Clean</w:t>
      </w:r>
      <w:proofErr w:type="spellEnd"/>
      <w:r w:rsidRPr="000C67B3">
        <w:t xml:space="preserve"> H2 intenzivno koristi modulima </w:t>
      </w:r>
      <w:proofErr w:type="spellStart"/>
      <w:r w:rsidRPr="000C67B3">
        <w:t>eTendering</w:t>
      </w:r>
      <w:proofErr w:type="spellEnd"/>
      <w:r w:rsidRPr="000C67B3">
        <w:t xml:space="preserve">, </w:t>
      </w:r>
      <w:proofErr w:type="spellStart"/>
      <w:r w:rsidRPr="000C67B3">
        <w:t>eNotices</w:t>
      </w:r>
      <w:proofErr w:type="spellEnd"/>
      <w:r w:rsidRPr="000C67B3">
        <w:t xml:space="preserve"> i </w:t>
      </w:r>
      <w:proofErr w:type="spellStart"/>
      <w:r w:rsidRPr="000C67B3">
        <w:t>eSubmission</w:t>
      </w:r>
      <w:proofErr w:type="spellEnd"/>
      <w:r w:rsidRPr="000C67B3">
        <w:t xml:space="preserve"> te da je započelo postupak integracije alata za upravljanje javnom nabavom (PPMT), koji će biti u funkciji 2023.;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21.</w:t>
      </w:r>
      <w:r w:rsidRPr="000C67B3">
        <w:tab/>
        <w:t xml:space="preserve">konstatira da se tim statutarnog osoblja Zajedničkog poduzeća </w:t>
      </w:r>
      <w:proofErr w:type="spellStart"/>
      <w:r w:rsidRPr="000C67B3">
        <w:t>Clean</w:t>
      </w:r>
      <w:proofErr w:type="spellEnd"/>
      <w:r w:rsidRPr="000C67B3">
        <w:t xml:space="preserve"> H2 sastoji od 29 radnih mjesta (27 članova privremenog osoblja i dva člana ugovornog osoblja); osim toga, napominje da osoblje uključuje dva upućena nacionalna stručnjaka;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22.</w:t>
      </w:r>
      <w:r w:rsidRPr="000C67B3">
        <w:tab/>
        <w:t xml:space="preserve">iz konsolidiranog godišnjeg izvješća o radu za 2022. prima na znanje da se digitalno radno mjesto za svakog člana osoblja stalno modernizira: osoblju Zajedničkog poduzeća </w:t>
      </w:r>
      <w:proofErr w:type="spellStart"/>
      <w:r w:rsidRPr="000C67B3">
        <w:t>Clean</w:t>
      </w:r>
      <w:proofErr w:type="spellEnd"/>
      <w:r w:rsidRPr="000C67B3">
        <w:t xml:space="preserve"> H2 osiguran je odgovarajući pristup cijelom skupu aplikacija Komisije za upravljanje bespovratnim sredstvima; obnova hardvera provedena je kako je planirano zajedno s potrebnom obnovom dozvole za ključne aplikacije kao što su </w:t>
      </w:r>
      <w:proofErr w:type="spellStart"/>
      <w:r w:rsidRPr="000C67B3">
        <w:t>Slido</w:t>
      </w:r>
      <w:proofErr w:type="spellEnd"/>
      <w:r w:rsidRPr="000C67B3">
        <w:t xml:space="preserve">, </w:t>
      </w:r>
      <w:proofErr w:type="spellStart"/>
      <w:r w:rsidRPr="000C67B3">
        <w:t>Webex</w:t>
      </w:r>
      <w:proofErr w:type="spellEnd"/>
      <w:r w:rsidRPr="000C67B3">
        <w:t xml:space="preserve">, </w:t>
      </w:r>
      <w:r w:rsidRPr="000C67B3">
        <w:lastRenderedPageBreak/>
        <w:t xml:space="preserve">Business </w:t>
      </w:r>
      <w:proofErr w:type="spellStart"/>
      <w:r w:rsidRPr="000C67B3">
        <w:t>Object</w:t>
      </w:r>
      <w:proofErr w:type="spellEnd"/>
      <w:r w:rsidRPr="000C67B3">
        <w:t>, Adobe ili mobilna telefonija, čime je svakom članu osoblja omogućena veća fleksibilnost u okviru novog programa rada na daljinu;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23.</w:t>
      </w:r>
      <w:r w:rsidRPr="000C67B3">
        <w:tab/>
        <w:t>konstatira da bi, u skladu s Pravilnikom o osoblju za dužnosnike Europske unije i Uvjetima zaposlenja ostalih službenika Europske unije, utvrđenima u Uredbi Vijeća (EEZ, Euratom, EZUČ) br. 259/68</w:t>
      </w:r>
      <w:r w:rsidRPr="000C67B3">
        <w:rPr>
          <w:rStyle w:val="FootnoteReference"/>
        </w:rPr>
        <w:footnoteReference w:id="18"/>
      </w:r>
      <w:r w:rsidRPr="000C67B3">
        <w:t xml:space="preserve"> i smjernicama Zajedničkog poduzeća </w:t>
      </w:r>
      <w:proofErr w:type="spellStart"/>
      <w:r w:rsidRPr="000C67B3">
        <w:t>Clean</w:t>
      </w:r>
      <w:proofErr w:type="spellEnd"/>
      <w:r w:rsidRPr="000C67B3">
        <w:t xml:space="preserve"> H2, odbor osoblja trebao imenovati barem jednog člana u odbor za odabir za vanjske postupke zapošljavanja; prima na znanje da je Revizorski sud utvrdio da odbor za odabir za revidirani postupak zapošljavanja nije uključivao člana kojeg je imenovao odbor osoblja te da Zajedničko poduzeće </w:t>
      </w:r>
      <w:proofErr w:type="spellStart"/>
      <w:r w:rsidRPr="000C67B3">
        <w:t>Clean</w:t>
      </w:r>
      <w:proofErr w:type="spellEnd"/>
      <w:r w:rsidRPr="000C67B3">
        <w:t xml:space="preserve"> H2 nije moglo osnovati odbor osoblja unatoč tome što je među svojim osobljem objavilo nekoliko poziva na iskazivanje interesa;</w:t>
      </w:r>
    </w:p>
    <w:p w:rsidR="00FA718F" w:rsidRPr="000C67B3" w:rsidRDefault="00FA718F" w:rsidP="00FA718F">
      <w:pPr>
        <w:spacing w:after="240"/>
        <w:ind w:left="720" w:hanging="720"/>
        <w:rPr>
          <w:b/>
          <w:i/>
        </w:rPr>
      </w:pPr>
      <w:r w:rsidRPr="000C67B3">
        <w:rPr>
          <w:b/>
          <w:i/>
        </w:rPr>
        <w:t>Sustavi upravljanja i kontrole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24.</w:t>
      </w:r>
      <w:r w:rsidRPr="000C67B3">
        <w:tab/>
        <w:t xml:space="preserve">napominje da je Zajedničko poduzeće </w:t>
      </w:r>
      <w:proofErr w:type="spellStart"/>
      <w:r w:rsidRPr="000C67B3">
        <w:t>Clean</w:t>
      </w:r>
      <w:proofErr w:type="spellEnd"/>
      <w:r w:rsidRPr="000C67B3">
        <w:t xml:space="preserve"> H2 za rashode Sedmog okvirnog programa za istraživanja provelo </w:t>
      </w:r>
      <w:r w:rsidRPr="000C67B3">
        <w:rPr>
          <w:i/>
          <w:iCs/>
        </w:rPr>
        <w:t>ex post</w:t>
      </w:r>
      <w:r w:rsidRPr="000C67B3">
        <w:t xml:space="preserve"> revizije, dok je Zajednička služba za reviziju koja djeluje u sklopu Glavne uprave Komisije za istraživanje i inovacije bila odgovorna za </w:t>
      </w:r>
      <w:r w:rsidRPr="000C67B3">
        <w:rPr>
          <w:i/>
          <w:iCs/>
        </w:rPr>
        <w:t>ex post</w:t>
      </w:r>
      <w:r w:rsidRPr="000C67B3">
        <w:t xml:space="preserve"> revizije rashoda programa Obzor 2020. i Obzor Europa; osim toga, konstatira da Zajedničko poduzeće </w:t>
      </w:r>
      <w:proofErr w:type="spellStart"/>
      <w:r w:rsidRPr="000C67B3">
        <w:t>Clean</w:t>
      </w:r>
      <w:proofErr w:type="spellEnd"/>
      <w:r w:rsidRPr="000C67B3">
        <w:t xml:space="preserve"> H2 za konačne rashode Sedmog okvirnog programa za istraživanja nastale 2022. nije provelo </w:t>
      </w:r>
      <w:r w:rsidRPr="000C67B3">
        <w:rPr>
          <w:i/>
          <w:iCs/>
        </w:rPr>
        <w:t>ex post</w:t>
      </w:r>
      <w:r w:rsidRPr="000C67B3">
        <w:t xml:space="preserve"> revizije zbog neznatnih iznosa te da je stoga kao konačne stope pogreške za rashode Sedmog okvirnog programa za istraživanja objavilo reprezentativnu stopu pogreške od 2,0 % i stopu preostale pogreške od 1,1 % koju je ostvarilo na kraju 2021.;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25.</w:t>
      </w:r>
      <w:r w:rsidRPr="000C67B3">
        <w:tab/>
        <w:t xml:space="preserve">konstatira da je za rashode u okviru svojeg programa Obzor 2020. (poravnanja i završna plaćanja) Zajedničko poduzeće </w:t>
      </w:r>
      <w:proofErr w:type="spellStart"/>
      <w:r w:rsidRPr="000C67B3">
        <w:t>Clean</w:t>
      </w:r>
      <w:proofErr w:type="spellEnd"/>
      <w:r w:rsidRPr="000C67B3">
        <w:t xml:space="preserve"> H2 prijavilo reprezentativnu stopu pogreške od 2,9 % i stopu preostale pogreške od 0,9 %</w:t>
      </w:r>
      <w:r w:rsidRPr="000C67B3">
        <w:rPr>
          <w:rStyle w:val="FootnoteReference"/>
        </w:rPr>
        <w:footnoteReference w:id="19"/>
      </w:r>
      <w:r w:rsidRPr="000C67B3">
        <w:t xml:space="preserve">; osim toga konstatira da za program Obzor Europa </w:t>
      </w:r>
      <w:r w:rsidRPr="000C67B3">
        <w:rPr>
          <w:i/>
          <w:iCs/>
        </w:rPr>
        <w:t>ex post</w:t>
      </w:r>
      <w:r w:rsidRPr="000C67B3">
        <w:t xml:space="preserve"> revizije nisu provedene jer se prva </w:t>
      </w:r>
      <w:proofErr w:type="spellStart"/>
      <w:r w:rsidRPr="000C67B3">
        <w:t>međuplaćanja</w:t>
      </w:r>
      <w:proofErr w:type="spellEnd"/>
      <w:r w:rsidRPr="000C67B3">
        <w:t xml:space="preserve"> očekuju tek 2024. godine;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26.</w:t>
      </w:r>
      <w:r w:rsidRPr="000C67B3">
        <w:tab/>
        <w:t xml:space="preserve">napominje da je Revizorski sud radi procjene kontrola Zajedničkog poduzeća </w:t>
      </w:r>
      <w:proofErr w:type="spellStart"/>
      <w:r w:rsidRPr="000C67B3">
        <w:t>Clean</w:t>
      </w:r>
      <w:proofErr w:type="spellEnd"/>
      <w:r w:rsidRPr="000C67B3">
        <w:t xml:space="preserve"> H2 u pogledu operativnih plaćanja proveo reviziju nasumično odabranih plaćanja u okviru programa Obzor 2020. izvršenih 2022. na razini krajnjih korisnika</w:t>
      </w:r>
      <w:r w:rsidRPr="000C67B3">
        <w:rPr>
          <w:rStyle w:val="FootnoteReference"/>
        </w:rPr>
        <w:footnoteReference w:id="20"/>
      </w:r>
      <w:r w:rsidRPr="000C67B3">
        <w:t>; primjećuje da je u jednom slučaju Revizorski sud utvrdio i kvantificirao ozbiljnu pogrešku koja proizlazi iz troškova za osoblje jer je korisnik prijavio sate odrađene tijekom razdoblja godišnjeg odmora i uključio neprihvatljive dodatne troškove plaća u prijavljene troškove, a u drugom je slučaju Revizorski sud utvrdio i kvantificirao ozbiljnu pogrešku koja proizlazi iz prijavljenih troškova za opremu koju korisnik nije upotrijebio tijekom izvještajnog razdoblja te iz nepravilno izračunanih troškova za osoblje;</w:t>
      </w:r>
    </w:p>
    <w:p w:rsidR="00FA718F" w:rsidRPr="000C67B3" w:rsidRDefault="00FA718F" w:rsidP="00FA718F">
      <w:pPr>
        <w:pStyle w:val="NormalHanging12a"/>
      </w:pPr>
      <w:r w:rsidRPr="000C67B3">
        <w:t>27.</w:t>
      </w:r>
      <w:r w:rsidRPr="000C67B3">
        <w:tab/>
        <w:t xml:space="preserve">pozdravlja činjenicu da je Zajedničko poduzeće </w:t>
      </w:r>
      <w:proofErr w:type="spellStart"/>
      <w:r w:rsidRPr="000C67B3">
        <w:t>Clean</w:t>
      </w:r>
      <w:proofErr w:type="spellEnd"/>
      <w:r w:rsidRPr="000C67B3">
        <w:t xml:space="preserve"> H2 do kraja 2022. osmislilo i primijenilo cjelovit pristup </w:t>
      </w:r>
      <w:r w:rsidRPr="000C67B3">
        <w:rPr>
          <w:i/>
          <w:iCs/>
        </w:rPr>
        <w:t>ex </w:t>
      </w:r>
      <w:proofErr w:type="spellStart"/>
      <w:r w:rsidRPr="000C67B3">
        <w:rPr>
          <w:i/>
          <w:iCs/>
        </w:rPr>
        <w:t>ante</w:t>
      </w:r>
      <w:proofErr w:type="spellEnd"/>
      <w:r w:rsidRPr="000C67B3">
        <w:t xml:space="preserve"> kontrolama koji se temelji na riziku i koji je u skladu sa smjernicama Komisijine Zajedničke službe za reviziju, uzimajući u obzir rizične </w:t>
      </w:r>
      <w:r w:rsidRPr="000C67B3">
        <w:lastRenderedPageBreak/>
        <w:t xml:space="preserve">okolnosti specifične za Zajedničko poduzeće </w:t>
      </w:r>
      <w:proofErr w:type="spellStart"/>
      <w:r w:rsidRPr="000C67B3">
        <w:t>Clean</w:t>
      </w:r>
      <w:proofErr w:type="spellEnd"/>
      <w:r w:rsidRPr="000C67B3">
        <w:t xml:space="preserve"> H2; napominje da je Zajedničko poduzeće </w:t>
      </w:r>
      <w:proofErr w:type="spellStart"/>
      <w:r w:rsidRPr="000C67B3">
        <w:t>Clean</w:t>
      </w:r>
      <w:proofErr w:type="spellEnd"/>
      <w:r w:rsidRPr="000C67B3">
        <w:t xml:space="preserve"> H2 u tu svrhu uspjelo utvrditi najrelevantnije kriterije rizika te je na temelju njih osmislilo pristup praćenju koji se temelji na riziku;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28.</w:t>
      </w:r>
      <w:r w:rsidRPr="000C67B3">
        <w:tab/>
        <w:t xml:space="preserve">primjećuje da je takav pristup Zajedničkom poduzeću </w:t>
      </w:r>
      <w:proofErr w:type="spellStart"/>
      <w:r w:rsidRPr="000C67B3">
        <w:t>Clean</w:t>
      </w:r>
      <w:proofErr w:type="spellEnd"/>
      <w:r w:rsidRPr="000C67B3">
        <w:t xml:space="preserve"> H2 omogućio da procijeni razinu rizika svakog projekta i korisnika tijekom glavnih faza provedbe projekta, kao što su priprema sporazuma o dodjeli bespovratnih sredstava, izmjena tog sporazuma, izvješćivanje i plaćanje; u tom pogledu napominje da je Zajedničko poduzeće </w:t>
      </w:r>
      <w:proofErr w:type="spellStart"/>
      <w:r w:rsidRPr="000C67B3">
        <w:t>Clean</w:t>
      </w:r>
      <w:proofErr w:type="spellEnd"/>
      <w:r w:rsidRPr="000C67B3">
        <w:t xml:space="preserve"> H2 izradilo i interne smjernice o svojem pristupu koji se temelji na riziku te je obučilo i usmjeravalo svoje članove osoblja u vezi s njegovom pravilnom i dosljednom primjenom;</w:t>
      </w:r>
    </w:p>
    <w:p w:rsidR="00FA718F" w:rsidRPr="000C67B3" w:rsidRDefault="00FA718F" w:rsidP="00FA718F">
      <w:pPr>
        <w:pStyle w:val="NormalHanging12a"/>
      </w:pPr>
      <w:r w:rsidRPr="000C67B3">
        <w:t>29.</w:t>
      </w:r>
      <w:r w:rsidRPr="000C67B3">
        <w:tab/>
        <w:t xml:space="preserve">pozdravlja činjenicu da je Zajedničko poduzeće </w:t>
      </w:r>
      <w:proofErr w:type="spellStart"/>
      <w:r w:rsidRPr="000C67B3">
        <w:t>Clean</w:t>
      </w:r>
      <w:proofErr w:type="spellEnd"/>
      <w:r w:rsidRPr="000C67B3">
        <w:t xml:space="preserve"> H2 osmislilo pristup </w:t>
      </w:r>
      <w:r w:rsidRPr="000C67B3">
        <w:rPr>
          <w:i/>
          <w:iCs/>
        </w:rPr>
        <w:t>ex post</w:t>
      </w:r>
      <w:r w:rsidRPr="000C67B3">
        <w:t xml:space="preserve"> reviziji koji se temelji na riziku kako bi smanjilo svoju stopu pogreške povećanjem „učinka čišćenja” svojih </w:t>
      </w:r>
      <w:r w:rsidRPr="000C67B3">
        <w:rPr>
          <w:i/>
          <w:iCs/>
        </w:rPr>
        <w:t>ex post</w:t>
      </w:r>
      <w:r w:rsidRPr="000C67B3">
        <w:t xml:space="preserve"> revizija;</w:t>
      </w:r>
    </w:p>
    <w:p w:rsidR="00FA718F" w:rsidRPr="000C67B3" w:rsidRDefault="00FA718F" w:rsidP="00FA718F">
      <w:pPr>
        <w:pStyle w:val="NormalHanging12a"/>
      </w:pPr>
      <w:r w:rsidRPr="000C67B3">
        <w:t>30.</w:t>
      </w:r>
      <w:r w:rsidRPr="000C67B3">
        <w:tab/>
        <w:t xml:space="preserve">iz izvješća Revizorskog suda prima na znanje da je Zajedničko poduzeće </w:t>
      </w:r>
      <w:proofErr w:type="spellStart"/>
      <w:r w:rsidRPr="000C67B3">
        <w:t>Clean</w:t>
      </w:r>
      <w:proofErr w:type="spellEnd"/>
      <w:r w:rsidRPr="000C67B3">
        <w:t xml:space="preserve"> H2 osmislilo prilagođen pristup utemeljen na riziku kako bi učvrstilo jamstvo koje dobiva </w:t>
      </w:r>
      <w:r w:rsidRPr="000C67B3">
        <w:rPr>
          <w:i/>
          <w:iCs/>
        </w:rPr>
        <w:t>ex </w:t>
      </w:r>
      <w:proofErr w:type="spellStart"/>
      <w:r w:rsidRPr="000C67B3">
        <w:rPr>
          <w:i/>
          <w:iCs/>
        </w:rPr>
        <w:t>ante</w:t>
      </w:r>
      <w:proofErr w:type="spellEnd"/>
      <w:r w:rsidRPr="000C67B3">
        <w:t xml:space="preserve"> kontrolama i </w:t>
      </w:r>
      <w:r w:rsidRPr="000C67B3">
        <w:rPr>
          <w:i/>
          <w:iCs/>
        </w:rPr>
        <w:t>ex post</w:t>
      </w:r>
      <w:r w:rsidRPr="000C67B3">
        <w:t xml:space="preserve"> revizijama; početkom 2022. Zajedničko poduzeće </w:t>
      </w:r>
      <w:proofErr w:type="spellStart"/>
      <w:r w:rsidRPr="000C67B3">
        <w:t>Clean</w:t>
      </w:r>
      <w:proofErr w:type="spellEnd"/>
      <w:r w:rsidRPr="000C67B3">
        <w:t xml:space="preserve"> H2 analiziralo je cijeli statistički skup korisnika programa Obzor 2020. i označilo one najrizičnije u svrhu provedbe </w:t>
      </w:r>
      <w:r w:rsidRPr="000C67B3">
        <w:rPr>
          <w:i/>
          <w:iCs/>
        </w:rPr>
        <w:t>ex post</w:t>
      </w:r>
      <w:r w:rsidRPr="000C67B3">
        <w:t xml:space="preserve"> revizija koje se temelje na riziku; konstatira da su najrizičniji korisnici bili svi glavni korisnici za koje je iznos doprinosa Zajedničkog poduzeća </w:t>
      </w:r>
      <w:proofErr w:type="spellStart"/>
      <w:r w:rsidRPr="000C67B3">
        <w:t>Clean</w:t>
      </w:r>
      <w:proofErr w:type="spellEnd"/>
      <w:r w:rsidRPr="000C67B3">
        <w:t xml:space="preserve"> H2 premašio milijun eura na razini svih projekata u okviru programa Obzor 2020. kojima upravlja Zajedničko poduzeće </w:t>
      </w:r>
      <w:proofErr w:type="spellStart"/>
      <w:r w:rsidRPr="000C67B3">
        <w:t>Clean</w:t>
      </w:r>
      <w:proofErr w:type="spellEnd"/>
      <w:r w:rsidRPr="000C67B3">
        <w:t xml:space="preserve"> H2, korisnici koji nikad nisu bili obuhvaćeni </w:t>
      </w:r>
      <w:r w:rsidRPr="000C67B3">
        <w:rPr>
          <w:i/>
          <w:iCs/>
        </w:rPr>
        <w:t>ex post</w:t>
      </w:r>
      <w:r w:rsidRPr="000C67B3">
        <w:t xml:space="preserve"> revizijom i korisnici koji su imali profil rizičnosti malih i srednjih poduzeća ili novog korisnika; 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31.</w:t>
      </w:r>
      <w:r w:rsidRPr="000C67B3">
        <w:tab/>
        <w:t xml:space="preserve">konstatira da su ostali glavni korisnici pozvani da ispune kratak upitnik za </w:t>
      </w:r>
      <w:proofErr w:type="spellStart"/>
      <w:r w:rsidRPr="000C67B3">
        <w:t>samoprocjenu</w:t>
      </w:r>
      <w:proofErr w:type="spellEnd"/>
      <w:r w:rsidRPr="000C67B3">
        <w:t xml:space="preserve"> koji je bio usmjeren na najčešće pogreške otkrivene u prijašnjim </w:t>
      </w:r>
      <w:r w:rsidRPr="000C67B3">
        <w:rPr>
          <w:i/>
          <w:iCs/>
        </w:rPr>
        <w:t>ex post</w:t>
      </w:r>
      <w:r w:rsidRPr="000C67B3">
        <w:t xml:space="preserve"> revizijama, kao što su složenost odabrane opcije troškova za osoblje, znatno podugovaranje, kupnja imovine, unutarnja opskrba, metoda izvješćivanja o troškovima i provedba rezultata prethodnih </w:t>
      </w:r>
      <w:r w:rsidRPr="000C67B3">
        <w:rPr>
          <w:i/>
          <w:iCs/>
        </w:rPr>
        <w:t>ex post</w:t>
      </w:r>
      <w:r w:rsidRPr="000C67B3">
        <w:t xml:space="preserve"> revizija; napominje da je Zajedničko poduzeće </w:t>
      </w:r>
      <w:proofErr w:type="spellStart"/>
      <w:r w:rsidRPr="000C67B3">
        <w:t>Clean</w:t>
      </w:r>
      <w:proofErr w:type="spellEnd"/>
      <w:r w:rsidRPr="000C67B3">
        <w:t xml:space="preserve"> H2 na temelju njihovih odgovora utvrdilo glavne korisnike s visokim rizikom za </w:t>
      </w:r>
      <w:r w:rsidRPr="000C67B3">
        <w:rPr>
          <w:i/>
          <w:iCs/>
        </w:rPr>
        <w:t xml:space="preserve">ex </w:t>
      </w:r>
      <w:proofErr w:type="spellStart"/>
      <w:r w:rsidRPr="000C67B3">
        <w:rPr>
          <w:i/>
          <w:iCs/>
        </w:rPr>
        <w:t>ante</w:t>
      </w:r>
      <w:proofErr w:type="spellEnd"/>
      <w:r w:rsidRPr="000C67B3">
        <w:t xml:space="preserve"> kontrolu te je s njima održalo online financijske seminare, pri čemu je naglasak bio na ključnim značajkama pravilnog prijavljivanja troškova koji sadrže stavke sa znatnim troškovima; nadalje konstatira da su projektni i financijski službenici Zajedničkog poduzeća </w:t>
      </w:r>
      <w:proofErr w:type="spellStart"/>
      <w:r w:rsidRPr="000C67B3">
        <w:t>Clean</w:t>
      </w:r>
      <w:proofErr w:type="spellEnd"/>
      <w:r w:rsidRPr="000C67B3">
        <w:t xml:space="preserve"> H2 iskoristili rezultate tih online seminara kako bi poboljšali djelotvornost njegovih </w:t>
      </w:r>
      <w:r w:rsidRPr="000C67B3">
        <w:rPr>
          <w:i/>
          <w:iCs/>
        </w:rPr>
        <w:t>ex </w:t>
      </w:r>
      <w:proofErr w:type="spellStart"/>
      <w:r w:rsidRPr="000C67B3">
        <w:rPr>
          <w:i/>
          <w:iCs/>
        </w:rPr>
        <w:t>ante</w:t>
      </w:r>
      <w:proofErr w:type="spellEnd"/>
      <w:r w:rsidRPr="000C67B3">
        <w:t xml:space="preserve"> kontrola za predstojeće prijave troškova tih glavnih korisnika (faza plaćanja);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32.</w:t>
      </w:r>
      <w:r w:rsidRPr="000C67B3">
        <w:tab/>
        <w:t xml:space="preserve">cijeni činjenicu da je Zajedničko poduzeće </w:t>
      </w:r>
      <w:proofErr w:type="spellStart"/>
      <w:r w:rsidRPr="000C67B3">
        <w:t>Clean</w:t>
      </w:r>
      <w:proofErr w:type="spellEnd"/>
      <w:r w:rsidRPr="000C67B3">
        <w:t xml:space="preserve"> H2 osmislilo pristup </w:t>
      </w:r>
      <w:r w:rsidRPr="000C67B3">
        <w:rPr>
          <w:i/>
          <w:iCs/>
        </w:rPr>
        <w:t xml:space="preserve">ex post </w:t>
      </w:r>
      <w:r w:rsidRPr="000C67B3">
        <w:t xml:space="preserve">reviziji utemeljen na riziku radi smanjenja svoje stope pogreške usmjerenijim uzorkom kako bi se otkrili korisnici koji su najizloženiji pogreškama i time povećao „učinak čišćenja” </w:t>
      </w:r>
      <w:r w:rsidRPr="000C67B3">
        <w:rPr>
          <w:i/>
          <w:iCs/>
        </w:rPr>
        <w:t>ex post</w:t>
      </w:r>
      <w:r w:rsidRPr="000C67B3">
        <w:t xml:space="preserve"> revizija; smatra da je to važna pozitivna promjena u pristupu </w:t>
      </w:r>
      <w:r w:rsidRPr="000C67B3">
        <w:rPr>
          <w:i/>
          <w:iCs/>
        </w:rPr>
        <w:t>ex post</w:t>
      </w:r>
      <w:r w:rsidRPr="000C67B3">
        <w:t xml:space="preserve"> revizijama jer okvir unutarnje kontrole Komisije za bespovratna sredstva u okviru programa Obzor Europa ne omogućuje utvrđivanje reprezentativnih uzoraka Zajedničkog poduzeća, a time ni izračun specifičnih reprezentativnih stopa pogreške i stopa preostale pogreške za zajednička poduzeća;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33.</w:t>
      </w:r>
      <w:r w:rsidRPr="000C67B3">
        <w:tab/>
        <w:t xml:space="preserve">konstatira da je Revizorski sud utvrdio da zajednička poduzeća koja primjenjuju razrađen pristup </w:t>
      </w:r>
      <w:r w:rsidRPr="000C67B3">
        <w:rPr>
          <w:i/>
          <w:iCs/>
        </w:rPr>
        <w:t xml:space="preserve">ex post </w:t>
      </w:r>
      <w:r w:rsidRPr="000C67B3">
        <w:t xml:space="preserve">revizijama koji se temelji na riziku imaju stopu preostale </w:t>
      </w:r>
      <w:r w:rsidRPr="000C67B3">
        <w:lastRenderedPageBreak/>
        <w:t>pogreške koja je ispod prosjeka zajedničkih poduzeća koja nisu primijenila takav pristup, i to zbog sustavnog utvrđivanja najrizičnijih korisnika i obavljanja revizija nad njima;</w:t>
      </w:r>
    </w:p>
    <w:p w:rsidR="00FA718F" w:rsidRPr="000C67B3" w:rsidRDefault="00FA718F" w:rsidP="00FA718F">
      <w:pPr>
        <w:spacing w:after="240"/>
        <w:rPr>
          <w:b/>
          <w:i/>
        </w:rPr>
      </w:pPr>
      <w:r w:rsidRPr="000C67B3">
        <w:rPr>
          <w:b/>
          <w:i/>
        </w:rPr>
        <w:t>Praćenje mjera poduzetih u pogledu opažanja iz prijašnjih godina</w:t>
      </w:r>
    </w:p>
    <w:p w:rsidR="00FA718F" w:rsidRPr="000C67B3" w:rsidRDefault="00FA718F" w:rsidP="00FA718F">
      <w:pPr>
        <w:spacing w:after="240"/>
        <w:ind w:left="567" w:hanging="567"/>
      </w:pPr>
      <w:r w:rsidRPr="000C67B3">
        <w:t>34.</w:t>
      </w:r>
      <w:r w:rsidRPr="000C67B3">
        <w:tab/>
        <w:t xml:space="preserve">napominje da su „opažanja” u godišnjim izvješćima za Zajedničko poduzeće </w:t>
      </w:r>
      <w:proofErr w:type="spellStart"/>
      <w:r w:rsidRPr="000C67B3">
        <w:t>Clean</w:t>
      </w:r>
      <w:proofErr w:type="spellEnd"/>
      <w:r w:rsidRPr="000C67B3">
        <w:t xml:space="preserve"> H2 zapravo „preporuke Revizorskog suda bez vremenskih rokova”; napominje da Revizorski sud svake godine poprati ta opažanja procjenom njihova statusa kao „otvorenih” ili „zatvorenih”;</w:t>
      </w:r>
    </w:p>
    <w:p w:rsidR="00FA718F" w:rsidRPr="000C67B3" w:rsidRDefault="00FA718F" w:rsidP="000C67B3">
      <w:pPr>
        <w:ind w:left="567" w:hanging="567"/>
      </w:pPr>
      <w:r w:rsidRPr="000C67B3">
        <w:t>35.</w:t>
      </w:r>
      <w:r w:rsidRPr="000C67B3">
        <w:tab/>
        <w:t xml:space="preserve">konstatira da su za Zajedničko poduzeće </w:t>
      </w:r>
      <w:proofErr w:type="spellStart"/>
      <w:r w:rsidRPr="000C67B3">
        <w:t>Clean</w:t>
      </w:r>
      <w:proofErr w:type="spellEnd"/>
      <w:r w:rsidRPr="000C67B3">
        <w:t xml:space="preserve"> H2 zaključena sva opažanja iz prijašnjih godina zbog korektivnih mjera koje je Zajedničko poduzeće </w:t>
      </w:r>
      <w:proofErr w:type="spellStart"/>
      <w:r w:rsidRPr="000C67B3">
        <w:t>Clean</w:t>
      </w:r>
      <w:proofErr w:type="spellEnd"/>
      <w:r w:rsidRPr="000C67B3">
        <w:t xml:space="preserve"> H2 poduzelo tijekom 2022. godine.</w:t>
      </w:r>
    </w:p>
    <w:sectPr w:rsidR="00FA718F" w:rsidRPr="000C67B3" w:rsidSect="00810D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94C" w:rsidRPr="00810D9B" w:rsidRDefault="0029194C">
      <w:r w:rsidRPr="00810D9B">
        <w:separator/>
      </w:r>
    </w:p>
  </w:endnote>
  <w:endnote w:type="continuationSeparator" w:id="0">
    <w:p w:rsidR="0029194C" w:rsidRPr="00810D9B" w:rsidRDefault="0029194C">
      <w:r w:rsidRPr="00810D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18F" w:rsidRPr="00810D9B" w:rsidRDefault="00FA718F" w:rsidP="00362DF9">
    <w:pPr>
      <w:pStyle w:val="EPFooter"/>
    </w:pPr>
    <w:r w:rsidRPr="00810D9B">
      <w:t>PE</w:t>
    </w:r>
    <w:r w:rsidRPr="00810D9B">
      <w:rPr>
        <w:rStyle w:val="HideTWBExt"/>
      </w:rPr>
      <w:t>&lt;</w:t>
    </w:r>
    <w:proofErr w:type="spellStart"/>
    <w:r w:rsidRPr="00810D9B">
      <w:rPr>
        <w:rStyle w:val="HideTWBExt"/>
      </w:rPr>
      <w:t>NoPE</w:t>
    </w:r>
    <w:proofErr w:type="spellEnd"/>
    <w:r w:rsidRPr="00810D9B">
      <w:rPr>
        <w:rStyle w:val="HideTWBExt"/>
      </w:rPr>
      <w:t>&gt;</w:t>
    </w:r>
    <w:r w:rsidRPr="00810D9B">
      <w:t>753.490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NoPE</w:t>
    </w:r>
    <w:proofErr w:type="spellEnd"/>
    <w:r w:rsidRPr="00810D9B">
      <w:rPr>
        <w:rStyle w:val="HideTWBExt"/>
      </w:rPr>
      <w:t>&gt;&lt;Version&gt;</w:t>
    </w:r>
    <w:r w:rsidRPr="00810D9B">
      <w:t>v02-00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Version</w:t>
    </w:r>
    <w:proofErr w:type="spellEnd"/>
    <w:r w:rsidRPr="00810D9B">
      <w:rPr>
        <w:rStyle w:val="HideTWBExt"/>
      </w:rPr>
      <w:t>&gt;</w:t>
    </w:r>
    <w:r w:rsidRPr="00810D9B">
      <w:tab/>
    </w:r>
    <w:r w:rsidRPr="00810D9B">
      <w:fldChar w:fldCharType="begin"/>
    </w:r>
    <w:r w:rsidRPr="00810D9B">
      <w:instrText xml:space="preserve"> PAGE  \* MERGEFORMAT </w:instrText>
    </w:r>
    <w:r w:rsidRPr="00810D9B">
      <w:fldChar w:fldCharType="separate"/>
    </w:r>
    <w:r w:rsidR="00810D9B" w:rsidRPr="00810D9B">
      <w:rPr>
        <w:noProof/>
      </w:rPr>
      <w:t>2</w:t>
    </w:r>
    <w:r w:rsidRPr="00810D9B">
      <w:fldChar w:fldCharType="end"/>
    </w:r>
    <w:r w:rsidRPr="00810D9B">
      <w:t>/</w:t>
    </w:r>
    <w:r w:rsidR="008A3C44">
      <w:fldChar w:fldCharType="begin"/>
    </w:r>
    <w:r w:rsidR="008A3C44">
      <w:instrText xml:space="preserve"> NUMPAGES  \* MERGEFOR</w:instrText>
    </w:r>
    <w:r w:rsidR="008A3C44">
      <w:instrText xml:space="preserve">MAT </w:instrText>
    </w:r>
    <w:r w:rsidR="008A3C44">
      <w:fldChar w:fldCharType="separate"/>
    </w:r>
    <w:r w:rsidR="00810D9B" w:rsidRPr="00810D9B">
      <w:rPr>
        <w:noProof/>
      </w:rPr>
      <w:t>4</w:t>
    </w:r>
    <w:r w:rsidR="008A3C44">
      <w:rPr>
        <w:noProof/>
      </w:rPr>
      <w:fldChar w:fldCharType="end"/>
    </w:r>
    <w:r w:rsidRPr="00810D9B">
      <w:tab/>
    </w:r>
    <w:r w:rsidRPr="00810D9B">
      <w:rPr>
        <w:rStyle w:val="HideTWBExt"/>
      </w:rPr>
      <w:t>&lt;PathFdR&gt;</w:t>
    </w:r>
    <w:r w:rsidRPr="00810D9B">
      <w:t>RR\1298721HR.docx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PathFdR</w:t>
    </w:r>
    <w:proofErr w:type="spellEnd"/>
    <w:r w:rsidRPr="00810D9B">
      <w:rPr>
        <w:rStyle w:val="HideTWBExt"/>
      </w:rPr>
      <w:t>&gt;</w:t>
    </w:r>
  </w:p>
  <w:p w:rsidR="00FA718F" w:rsidRPr="00810D9B" w:rsidRDefault="00FA718F" w:rsidP="00362DF9">
    <w:pPr>
      <w:pStyle w:val="EPFooter2"/>
    </w:pPr>
    <w:r w:rsidRPr="00810D9B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18F" w:rsidRPr="00810D9B" w:rsidRDefault="00FA718F" w:rsidP="00362DF9">
    <w:pPr>
      <w:pStyle w:val="EPFooter"/>
    </w:pPr>
    <w:r w:rsidRPr="00810D9B">
      <w:rPr>
        <w:rStyle w:val="HideTWBExt"/>
      </w:rPr>
      <w:t>&lt;PathFdR&gt;</w:t>
    </w:r>
    <w:r w:rsidRPr="00810D9B">
      <w:t>RR\1298721HR.docx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PathFdR</w:t>
    </w:r>
    <w:proofErr w:type="spellEnd"/>
    <w:r w:rsidRPr="00810D9B">
      <w:rPr>
        <w:rStyle w:val="HideTWBExt"/>
      </w:rPr>
      <w:t>&gt;</w:t>
    </w:r>
    <w:r w:rsidRPr="00810D9B">
      <w:tab/>
    </w:r>
    <w:r w:rsidRPr="00810D9B">
      <w:tab/>
      <w:t>PE</w:t>
    </w:r>
    <w:r w:rsidRPr="00810D9B">
      <w:rPr>
        <w:rStyle w:val="HideTWBExt"/>
      </w:rPr>
      <w:t>&lt;</w:t>
    </w:r>
    <w:proofErr w:type="spellStart"/>
    <w:r w:rsidRPr="00810D9B">
      <w:rPr>
        <w:rStyle w:val="HideTWBExt"/>
      </w:rPr>
      <w:t>NoPE</w:t>
    </w:r>
    <w:proofErr w:type="spellEnd"/>
    <w:r w:rsidRPr="00810D9B">
      <w:rPr>
        <w:rStyle w:val="HideTWBExt"/>
      </w:rPr>
      <w:t>&gt;</w:t>
    </w:r>
    <w:r w:rsidRPr="00810D9B">
      <w:t>753.490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NoPE</w:t>
    </w:r>
    <w:proofErr w:type="spellEnd"/>
    <w:r w:rsidRPr="00810D9B">
      <w:rPr>
        <w:rStyle w:val="HideTWBExt"/>
      </w:rPr>
      <w:t>&gt;&lt;Version&gt;</w:t>
    </w:r>
    <w:r w:rsidRPr="00810D9B">
      <w:t>v02-00</w:t>
    </w:r>
    <w:r w:rsidRPr="00810D9B">
      <w:rPr>
        <w:rStyle w:val="HideTWBExt"/>
      </w:rPr>
      <w:t>&lt;/</w:t>
    </w:r>
    <w:proofErr w:type="spellStart"/>
    <w:r w:rsidRPr="00810D9B">
      <w:rPr>
        <w:rStyle w:val="HideTWBExt"/>
      </w:rPr>
      <w:t>Version</w:t>
    </w:r>
    <w:proofErr w:type="spellEnd"/>
    <w:r w:rsidRPr="00810D9B">
      <w:rPr>
        <w:rStyle w:val="HideTWBExt"/>
      </w:rPr>
      <w:t>&gt;</w:t>
    </w:r>
  </w:p>
  <w:p w:rsidR="00FA718F" w:rsidRPr="00810D9B" w:rsidRDefault="00FA718F" w:rsidP="00362DF9">
    <w:pPr>
      <w:pStyle w:val="EPFooter2"/>
    </w:pPr>
    <w:r w:rsidRPr="00810D9B">
      <w:t>HR</w:t>
    </w:r>
    <w:r w:rsidRPr="00810D9B">
      <w:tab/>
    </w:r>
    <w:r w:rsidRPr="00810D9B">
      <w:rPr>
        <w:b w:val="0"/>
        <w:i/>
        <w:color w:val="C0C0C0"/>
        <w:sz w:val="22"/>
      </w:rPr>
      <w:t>Ujedinjena u raznolikosti</w:t>
    </w:r>
    <w:r w:rsidRPr="00810D9B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94C" w:rsidRPr="00810D9B" w:rsidRDefault="0029194C">
      <w:r w:rsidRPr="00810D9B">
        <w:separator/>
      </w:r>
    </w:p>
  </w:footnote>
  <w:footnote w:type="continuationSeparator" w:id="0">
    <w:p w:rsidR="0029194C" w:rsidRPr="00810D9B" w:rsidRDefault="0029194C">
      <w:r w:rsidRPr="00810D9B">
        <w:continuationSeparator/>
      </w:r>
    </w:p>
  </w:footnote>
  <w:footnote w:id="1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C, C/2023/1025, 16.11.2023.</w:t>
      </w:r>
    </w:p>
  </w:footnote>
  <w:footnote w:id="2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C, C/2023/112, 12.10.2023.</w:t>
      </w:r>
    </w:p>
  </w:footnote>
  <w:footnote w:id="3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193, 30.7.2018., str. 1.</w:t>
      </w:r>
    </w:p>
  </w:footnote>
  <w:footnote w:id="4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427, 30.11.2021., str. 17.</w:t>
      </w:r>
    </w:p>
  </w:footnote>
  <w:footnote w:id="5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142, 29.5.2019., str. 16.</w:t>
      </w:r>
    </w:p>
  </w:footnote>
  <w:footnote w:id="6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C, C/2023/1025, 16.11.2023.</w:t>
      </w:r>
    </w:p>
  </w:footnote>
  <w:footnote w:id="7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C, C/2023/112, 12.10.2023.</w:t>
      </w:r>
    </w:p>
  </w:footnote>
  <w:footnote w:id="8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193, 30.7.2018., str. 1.</w:t>
      </w:r>
    </w:p>
  </w:footnote>
  <w:footnote w:id="9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427, 30.11.2021., str. 17.</w:t>
      </w:r>
    </w:p>
  </w:footnote>
  <w:footnote w:id="10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142, 29.5.2019., str. 16.</w:t>
      </w:r>
    </w:p>
  </w:footnote>
  <w:footnote w:id="11">
    <w:p w:rsidR="00FA718F" w:rsidRPr="00810D9B" w:rsidRDefault="00FA718F" w:rsidP="00810D9B">
      <w:pPr>
        <w:pStyle w:val="FootnoteText"/>
        <w:ind w:left="567" w:hanging="567"/>
        <w:rPr>
          <w:rFonts w:eastAsiaTheme="minorHAnsi"/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Uredba Vijeća (EU) 2021/2085 od 19. studenoga 2021. o osnivanju zajedničkih poduzeća u okviru programa Obzor Europa te o stavljanju izvan snage uredbi (EZ) br. 219/2007, (EU) br. 557/2014, (EU) br. 558/2014, (EU) br. 559/2014, (EU) br. 560/2014, (EU) br. 561/2014 i (EU) br. 642/2014 (SL L 427, 30.11.2021., str. 17.).</w:t>
      </w:r>
    </w:p>
  </w:footnote>
  <w:footnote w:id="12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Uredba Vijeća (EZ) br. 521/2008 od 30. svibnja 2008. o osnivanju zajedničkog poduzeća za gorive ćelije i vodik (SL L 153, 12.6.2008., str. 1.).</w:t>
      </w:r>
    </w:p>
  </w:footnote>
  <w:footnote w:id="13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 xml:space="preserve">Uredba Vijeća (EU) br. 559/2014 od 6. svibnja 2014. o osnivanju Zajedničkog poduzeća za </w:t>
      </w:r>
      <w:proofErr w:type="spellStart"/>
      <w:r w:rsidRPr="00810D9B">
        <w:rPr>
          <w:sz w:val="24"/>
          <w:lang w:val="hr-HR"/>
        </w:rPr>
        <w:t>gorivne</w:t>
      </w:r>
      <w:proofErr w:type="spellEnd"/>
      <w:r w:rsidRPr="00810D9B">
        <w:rPr>
          <w:sz w:val="24"/>
          <w:lang w:val="hr-HR"/>
        </w:rPr>
        <w:t xml:space="preserve"> članke i vodik 2 (SL L 169, 7.6.2014., str. 108.).</w:t>
      </w:r>
    </w:p>
  </w:footnote>
  <w:footnote w:id="14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 xml:space="preserve">Raspoloživi proračun uključuje neiskorištena odobrena sredstva iz prethodnih godina koja je Zajedničko poduzeće </w:t>
      </w:r>
      <w:proofErr w:type="spellStart"/>
      <w:r w:rsidRPr="00810D9B">
        <w:rPr>
          <w:sz w:val="24"/>
          <w:lang w:val="hr-HR"/>
        </w:rPr>
        <w:t>Clean</w:t>
      </w:r>
      <w:proofErr w:type="spellEnd"/>
      <w:r w:rsidRPr="00810D9B">
        <w:rPr>
          <w:sz w:val="24"/>
          <w:lang w:val="hr-HR"/>
        </w:rPr>
        <w:t xml:space="preserve"> H2 ponovno unijelo u proračun tekuće godine, namjenske prihode i sredstva preraspodijeljena u sljedeću godinu.</w:t>
      </w:r>
    </w:p>
  </w:footnote>
  <w:footnote w:id="15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Izglasana odobrena sredstva za preuzimanje obveza iznosila su 8,4 milijuna EUR te su naknadno izmijenjena kako bi se uključilo povećanje prihoda i rashoda povezanih s novim programom u okviru programa Obzor Europa i neiskorištena odobrena sredstva iz prethodnih godina.</w:t>
      </w:r>
    </w:p>
  </w:footnote>
  <w:footnote w:id="16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Izglasana odobrena sredstva za plaćanje iznosila su 53,2 milijuna EUR, a izmjenom je taj iznos povećan, kao rezultat novog programa i kako bi se obuhvatio planirani poziv na podnošenje prijedloga objavljen 2022., čiji je cilj provedba strateškog programa za istraživanja i inovacije.</w:t>
      </w:r>
    </w:p>
  </w:footnote>
  <w:footnote w:id="17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U skladu s pojašnjenjem Zajedničkog poduzeća „povlačenje tema” mora se shvatiti kao „</w:t>
      </w:r>
      <w:proofErr w:type="spellStart"/>
      <w:r w:rsidRPr="00810D9B">
        <w:rPr>
          <w:sz w:val="24"/>
          <w:lang w:val="hr-HR"/>
        </w:rPr>
        <w:t>neobuhvaćanje</w:t>
      </w:r>
      <w:proofErr w:type="spellEnd"/>
      <w:r w:rsidRPr="00810D9B">
        <w:rPr>
          <w:sz w:val="24"/>
          <w:lang w:val="hr-HR"/>
        </w:rPr>
        <w:t xml:space="preserve"> tema zbog nedostatka uspješnih prijava/prijedloga”.</w:t>
      </w:r>
    </w:p>
  </w:footnote>
  <w:footnote w:id="18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SL L 56, 4.3.1968., str. 1., ELI: http://data.europa.eu/eli/reg/1968/259(1)/oj.</w:t>
      </w:r>
    </w:p>
  </w:footnote>
  <w:footnote w:id="19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 xml:space="preserve">Konsolidirano godišnje izvješće o radu Zajedničkog poduzeća </w:t>
      </w:r>
      <w:proofErr w:type="spellStart"/>
      <w:r w:rsidRPr="00810D9B">
        <w:rPr>
          <w:sz w:val="24"/>
          <w:lang w:val="hr-HR"/>
        </w:rPr>
        <w:t>Clean</w:t>
      </w:r>
      <w:proofErr w:type="spellEnd"/>
      <w:r w:rsidRPr="00810D9B">
        <w:rPr>
          <w:sz w:val="24"/>
          <w:lang w:val="hr-HR"/>
        </w:rPr>
        <w:t> H2 za 2022., poglavlje 4.1.1.1.</w:t>
      </w:r>
    </w:p>
  </w:footnote>
  <w:footnote w:id="20">
    <w:p w:rsidR="00FA718F" w:rsidRPr="00810D9B" w:rsidRDefault="00FA718F" w:rsidP="00810D9B">
      <w:pPr>
        <w:pStyle w:val="FootnoteText"/>
        <w:ind w:left="567" w:hanging="567"/>
        <w:rPr>
          <w:sz w:val="24"/>
          <w:lang w:val="hr-HR"/>
        </w:rPr>
      </w:pPr>
      <w:r w:rsidRPr="00810D9B">
        <w:rPr>
          <w:rStyle w:val="FootnoteReference"/>
          <w:sz w:val="24"/>
          <w:lang w:val="hr-HR"/>
        </w:rPr>
        <w:footnoteRef/>
      </w:r>
      <w:r w:rsidR="00810D9B" w:rsidRPr="00810D9B">
        <w:rPr>
          <w:sz w:val="24"/>
          <w:lang w:val="hr-HR"/>
        </w:rPr>
        <w:t xml:space="preserve"> </w:t>
      </w:r>
      <w:r w:rsidR="00810D9B" w:rsidRPr="00810D9B">
        <w:rPr>
          <w:sz w:val="24"/>
          <w:lang w:val="hr-HR"/>
        </w:rPr>
        <w:tab/>
      </w:r>
      <w:r w:rsidRPr="00810D9B">
        <w:rPr>
          <w:sz w:val="24"/>
          <w:lang w:val="hr-HR"/>
        </w:rPr>
        <w:t>Kad je riječ o transakcijama isplate bespovratnih sredstava ispitanima na razini korisnika, prag za prijavljivanje mjerljivih pogrešaka iznosi 1 % troškova obuhvaćenih revizijom.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D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9/2024"/>
    <w:docVar w:name="dvlangue" w:val="HR"/>
    <w:docVar w:name="dvnumam" w:val="0"/>
    <w:docVar w:name="dvpe" w:val="753.490"/>
    <w:docVar w:name="dvrapporteur" w:val="Izvjestitelj: "/>
    <w:docVar w:name="dvtitre" w:val="Odluka Europskog parlamenta od .... 2024. o razrješnici za izvršenje proračuna Zajedničkog poduzeća za čisti vodik za financijsku godinu 2022.(2023/2175(DEC))"/>
  </w:docVars>
  <w:rsids>
    <w:rsidRoot w:val="0029194C"/>
    <w:rsid w:val="00002272"/>
    <w:rsid w:val="00064002"/>
    <w:rsid w:val="000677B9"/>
    <w:rsid w:val="000831BA"/>
    <w:rsid w:val="000A42CC"/>
    <w:rsid w:val="000C67B3"/>
    <w:rsid w:val="000E7DD9"/>
    <w:rsid w:val="0010095E"/>
    <w:rsid w:val="00125B37"/>
    <w:rsid w:val="00187494"/>
    <w:rsid w:val="001F32AE"/>
    <w:rsid w:val="002767FF"/>
    <w:rsid w:val="0029194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FA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D9B"/>
    <w:rsid w:val="00817416"/>
    <w:rsid w:val="00842779"/>
    <w:rsid w:val="00845288"/>
    <w:rsid w:val="00865F67"/>
    <w:rsid w:val="00881A7B"/>
    <w:rsid w:val="008840E5"/>
    <w:rsid w:val="00887B3E"/>
    <w:rsid w:val="008A3C4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18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18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85C40"/>
  <w15:chartTrackingRefBased/>
  <w15:docId w15:val="{A1E3A569-BBBA-447F-BCE4-AAA7BADD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A71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A718F"/>
    <w:pPr>
      <w:spacing w:before="480" w:after="240"/>
    </w:pPr>
  </w:style>
  <w:style w:type="paragraph" w:customStyle="1" w:styleId="PageHeading">
    <w:name w:val="PageHeading"/>
    <w:basedOn w:val="Normal"/>
    <w:rsid w:val="00FA71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A718F"/>
    <w:rPr>
      <w:b/>
    </w:rPr>
  </w:style>
  <w:style w:type="paragraph" w:customStyle="1" w:styleId="NormalHanging12a">
    <w:name w:val="NormalHanging12a"/>
    <w:basedOn w:val="Normal"/>
    <w:link w:val="NormalHanging12aChar"/>
    <w:rsid w:val="00FA718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A7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718F"/>
    <w:rPr>
      <w:sz w:val="24"/>
      <w:lang w:val="hr-HR"/>
    </w:rPr>
  </w:style>
  <w:style w:type="paragraph" w:customStyle="1" w:styleId="EPFooter">
    <w:name w:val="EPFooter"/>
    <w:basedOn w:val="Normal"/>
    <w:rsid w:val="00FA71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FA718F"/>
    <w:rPr>
      <w:sz w:val="24"/>
      <w:lang w:val="hr-HR"/>
    </w:rPr>
  </w:style>
  <w:style w:type="paragraph" w:styleId="Footer">
    <w:name w:val="footer"/>
    <w:basedOn w:val="Normal"/>
    <w:link w:val="FooterChar"/>
    <w:rsid w:val="000C67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67B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BC492-D652-4EA7-8D45-3611A868D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3437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2024-05-23T12:06:00Z</dcterms:created>
  <dcterms:modified xsi:type="dcterms:W3CDTF">2024-05-23T12:06:00Z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P9_TA(2024)0275_</vt:lpwstr>
  </property>
  <property fmtid="{D5CDD505-2E9C-101B-9397-08002B2CF9AE}" pid="4" name="&lt;Type&gt;">
    <vt:lpwstr>RR</vt:lpwstr>
  </property>
</Properties>
</file>