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B360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B3603" w:rsidRDefault="00BC695E" w:rsidP="0010095E">
            <w:pPr>
              <w:pStyle w:val="EPName"/>
            </w:pPr>
            <w:bookmarkStart w:id="0" w:name="_GoBack"/>
            <w:bookmarkEnd w:id="0"/>
            <w:r w:rsidRPr="005B3603">
              <w:t>Európai Parlament</w:t>
            </w:r>
          </w:p>
          <w:p w:rsidR="00751A4A" w:rsidRPr="005B360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B360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5B3603" w:rsidRDefault="00187494" w:rsidP="0010095E">
            <w:pPr>
              <w:pStyle w:val="EPLogo"/>
            </w:pPr>
            <w:r w:rsidRPr="005B3603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B3603" w:rsidRDefault="00D058B8" w:rsidP="004C5D52">
      <w:pPr>
        <w:pStyle w:val="LineTop"/>
      </w:pPr>
    </w:p>
    <w:p w:rsidR="00680577" w:rsidRPr="005B3603" w:rsidRDefault="00BC695E" w:rsidP="00680577">
      <w:pPr>
        <w:pStyle w:val="EPBodyTA1"/>
      </w:pPr>
      <w:r w:rsidRPr="005B3603">
        <w:t>ELFOGADOTT SZÖVEGEK</w:t>
      </w:r>
    </w:p>
    <w:p w:rsidR="00D058B8" w:rsidRPr="005B3603" w:rsidRDefault="00D058B8" w:rsidP="00D058B8">
      <w:pPr>
        <w:pStyle w:val="LineBottom"/>
      </w:pPr>
    </w:p>
    <w:p w:rsidR="00BC695E" w:rsidRPr="005B3603" w:rsidRDefault="00BC695E" w:rsidP="00BC695E">
      <w:pPr>
        <w:pStyle w:val="ATHeading1"/>
      </w:pPr>
      <w:bookmarkStart w:id="1" w:name="TANumber"/>
      <w:r w:rsidRPr="005B3603">
        <w:t>P9_TA(2024)0</w:t>
      </w:r>
      <w:r w:rsidR="00206130" w:rsidRPr="005B3603">
        <w:t>275</w:t>
      </w:r>
      <w:bookmarkEnd w:id="1"/>
    </w:p>
    <w:p w:rsidR="00BC695E" w:rsidRPr="005B3603" w:rsidRDefault="00B27439" w:rsidP="00BC695E">
      <w:pPr>
        <w:pStyle w:val="ATHeading2"/>
      </w:pPr>
      <w:r w:rsidRPr="005B3603">
        <w:rPr>
          <w:bCs/>
        </w:rPr>
        <w:t>2022. évi mentesítés: Tiszta Hidrogén Közös Vállalkozás</w:t>
      </w:r>
    </w:p>
    <w:p w:rsidR="00BC695E" w:rsidRPr="005B3603" w:rsidRDefault="00BC695E" w:rsidP="00BC695E">
      <w:pPr>
        <w:rPr>
          <w:i/>
          <w:vanish/>
        </w:rPr>
      </w:pPr>
      <w:r w:rsidRPr="005B3603">
        <w:rPr>
          <w:i/>
        </w:rPr>
        <w:fldChar w:fldCharType="begin"/>
      </w:r>
      <w:r w:rsidRPr="005B3603">
        <w:rPr>
          <w:i/>
        </w:rPr>
        <w:instrText xml:space="preserve"> TC"(</w:instrText>
      </w:r>
      <w:bookmarkStart w:id="2" w:name="DocNumber"/>
      <w:r w:rsidRPr="005B3603">
        <w:rPr>
          <w:i/>
        </w:rPr>
        <w:instrText>A9-0089/2024</w:instrText>
      </w:r>
      <w:bookmarkEnd w:id="2"/>
      <w:r w:rsidRPr="005B3603">
        <w:rPr>
          <w:i/>
        </w:rPr>
        <w:instrText xml:space="preserve"> - Előadó: Michal </w:instrText>
      </w:r>
      <w:proofErr w:type="spellStart"/>
      <w:r w:rsidRPr="005B3603">
        <w:rPr>
          <w:i/>
        </w:rPr>
        <w:instrText>Wiezik</w:instrText>
      </w:r>
      <w:proofErr w:type="spellEnd"/>
      <w:r w:rsidRPr="005B3603">
        <w:rPr>
          <w:i/>
        </w:rPr>
        <w:instrText xml:space="preserve">)"\l3 \n&gt; \* MERGEFORMAT </w:instrText>
      </w:r>
      <w:r w:rsidRPr="005B3603">
        <w:rPr>
          <w:i/>
        </w:rPr>
        <w:fldChar w:fldCharType="end"/>
      </w:r>
    </w:p>
    <w:p w:rsidR="00BC695E" w:rsidRPr="005B3603" w:rsidRDefault="00BC695E" w:rsidP="00BC695E">
      <w:pPr>
        <w:rPr>
          <w:vanish/>
        </w:rPr>
      </w:pPr>
      <w:bookmarkStart w:id="3" w:name="Commission"/>
      <w:r w:rsidRPr="005B3603">
        <w:rPr>
          <w:vanish/>
        </w:rPr>
        <w:t>Költségvetési Ellenőrző Bizottság</w:t>
      </w:r>
      <w:bookmarkEnd w:id="3"/>
    </w:p>
    <w:p w:rsidR="00BC695E" w:rsidRPr="005B3603" w:rsidRDefault="00BC695E" w:rsidP="00BC695E">
      <w:pPr>
        <w:rPr>
          <w:vanish/>
        </w:rPr>
      </w:pPr>
      <w:bookmarkStart w:id="4" w:name="PE"/>
      <w:r w:rsidRPr="005B3603">
        <w:rPr>
          <w:vanish/>
        </w:rPr>
        <w:t>PE753.490</w:t>
      </w:r>
      <w:bookmarkEnd w:id="4"/>
    </w:p>
    <w:p w:rsidR="00BC695E" w:rsidRPr="005B3603" w:rsidRDefault="00B27439" w:rsidP="00BC695E">
      <w:pPr>
        <w:pStyle w:val="ATHeading3"/>
      </w:pPr>
      <w:bookmarkStart w:id="5" w:name="Sujet"/>
      <w:r w:rsidRPr="005B3603">
        <w:t xml:space="preserve">1. </w:t>
      </w:r>
      <w:r w:rsidR="00BC695E" w:rsidRPr="005B3603">
        <w:t xml:space="preserve">Az Európai Parlament 2024. </w:t>
      </w:r>
      <w:r w:rsidRPr="005B3603">
        <w:t>április 11</w:t>
      </w:r>
      <w:r w:rsidR="00BC695E" w:rsidRPr="005B3603">
        <w:t>-i határozata a Tiszta Hidrogén Közös Vállalkozás 2022. évi pénzügyi évre szóló költségvetésének végrehajtására vonatkozó mentesítésről</w:t>
      </w:r>
      <w:bookmarkEnd w:id="5"/>
      <w:r w:rsidR="00BC695E" w:rsidRPr="005B3603">
        <w:t xml:space="preserve"> </w:t>
      </w:r>
      <w:bookmarkStart w:id="6" w:name="References"/>
      <w:r w:rsidR="00BC695E" w:rsidRPr="005B3603">
        <w:t>(2023/2175(DEC))</w:t>
      </w:r>
      <w:bookmarkEnd w:id="6"/>
    </w:p>
    <w:p w:rsidR="00B273EE" w:rsidRPr="005B3603" w:rsidRDefault="00B273EE" w:rsidP="00B273EE">
      <w:pPr>
        <w:pStyle w:val="EPComma"/>
      </w:pPr>
      <w:bookmarkStart w:id="7" w:name="TextBodyBegin"/>
      <w:bookmarkEnd w:id="7"/>
      <w:r w:rsidRPr="005B3603">
        <w:rPr>
          <w:i/>
        </w:rPr>
        <w:t>Az Európai Parlament</w:t>
      </w:r>
      <w:r w:rsidRPr="005B3603">
        <w:t>,</w:t>
      </w:r>
    </w:p>
    <w:p w:rsidR="00B273EE" w:rsidRPr="005B3603" w:rsidRDefault="00B273EE" w:rsidP="00B27439">
      <w:pPr>
        <w:pStyle w:val="NormalHanging12a"/>
        <w:widowControl/>
      </w:pPr>
      <w:r w:rsidRPr="005B3603">
        <w:t>–</w:t>
      </w:r>
      <w:r w:rsidRPr="005B3603">
        <w:tab/>
        <w:t>tekintettel a Tiszta Hidrogén Közös Vállalkozás 2022. évi pénzügyi évre szóló végleges éves beszámolójára,</w:t>
      </w:r>
    </w:p>
    <w:p w:rsidR="00B273EE" w:rsidRPr="005B3603" w:rsidRDefault="00B273EE" w:rsidP="00B27439">
      <w:pPr>
        <w:pStyle w:val="NormalHanging12a"/>
        <w:widowControl/>
      </w:pPr>
      <w:r w:rsidRPr="005B3603">
        <w:t>–</w:t>
      </w:r>
      <w:r w:rsidRPr="005B3603">
        <w:tab/>
      </w:r>
      <w:r w:rsidR="00955E20" w:rsidRPr="005B3603">
        <w:t>tekintettel a 2022. évi pénzügyi évre vonatkozóan az uniós ügynökségekről szóló éves számvevőszéki jelentésre az ügynökségek válaszaival együtt</w:t>
      </w:r>
      <w:r w:rsidRPr="005B3603">
        <w:rPr>
          <w:rStyle w:val="FootnoteReference"/>
        </w:rPr>
        <w:footnoteReference w:id="1"/>
      </w:r>
      <w:r w:rsidRPr="005B3603">
        <w:t>,</w:t>
      </w:r>
    </w:p>
    <w:p w:rsidR="00B273EE" w:rsidRPr="005B3603" w:rsidRDefault="00B273EE" w:rsidP="00B27439">
      <w:pPr>
        <w:pStyle w:val="NormalHanging12a"/>
        <w:widowControl/>
      </w:pPr>
      <w:r w:rsidRPr="005B3603">
        <w:t>–</w:t>
      </w:r>
      <w:r w:rsidRPr="005B3603">
        <w:tab/>
        <w:t xml:space="preserve">tekintettel a Számvevőszéknek a 2022. évi pénzügyi évre vonatkozóan az elszámolás megbízhatóságát, valamint az alapjául szolgáló ügyletek jogszerűségét és szabályszerűségét igazoló, az Európai Unió működéséről szóló szerződés 287. cikke szerinti </w:t>
      </w:r>
      <w:r w:rsidR="00955E20" w:rsidRPr="005B3603">
        <w:t xml:space="preserve">megbízhatósági </w:t>
      </w:r>
      <w:r w:rsidRPr="005B3603">
        <w:t>nyilatkozatára</w:t>
      </w:r>
      <w:r w:rsidRPr="005B3603">
        <w:rPr>
          <w:rStyle w:val="FootnoteReference"/>
        </w:rPr>
        <w:footnoteReference w:id="2"/>
      </w:r>
      <w:r w:rsidRPr="005B3603">
        <w:t>,</w:t>
      </w:r>
    </w:p>
    <w:p w:rsidR="00B273EE" w:rsidRPr="005B3603" w:rsidRDefault="00B273EE" w:rsidP="00B27439">
      <w:pPr>
        <w:pStyle w:val="NormalHanging12a"/>
        <w:widowControl/>
      </w:pPr>
      <w:r w:rsidRPr="005B3603">
        <w:t>–</w:t>
      </w:r>
      <w:r w:rsidRPr="005B3603">
        <w:tab/>
        <w:t>tekintettel a 2022. évi pénzügyi évre vonatkozó költségvetés végrehajtása tekintetében a közös vállalkozás számára adandó mentesítésről szóló, 2024. február 22-i tanácsi ajánlásra (</w:t>
      </w:r>
      <w:r w:rsidR="00955E20" w:rsidRPr="005B3603">
        <w:t>06182</w:t>
      </w:r>
      <w:r w:rsidRPr="005B3603">
        <w:t>/2024 – C9</w:t>
      </w:r>
      <w:r w:rsidRPr="005B3603">
        <w:noBreakHyphen/>
        <w:t>0</w:t>
      </w:r>
      <w:r w:rsidR="00955E20" w:rsidRPr="005B3603">
        <w:t>113</w:t>
      </w:r>
      <w:r w:rsidRPr="005B3603">
        <w:t>/2024),</w:t>
      </w:r>
    </w:p>
    <w:p w:rsidR="00B273EE" w:rsidRPr="005B3603" w:rsidRDefault="00B273EE" w:rsidP="00B27439">
      <w:pPr>
        <w:pStyle w:val="NormalHanging12a"/>
        <w:widowControl/>
      </w:pPr>
      <w:r w:rsidRPr="005B3603">
        <w:t>–</w:t>
      </w:r>
      <w:r w:rsidRPr="005B3603">
        <w:tab/>
        <w:t>tekintettel az Európai Unió működéséről szóló szerződés 319. cikkére,</w:t>
      </w:r>
    </w:p>
    <w:p w:rsidR="00B273EE" w:rsidRPr="005B3603" w:rsidRDefault="00B273EE" w:rsidP="00B27439">
      <w:pPr>
        <w:pStyle w:val="NormalHanging12a"/>
        <w:widowControl/>
      </w:pPr>
      <w:r w:rsidRPr="005B3603">
        <w:t>–</w:t>
      </w:r>
      <w:r w:rsidRPr="005B3603">
        <w:tab/>
        <w:t>tekintettel az Unió általános költségvetésére alkalmazandó pénzügyi szabályokról, az 1296/2013/EU, az 1301/2013/EU, az 1303/2013/EU, az 1304/2013/EU, az 1309/2013/EU, az 1316/2013/EU, a 223/2014/EU és a 283/2014/EU rendelet és az 541/2014/EU határozat módosításáról, valamint a 966/2012/EU, Euratom rendelet hatályon kívül helyezéséről szóló, 2018. július 18-i (EU, Euratom) 2018/1046 európai parlamenti és tanácsi rendeletre</w:t>
      </w:r>
      <w:r w:rsidRPr="005B3603">
        <w:rPr>
          <w:rStyle w:val="FootnoteReference"/>
        </w:rPr>
        <w:footnoteReference w:id="3"/>
      </w:r>
      <w:r w:rsidRPr="005B3603">
        <w:t xml:space="preserve"> és különösen annak 71. cikkére,</w:t>
      </w:r>
    </w:p>
    <w:p w:rsidR="00B273EE" w:rsidRPr="005B3603" w:rsidRDefault="00B273EE" w:rsidP="00B27439">
      <w:pPr>
        <w:pStyle w:val="NormalHanging12a"/>
        <w:widowControl/>
      </w:pPr>
      <w:r w:rsidRPr="005B3603">
        <w:t>–</w:t>
      </w:r>
      <w:r w:rsidRPr="005B3603">
        <w:tab/>
        <w:t xml:space="preserve">tekintettel a közös vállalkozásoknak a Horizont Európa keretében történő létrehozásáról, valamint a 219/2007/EK, az 557/2014/EU, az 558/2014/EU, az </w:t>
      </w:r>
      <w:r w:rsidRPr="005B3603">
        <w:lastRenderedPageBreak/>
        <w:t>559/2014/EU, az 560/2014/EU, az 561/2014/EU és a 642/2014/EU rendelet hatályon kívül helyezéséről szóló, 2021. november 19-i (EU) 2021/2085 tanácsi rendeletre</w:t>
      </w:r>
      <w:r w:rsidRPr="005B3603">
        <w:rPr>
          <w:rStyle w:val="FootnoteReference"/>
        </w:rPr>
        <w:footnoteReference w:id="4"/>
      </w:r>
      <w:r w:rsidRPr="005B3603">
        <w:t xml:space="preserve"> és különösen annak 26. cikkére,</w:t>
      </w:r>
    </w:p>
    <w:p w:rsidR="00B273EE" w:rsidRPr="005B3603" w:rsidRDefault="00B273EE" w:rsidP="00B27439">
      <w:pPr>
        <w:pStyle w:val="NormalHanging12a"/>
        <w:widowControl/>
      </w:pPr>
      <w:r w:rsidRPr="005B3603">
        <w:t>–</w:t>
      </w:r>
      <w:r w:rsidRPr="005B3603">
        <w:tab/>
        <w:t>tekintettel az Európai Parlament és a Tanács (EU, Euratom) 2018/1046 rendelete 71. cikkében említett, a köz- és magánszféra közötti partnerségre létrehozott szervek számára kidolgozott pénzügyiszabályzat-mintáról szóló, 2019. március 13-i (EU) 2019/887 felhatalmazáson alapuló bizottsági rendeletre</w:t>
      </w:r>
      <w:r w:rsidRPr="005B3603">
        <w:rPr>
          <w:rStyle w:val="FootnoteReference"/>
        </w:rPr>
        <w:footnoteReference w:id="5"/>
      </w:r>
      <w:r w:rsidRPr="005B3603">
        <w:t>,</w:t>
      </w:r>
    </w:p>
    <w:p w:rsidR="00B273EE" w:rsidRPr="005B3603" w:rsidRDefault="00B273EE" w:rsidP="00B27439">
      <w:pPr>
        <w:pStyle w:val="NormalHanging12a"/>
        <w:widowControl/>
      </w:pPr>
      <w:r w:rsidRPr="005B3603">
        <w:t>–</w:t>
      </w:r>
      <w:r w:rsidRPr="005B3603">
        <w:tab/>
        <w:t>tekintettel eljárási szabályzata 100. cikkére és V. mellékletére,</w:t>
      </w:r>
    </w:p>
    <w:p w:rsidR="00B273EE" w:rsidRPr="005B3603" w:rsidRDefault="00B273EE" w:rsidP="00B27439">
      <w:pPr>
        <w:pStyle w:val="NormalHanging12a"/>
        <w:widowControl/>
      </w:pPr>
      <w:r w:rsidRPr="005B3603">
        <w:t>–</w:t>
      </w:r>
      <w:r w:rsidRPr="005B3603">
        <w:tab/>
        <w:t>tekintettel a Költségvetési Ellenőrző Bizottság jelentésére (A9-0089/2024),</w:t>
      </w:r>
    </w:p>
    <w:p w:rsidR="00B273EE" w:rsidRPr="005B3603" w:rsidRDefault="00B273EE" w:rsidP="00B27439">
      <w:pPr>
        <w:pStyle w:val="NormalHanging12a"/>
        <w:widowControl/>
      </w:pPr>
      <w:r w:rsidRPr="005B3603">
        <w:t>1.</w:t>
      </w:r>
      <w:r w:rsidRPr="005B3603">
        <w:tab/>
        <w:t>mentesítést ad a Tiszta Hidrogén Közös Vállalkozás ideiglenes ügyvezető igazgatója számára a közös vállalkozás 2022. évi pénzügyi évre vonatkozó költségvetésének végrehajtására vonatkozóan;</w:t>
      </w:r>
    </w:p>
    <w:p w:rsidR="00B273EE" w:rsidRPr="005B3603" w:rsidRDefault="00B273EE" w:rsidP="00B27439">
      <w:pPr>
        <w:pStyle w:val="NormalHanging12a"/>
        <w:widowControl/>
      </w:pPr>
      <w:r w:rsidRPr="005B3603">
        <w:t>2.</w:t>
      </w:r>
      <w:r w:rsidRPr="005B3603">
        <w:tab/>
        <w:t>megjegyzéseit a mellékelt állásfoglalásban foglalja össze;</w:t>
      </w:r>
    </w:p>
    <w:p w:rsidR="00B273EE" w:rsidRPr="005B3603" w:rsidRDefault="00B273EE" w:rsidP="00B27439">
      <w:pPr>
        <w:pStyle w:val="NormalHanging12a"/>
        <w:widowControl/>
      </w:pPr>
      <w:r w:rsidRPr="005B3603">
        <w:t>3.</w:t>
      </w:r>
      <w:r w:rsidRPr="005B3603">
        <w:tab/>
        <w:t>utasítja elnökét, hogy továbbítsa ezt a határozatot, valamint az annak szerves részét képező állásfoglalást a Tiszta Hidrogén Közös Vállalkozás ideiglenes ügyvezető igazgatójának, a Tanácsnak, a Bizottságnak és a Számvevőszéknek</w:t>
      </w:r>
      <w:r w:rsidR="003E015E" w:rsidRPr="005B3603">
        <w:t>,</w:t>
      </w:r>
      <w:r w:rsidRPr="005B3603">
        <w:t xml:space="preserve"> és gondoskodjon az </w:t>
      </w:r>
      <w:r w:rsidRPr="005B3603">
        <w:rPr>
          <w:i/>
          <w:iCs/>
        </w:rPr>
        <w:t>Európai Unió Hivatalos Lapjában</w:t>
      </w:r>
      <w:r w:rsidRPr="005B3603">
        <w:t xml:space="preserve"> (L sorozat) való közzétételükről.</w:t>
      </w:r>
    </w:p>
    <w:p w:rsidR="00B273EE" w:rsidRPr="005B3603" w:rsidRDefault="00B273EE" w:rsidP="00B27439">
      <w:pPr>
        <w:widowControl/>
        <w:spacing w:after="240"/>
        <w:ind w:left="567" w:hanging="567"/>
      </w:pPr>
    </w:p>
    <w:p w:rsidR="00B273EE" w:rsidRPr="005B3603" w:rsidRDefault="00B273EE" w:rsidP="00B27439">
      <w:pPr>
        <w:pStyle w:val="PageHeading"/>
        <w:keepNext w:val="0"/>
        <w:widowControl/>
        <w:spacing w:after="240"/>
        <w:ind w:left="567" w:hanging="567"/>
        <w:sectPr w:rsidR="00B273EE" w:rsidRPr="005B3603" w:rsidSect="008E03A3">
          <w:footerReference w:type="even" r:id="rId9"/>
          <w:footerReference w:type="default" r:id="rId10"/>
          <w:footerReference w:type="first" r:id="rId11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B273EE" w:rsidRPr="005B3603" w:rsidRDefault="00B273EE" w:rsidP="005B3603">
      <w:pPr>
        <w:pStyle w:val="ATHeading3"/>
      </w:pPr>
      <w:bookmarkStart w:id="8" w:name="_Toc161838949"/>
      <w:r w:rsidRPr="005B3603">
        <w:lastRenderedPageBreak/>
        <w:t xml:space="preserve">2. </w:t>
      </w:r>
      <w:r w:rsidR="00B27439" w:rsidRPr="005B3603">
        <w:t xml:space="preserve">Az Európai Parlament 2024. április 11-i határozata </w:t>
      </w:r>
      <w:bookmarkEnd w:id="8"/>
      <w:r w:rsidRPr="005B3603">
        <w:t>a Tiszta Hidrogén Közös Vállalkozás 2022. évi pénzügyi évre vonatkozó elszámolásának lezárásáról</w:t>
      </w:r>
      <w:r w:rsidR="00B27439" w:rsidRPr="005B3603">
        <w:t xml:space="preserve"> </w:t>
      </w:r>
      <w:r w:rsidRPr="005B3603">
        <w:t>(2023/2175(DEC))</w:t>
      </w:r>
    </w:p>
    <w:p w:rsidR="003E015E" w:rsidRPr="005B3603" w:rsidRDefault="003E015E" w:rsidP="00B27439">
      <w:pPr>
        <w:pStyle w:val="EPComma"/>
        <w:widowControl/>
        <w:spacing w:before="0"/>
        <w:ind w:left="567" w:hanging="567"/>
        <w:rPr>
          <w:i/>
        </w:rPr>
      </w:pPr>
    </w:p>
    <w:p w:rsidR="00B273EE" w:rsidRPr="005B3603" w:rsidRDefault="00B273EE" w:rsidP="00B27439">
      <w:pPr>
        <w:pStyle w:val="EPComma"/>
        <w:widowControl/>
        <w:spacing w:before="0"/>
        <w:ind w:left="567" w:hanging="567"/>
      </w:pPr>
      <w:r w:rsidRPr="005B3603">
        <w:rPr>
          <w:i/>
        </w:rPr>
        <w:t>Az Európai Parlament</w:t>
      </w:r>
      <w:r w:rsidRPr="005B3603">
        <w:t>,</w:t>
      </w:r>
    </w:p>
    <w:p w:rsidR="00B273EE" w:rsidRPr="005B3603" w:rsidRDefault="00B273EE" w:rsidP="00B27439">
      <w:pPr>
        <w:pStyle w:val="NormalHanging12a"/>
        <w:widowControl/>
      </w:pPr>
      <w:r w:rsidRPr="005B3603">
        <w:t>–</w:t>
      </w:r>
      <w:r w:rsidRPr="005B3603">
        <w:tab/>
        <w:t>tekintettel a Tiszta Hidrogén Közös Vállalkozás 2022. évi pénzügyi évre szóló végleges éves beszámolójára,</w:t>
      </w:r>
    </w:p>
    <w:p w:rsidR="00B273EE" w:rsidRPr="005B3603" w:rsidRDefault="00B273EE" w:rsidP="00B27439">
      <w:pPr>
        <w:pStyle w:val="NormalHanging12a"/>
        <w:widowControl/>
      </w:pPr>
      <w:r w:rsidRPr="005B3603">
        <w:t>–</w:t>
      </w:r>
      <w:r w:rsidRPr="005B3603">
        <w:tab/>
      </w:r>
      <w:r w:rsidR="00955E20" w:rsidRPr="005B3603">
        <w:t>tekintettel a 2022. évi pénzügyi évre vonatkozóan az uniós ügynökségekről szóló éves számvevőszéki jelentésre az ügynökségek válaszaival együtt</w:t>
      </w:r>
      <w:r w:rsidRPr="005B3603">
        <w:rPr>
          <w:rStyle w:val="FootnoteReference"/>
        </w:rPr>
        <w:footnoteReference w:id="6"/>
      </w:r>
      <w:r w:rsidRPr="005B3603">
        <w:t>,</w:t>
      </w:r>
    </w:p>
    <w:p w:rsidR="00B273EE" w:rsidRPr="005B3603" w:rsidRDefault="00B273EE" w:rsidP="00B27439">
      <w:pPr>
        <w:pStyle w:val="NormalHanging12a"/>
        <w:widowControl/>
      </w:pPr>
      <w:r w:rsidRPr="005B3603">
        <w:t>–</w:t>
      </w:r>
      <w:r w:rsidRPr="005B3603">
        <w:tab/>
        <w:t xml:space="preserve">tekintettel a Számvevőszéknek a 2022. évi pénzügyi évre vonatkozóan az elszámolás megbízhatóságát, valamint az alapjául szolgáló ügyletek jogszerűségét és szabályszerűségét igazoló, az Európai Unió működéséről szóló szerződés 287. cikke szerinti </w:t>
      </w:r>
      <w:r w:rsidR="00955E20" w:rsidRPr="005B3603">
        <w:t xml:space="preserve">megbízhatósági </w:t>
      </w:r>
      <w:r w:rsidRPr="005B3603">
        <w:t>nyilatkozatára</w:t>
      </w:r>
      <w:r w:rsidRPr="005B3603">
        <w:rPr>
          <w:rStyle w:val="FootnoteReference"/>
        </w:rPr>
        <w:footnoteReference w:id="7"/>
      </w:r>
      <w:r w:rsidRPr="005B3603">
        <w:t>,</w:t>
      </w:r>
    </w:p>
    <w:p w:rsidR="00B273EE" w:rsidRPr="005B3603" w:rsidRDefault="00B273EE" w:rsidP="00B27439">
      <w:pPr>
        <w:pStyle w:val="NormalHanging12a"/>
        <w:widowControl/>
      </w:pPr>
      <w:r w:rsidRPr="005B3603">
        <w:t>–</w:t>
      </w:r>
      <w:r w:rsidRPr="005B3603">
        <w:tab/>
        <w:t>tekintettel a 2022. évi pénzügyi évre vonatkozó költségvetés végrehajtása tekintetében a közös vállalkozás számára adandó mentesítésről szóló, 2024. február 22-i tanácsi ajánlásra (</w:t>
      </w:r>
      <w:r w:rsidR="00955E20" w:rsidRPr="005B3603">
        <w:t>06182</w:t>
      </w:r>
      <w:r w:rsidRPr="005B3603">
        <w:t>/2024 – C9</w:t>
      </w:r>
      <w:r w:rsidRPr="005B3603">
        <w:noBreakHyphen/>
      </w:r>
      <w:r w:rsidR="00955E20" w:rsidRPr="005B3603">
        <w:t>0113</w:t>
      </w:r>
      <w:r w:rsidRPr="005B3603">
        <w:t>/2024),</w:t>
      </w:r>
    </w:p>
    <w:p w:rsidR="00B273EE" w:rsidRPr="005B3603" w:rsidRDefault="00B273EE" w:rsidP="00B27439">
      <w:pPr>
        <w:pStyle w:val="NormalHanging12a"/>
        <w:widowControl/>
      </w:pPr>
      <w:r w:rsidRPr="005B3603">
        <w:t>–</w:t>
      </w:r>
      <w:r w:rsidRPr="005B3603">
        <w:tab/>
        <w:t>tekintettel az Európai Unió működéséről szóló szerződés 319. cikkére,</w:t>
      </w:r>
    </w:p>
    <w:p w:rsidR="00B273EE" w:rsidRPr="005B3603" w:rsidRDefault="00B273EE" w:rsidP="00B27439">
      <w:pPr>
        <w:pStyle w:val="NormalHanging12a"/>
        <w:widowControl/>
      </w:pPr>
      <w:r w:rsidRPr="005B3603">
        <w:t>–</w:t>
      </w:r>
      <w:r w:rsidRPr="005B3603">
        <w:tab/>
        <w:t>tekintettel az Unió általános költségvetésére alkalmazandó pénzügyi szabályokról, az 1296/2013/EU, az 1301/2013/EU, az 1303/2013/EU, az 1304/2013/EU, az 1309/2013/EU, az 1316/2013/EU, a 223/2014/EU és a 283/2014/EU rendelet és az 541/2014/EU határozat módosításáról, valamint a 966/2012/EU, Euratom rendelet hatályon kívül helyezéséről szóló, 2018. július 18-i (EU, Euratom) 2018/1046 európai parlamenti és tanácsi rendeletre</w:t>
      </w:r>
      <w:r w:rsidRPr="005B3603">
        <w:rPr>
          <w:rStyle w:val="FootnoteReference"/>
        </w:rPr>
        <w:footnoteReference w:id="8"/>
      </w:r>
      <w:r w:rsidRPr="005B3603">
        <w:t xml:space="preserve"> és különösen annak 71. cikkére,</w:t>
      </w:r>
    </w:p>
    <w:p w:rsidR="00B273EE" w:rsidRPr="005B3603" w:rsidRDefault="00B273EE" w:rsidP="00B27439">
      <w:pPr>
        <w:pStyle w:val="NormalHanging12a"/>
        <w:widowControl/>
      </w:pPr>
      <w:r w:rsidRPr="005B3603">
        <w:t>–</w:t>
      </w:r>
      <w:r w:rsidRPr="005B3603">
        <w:tab/>
        <w:t>tekintettel a közös vállalkozásoknak a Horizont Európa keretében történő létrehozásáról, valamint a 219/2007/EK, az 557/2014/EU, az 558/2014/EU, az 559/2014/EU, az 560/2014/EU, az 561/2014/EU és a 642/2014/EU rendelet hatályon kívül helyezéséről szóló, 2021. november 19-i (EU) 2021/2085 tanácsi rendeletre</w:t>
      </w:r>
      <w:r w:rsidRPr="005B3603">
        <w:rPr>
          <w:rStyle w:val="FootnoteReference"/>
        </w:rPr>
        <w:footnoteReference w:id="9"/>
      </w:r>
      <w:r w:rsidRPr="005B3603">
        <w:t xml:space="preserve"> és különösen annak 26. cikkére,</w:t>
      </w:r>
    </w:p>
    <w:p w:rsidR="00B273EE" w:rsidRPr="005B3603" w:rsidRDefault="00B273EE" w:rsidP="00B27439">
      <w:pPr>
        <w:pStyle w:val="NormalHanging12a"/>
        <w:widowControl/>
      </w:pPr>
      <w:r w:rsidRPr="005B3603">
        <w:t>–</w:t>
      </w:r>
      <w:r w:rsidRPr="005B3603">
        <w:tab/>
        <w:t>tekintettel az Európai Parlament és a Tanács (EU, Euratom) 2018/1046 rendelete 71. cikkében említett, a köz- és magánszféra közötti partnerségre létrehozott szervek számára kidolgozott pénzügyiszabályzat-mintáról szóló, 2019. március 13-i (EU) 2019/887 felhatalmazáson alapuló bizottsági rendeletre</w:t>
      </w:r>
      <w:r w:rsidRPr="005B3603">
        <w:rPr>
          <w:rStyle w:val="FootnoteReference"/>
        </w:rPr>
        <w:footnoteReference w:id="10"/>
      </w:r>
      <w:r w:rsidRPr="005B3603">
        <w:t>,</w:t>
      </w:r>
    </w:p>
    <w:p w:rsidR="00B273EE" w:rsidRPr="005B3603" w:rsidRDefault="00B273EE" w:rsidP="00B27439">
      <w:pPr>
        <w:pStyle w:val="NormalHanging12a"/>
        <w:widowControl/>
      </w:pPr>
      <w:r w:rsidRPr="005B3603">
        <w:t>–</w:t>
      </w:r>
      <w:r w:rsidRPr="005B3603">
        <w:tab/>
        <w:t>tekintettel eljárási szabályzata 100. cikkére és V. mellékletére,</w:t>
      </w:r>
    </w:p>
    <w:p w:rsidR="00B273EE" w:rsidRPr="005B3603" w:rsidRDefault="00B273EE" w:rsidP="00B27439">
      <w:pPr>
        <w:pStyle w:val="NormalHanging12a"/>
        <w:widowControl/>
      </w:pPr>
      <w:r w:rsidRPr="005B3603">
        <w:t>–</w:t>
      </w:r>
      <w:r w:rsidRPr="005B3603">
        <w:tab/>
        <w:t>tekintettel a Költségvetési Ellenőrző Bizottság jelentésére (A9-0089/2024),</w:t>
      </w:r>
    </w:p>
    <w:p w:rsidR="00B273EE" w:rsidRPr="005B3603" w:rsidRDefault="00B273EE" w:rsidP="00B27439">
      <w:pPr>
        <w:pStyle w:val="NormalHanging12a"/>
        <w:widowControl/>
      </w:pPr>
      <w:r w:rsidRPr="005B3603">
        <w:lastRenderedPageBreak/>
        <w:t>1.</w:t>
      </w:r>
      <w:r w:rsidRPr="005B3603">
        <w:tab/>
        <w:t>jóváhagyja a Tiszta Hidrogén Közös Vállalkozás 2022. évi pénzügyi évre vonatkozó elszámolásának lezárását;</w:t>
      </w:r>
    </w:p>
    <w:p w:rsidR="00B273EE" w:rsidRPr="005B3603" w:rsidRDefault="00B273EE" w:rsidP="00B27439">
      <w:pPr>
        <w:pStyle w:val="NormalHanging12a"/>
        <w:widowControl/>
      </w:pPr>
      <w:r w:rsidRPr="005B3603">
        <w:t>2.</w:t>
      </w:r>
      <w:r w:rsidRPr="005B3603">
        <w:tab/>
        <w:t xml:space="preserve">utasítja elnökét, hogy továbbítsa ezt a határozatot a Tiszta Hidrogén Közös Vállalkozás ideiglenes ügyvezető igazgatójának, a Tanácsnak, a Bizottságnak és a Számvevőszéknek, és gondoskodjon az </w:t>
      </w:r>
      <w:r w:rsidRPr="005B3603">
        <w:rPr>
          <w:i/>
          <w:iCs/>
        </w:rPr>
        <w:t>Európai Unió Hivatalos Lapjában</w:t>
      </w:r>
      <w:r w:rsidRPr="005B3603">
        <w:t xml:space="preserve"> (L sorozat) való közzétételéről.</w:t>
      </w:r>
    </w:p>
    <w:p w:rsidR="00B273EE" w:rsidRPr="005B3603" w:rsidRDefault="00B273EE" w:rsidP="00B27439">
      <w:pPr>
        <w:widowControl/>
        <w:spacing w:after="240"/>
        <w:ind w:left="567" w:hanging="567"/>
      </w:pPr>
    </w:p>
    <w:p w:rsidR="00B273EE" w:rsidRPr="005B3603" w:rsidRDefault="00B273EE" w:rsidP="00B27439">
      <w:pPr>
        <w:pStyle w:val="PageHeading"/>
        <w:keepNext w:val="0"/>
        <w:widowControl/>
        <w:spacing w:after="240"/>
        <w:ind w:left="567" w:hanging="567"/>
        <w:sectPr w:rsidR="00B273EE" w:rsidRPr="005B3603" w:rsidSect="008E03A3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:rsidR="00B273EE" w:rsidRPr="005B3603" w:rsidRDefault="00B273EE" w:rsidP="005B3603">
      <w:pPr>
        <w:pStyle w:val="ATHeading3"/>
      </w:pPr>
      <w:bookmarkStart w:id="9" w:name="_Toc161838950"/>
      <w:r w:rsidRPr="005B3603">
        <w:lastRenderedPageBreak/>
        <w:t xml:space="preserve">3. </w:t>
      </w:r>
      <w:r w:rsidR="00B27439" w:rsidRPr="005B3603">
        <w:t xml:space="preserve">Az Európai Parlament 2024. április 11-i állásfoglalása </w:t>
      </w:r>
      <w:bookmarkEnd w:id="9"/>
      <w:r w:rsidRPr="005B3603">
        <w:t>a Tiszta Hidrogén Közös Vállalkozás 2022. évi pénzügyi évre szóló költségvetésének végrehajtására vonatkozó mentesítésről szóló határozat szerves részét képező megjegyzésekkel(2023/2175(DEC))</w:t>
      </w:r>
    </w:p>
    <w:p w:rsidR="003E015E" w:rsidRPr="005B3603" w:rsidRDefault="003E015E" w:rsidP="00B27439">
      <w:pPr>
        <w:pStyle w:val="EPComma"/>
        <w:widowControl/>
        <w:spacing w:before="0"/>
        <w:ind w:left="567" w:hanging="567"/>
        <w:rPr>
          <w:i/>
        </w:rPr>
      </w:pPr>
    </w:p>
    <w:p w:rsidR="00B273EE" w:rsidRPr="005B3603" w:rsidRDefault="00B273EE" w:rsidP="00B27439">
      <w:pPr>
        <w:pStyle w:val="EPComma"/>
        <w:widowControl/>
        <w:spacing w:before="0"/>
        <w:ind w:left="567" w:hanging="567"/>
      </w:pPr>
      <w:r w:rsidRPr="005B3603">
        <w:rPr>
          <w:i/>
        </w:rPr>
        <w:t>Az Európai Parlament</w:t>
      </w:r>
      <w:r w:rsidRPr="005B3603">
        <w:t>,</w:t>
      </w:r>
    </w:p>
    <w:p w:rsidR="00B273EE" w:rsidRPr="005B3603" w:rsidRDefault="00B273EE" w:rsidP="00B27439">
      <w:pPr>
        <w:pStyle w:val="NormalHanging12a"/>
        <w:widowControl/>
      </w:pPr>
      <w:r w:rsidRPr="005B3603">
        <w:t>–</w:t>
      </w:r>
      <w:r w:rsidRPr="005B3603">
        <w:tab/>
        <w:t>tekintettel a Tiszta Hidrogén Közös Vállalkozás 2022. évi pénzügyi évre szóló költségvetésének végrehajtására vonatkozó mentesítésről szóló határozatára,</w:t>
      </w:r>
    </w:p>
    <w:p w:rsidR="00B273EE" w:rsidRPr="005B3603" w:rsidRDefault="00B273EE" w:rsidP="00B27439">
      <w:pPr>
        <w:pStyle w:val="NormalHanging12a"/>
        <w:widowControl/>
      </w:pPr>
      <w:r w:rsidRPr="005B3603">
        <w:t>–</w:t>
      </w:r>
      <w:r w:rsidRPr="005B3603">
        <w:tab/>
        <w:t>tekintettel eljárási szabályzata 100. cikkére és V. mellékletére,</w:t>
      </w:r>
    </w:p>
    <w:p w:rsidR="00B273EE" w:rsidRPr="005B3603" w:rsidRDefault="00B273EE" w:rsidP="00B27439">
      <w:pPr>
        <w:pStyle w:val="NormalHanging12a"/>
        <w:widowControl/>
      </w:pPr>
      <w:r w:rsidRPr="005B3603">
        <w:t>–</w:t>
      </w:r>
      <w:r w:rsidRPr="005B3603">
        <w:tab/>
        <w:t>tekintettel a Költségvetési Ellenőrző Bizottság jelentésére (A9-0089/2024),</w:t>
      </w:r>
    </w:p>
    <w:p w:rsidR="00B273EE" w:rsidRPr="005B3603" w:rsidRDefault="00B273EE" w:rsidP="00B27439">
      <w:pPr>
        <w:widowControl/>
        <w:spacing w:after="240"/>
        <w:ind w:left="567" w:hanging="567"/>
      </w:pPr>
      <w:r w:rsidRPr="005B3603">
        <w:t>A.</w:t>
      </w:r>
      <w:r w:rsidRPr="005B3603">
        <w:tab/>
        <w:t xml:space="preserve">mivel a brüsszeli székhelyű Tiszta Hidrogén Közös Vállalkozást (a továbbiakban: </w:t>
      </w:r>
      <w:r w:rsidR="00F87EB3" w:rsidRPr="005B3603">
        <w:t xml:space="preserve">a </w:t>
      </w:r>
      <w:r w:rsidRPr="005B3603">
        <w:t>Tiszta H2 Közös Vállalkozás) az (EU) 2021/2085 tanácsi rendelet</w:t>
      </w:r>
      <w:r w:rsidRPr="005B3603">
        <w:rPr>
          <w:rStyle w:val="FootnoteReference"/>
        </w:rPr>
        <w:footnoteReference w:id="11"/>
      </w:r>
      <w:r w:rsidRPr="005B3603">
        <w:t xml:space="preserve"> hozta létre a Horizont Európa programon belül, 2021 novemberében a 2031. december 31-ig tartó időszakra; mivel a Tiszta H2 Közös Vállalkozás a hetedik kutatási keretprogramon (FP7) belül, 2008 májusában a 2017. december 31-ig tartó időszakra az 521/2008/EK tanácsi rendelettel</w:t>
      </w:r>
      <w:r w:rsidRPr="005B3603">
        <w:rPr>
          <w:rStyle w:val="FootnoteReference"/>
        </w:rPr>
        <w:footnoteReference w:id="12"/>
      </w:r>
      <w:r w:rsidRPr="005B3603">
        <w:t xml:space="preserve"> létrehozott, majd 2014 májusában a Horizont 2020 program keretében az 559/2014/EU tanácsi rendelettel</w:t>
      </w:r>
      <w:r w:rsidRPr="005B3603">
        <w:rPr>
          <w:rStyle w:val="FootnoteReference"/>
        </w:rPr>
        <w:footnoteReference w:id="13"/>
      </w:r>
      <w:r w:rsidRPr="005B3603">
        <w:t xml:space="preserve"> 2024. december 31-ig (az FCH 2 Közös Vállalkozás) meghosszabbított Üzemanyagcella- és Hidrogéntechnológiai (FCH) Közös Vállalkozás (az FCH Közös Vállalkozás) helyébe lépett és annak jogutódjaként működik;</w:t>
      </w:r>
    </w:p>
    <w:p w:rsidR="00B273EE" w:rsidRPr="005B3603" w:rsidRDefault="00B273EE" w:rsidP="00B27439">
      <w:pPr>
        <w:widowControl/>
        <w:spacing w:after="240"/>
        <w:ind w:left="567" w:hanging="567"/>
      </w:pPr>
      <w:r w:rsidRPr="005B3603">
        <w:t>B.</w:t>
      </w:r>
      <w:r w:rsidRPr="005B3603">
        <w:tab/>
        <w:t>mivel a Tiszta H2 Közös Vállalkozás egy üzemanyagcella- és hidrogéntechnológiai kutatással és innovációval foglalkozó, köz- és magánszféra közötti partnerség; mivel alapító tagjai a Bizottság által képviselt Európai Unió, valamint az iparági szövetség (</w:t>
      </w:r>
      <w:proofErr w:type="spellStart"/>
      <w:r w:rsidRPr="005B3603">
        <w:t>Hydrogen</w:t>
      </w:r>
      <w:proofErr w:type="spellEnd"/>
      <w:r w:rsidRPr="005B3603">
        <w:t xml:space="preserve"> Europe) és a kutató intézetek szövetsége (</w:t>
      </w:r>
      <w:proofErr w:type="spellStart"/>
      <w:r w:rsidRPr="005B3603">
        <w:t>Hydrogen</w:t>
      </w:r>
      <w:proofErr w:type="spellEnd"/>
      <w:r w:rsidRPr="005B3603">
        <w:t xml:space="preserve"> Europe Research);</w:t>
      </w:r>
    </w:p>
    <w:p w:rsidR="00B273EE" w:rsidRPr="005B3603" w:rsidRDefault="00B273EE" w:rsidP="00B27439">
      <w:pPr>
        <w:pStyle w:val="NormalHanging12a"/>
        <w:widowControl/>
      </w:pPr>
      <w:r w:rsidRPr="005B3603">
        <w:t>C.</w:t>
      </w:r>
      <w:r w:rsidRPr="005B3603">
        <w:tab/>
        <w:t>mivel az átláthatóság növelése érdekében a Tiszta H2 Közös Vállalkozás közzéteszi éves beszámolójában a tagok programszintű hozzájárulásaira vonatkozó releváns információkat; mivel a Tiszta H2 Közös Vállalkozás minden olyan program esetében, amelyben műveleteket végez, az év végéig tagkategóriánként bemutat minden lényeges információt, beleértve az adott programra vonatkozóan meghatározott jogi hozzájárulási célokat, valamint a kapott hozzájárulások és a jogi kötelezettségvállalások mennyiségét; javasolja, hogy a Tiszta H2 Közös Vállalkozás folytassa az átláthatóság javítását;</w:t>
      </w:r>
    </w:p>
    <w:p w:rsidR="00B273EE" w:rsidRPr="005B3603" w:rsidRDefault="00B273EE" w:rsidP="00B27439">
      <w:pPr>
        <w:widowControl/>
        <w:spacing w:after="240"/>
        <w:ind w:left="567" w:hanging="567"/>
        <w:rPr>
          <w:b/>
          <w:i/>
        </w:rPr>
      </w:pPr>
      <w:r w:rsidRPr="005B3603">
        <w:rPr>
          <w:b/>
          <w:i/>
        </w:rPr>
        <w:t>Költségvetési és pénzgazdálkodás</w:t>
      </w:r>
    </w:p>
    <w:p w:rsidR="00B273EE" w:rsidRPr="005B3603" w:rsidRDefault="00B273EE" w:rsidP="00B27439">
      <w:pPr>
        <w:widowControl/>
        <w:spacing w:after="240"/>
        <w:ind w:left="567" w:hanging="567"/>
      </w:pPr>
      <w:r w:rsidRPr="005B3603">
        <w:t>1.</w:t>
      </w:r>
      <w:r w:rsidRPr="005B3603">
        <w:tab/>
        <w:t xml:space="preserve">megállapítja, hogy a Számvevőszék által a Tiszta H2 Közös Vállalkozás 2022. évi éves beszámolójáról készített jelentés (a továbbiakban: a számvevőszéki jelentés) szerint az éves beszámoló minden lényeges szempontból hűen és pénzügyi szabályzatának, </w:t>
      </w:r>
      <w:r w:rsidRPr="005B3603">
        <w:lastRenderedPageBreak/>
        <w:t xml:space="preserve">valamint a Bizottság számvitelért felelős tisztviselője által elfogadott számviteli szabályoknak megfelelően tükrözi a Tiszta H2 Közös Vállalkozás 2022. december 31-i pénzügyi helyzetét, a tárgyévi gazdasági események eredményét, a pénzforgalmat és a nettó eszközállomány változásait; </w:t>
      </w:r>
      <w:proofErr w:type="spellStart"/>
      <w:r w:rsidRPr="005B3603">
        <w:t>megjegyzi</w:t>
      </w:r>
      <w:proofErr w:type="spellEnd"/>
      <w:r w:rsidRPr="005B3603">
        <w:t xml:space="preserve"> továbbá, hogy a számvevőszéki jelentés szerint a beszámoló alapját képező ügyletek minden lényeges szempontból jogszerűek és szabályszerűek voltak;</w:t>
      </w:r>
    </w:p>
    <w:p w:rsidR="00B273EE" w:rsidRPr="005B3603" w:rsidRDefault="00B273EE" w:rsidP="00B27439">
      <w:pPr>
        <w:pStyle w:val="NormalHanging12a"/>
        <w:widowControl/>
      </w:pPr>
      <w:r w:rsidRPr="005B3603">
        <w:t>2.</w:t>
      </w:r>
      <w:r w:rsidRPr="005B3603">
        <w:tab/>
        <w:t>üdvözli a Tiszta H2 Közös Vállalkozás szerepét a hidrogéntechnológiákkal kapcsolatos európai kutatási és innovációs tevékenységek támogatásában;</w:t>
      </w:r>
    </w:p>
    <w:p w:rsidR="00B273EE" w:rsidRPr="005B3603" w:rsidRDefault="00B273EE" w:rsidP="00B27439">
      <w:pPr>
        <w:widowControl/>
        <w:spacing w:after="240"/>
        <w:ind w:left="567" w:hanging="567"/>
        <w:rPr>
          <w:rFonts w:eastAsiaTheme="minorHAnsi"/>
          <w:szCs w:val="24"/>
        </w:rPr>
      </w:pPr>
      <w:r w:rsidRPr="005B3603">
        <w:t>3.</w:t>
      </w:r>
      <w:r w:rsidRPr="005B3603">
        <w:tab/>
      </w:r>
      <w:proofErr w:type="spellStart"/>
      <w:r w:rsidRPr="005B3603">
        <w:t>megjegyzi</w:t>
      </w:r>
      <w:proofErr w:type="spellEnd"/>
      <w:r w:rsidRPr="005B3603">
        <w:t>, hogy a 2022-re</w:t>
      </w:r>
      <w:r w:rsidRPr="005B3603">
        <w:rPr>
          <w:rStyle w:val="FootnoteReference"/>
        </w:rPr>
        <w:footnoteReference w:id="14"/>
      </w:r>
      <w:r w:rsidRPr="005B3603">
        <w:t xml:space="preserve"> a kötelezettségvállalási előirányzatok</w:t>
      </w:r>
      <w:r w:rsidRPr="005B3603">
        <w:rPr>
          <w:rStyle w:val="FootnoteReference"/>
        </w:rPr>
        <w:footnoteReference w:id="15"/>
      </w:r>
      <w:r w:rsidRPr="005B3603">
        <w:t xml:space="preserve"> tekintetében rendelkezésre álló költségvetés 314,3 millió EUR volt (a 2021. évi 15,8 millió EUR-hoz képest), amelyből 305,8 millió EUR az operatív tevékenységekre, 8 millió EUR pedig az igazgatási kiadásokra volt elkülönítve, míg a kifizetési előirányzatok</w:t>
      </w:r>
      <w:r w:rsidRPr="005B3603">
        <w:rPr>
          <w:rStyle w:val="FootnoteReference"/>
        </w:rPr>
        <w:footnoteReference w:id="16"/>
      </w:r>
      <w:r w:rsidRPr="005B3603">
        <w:t xml:space="preserve"> tekintetében 118,3 millió EUR-t tett ki (a 2021. évi 56,2 millió EUR-hoz képest), amelyből 109,7 millió EUR az operatív tevékenységekre, 8,1 millió EUR pedig az igazgatási kiadásokra volt elkülönítve;</w:t>
      </w:r>
    </w:p>
    <w:p w:rsidR="00B273EE" w:rsidRPr="005B3603" w:rsidRDefault="00B273EE" w:rsidP="00B27439">
      <w:pPr>
        <w:widowControl/>
        <w:spacing w:after="240"/>
        <w:ind w:left="567" w:hanging="567"/>
      </w:pPr>
      <w:r w:rsidRPr="005B3603">
        <w:t>4.</w:t>
      </w:r>
      <w:r w:rsidRPr="005B3603">
        <w:tab/>
      </w:r>
      <w:proofErr w:type="spellStart"/>
      <w:r w:rsidRPr="005B3603">
        <w:t>megjegyzi</w:t>
      </w:r>
      <w:proofErr w:type="spellEnd"/>
      <w:r w:rsidRPr="005B3603">
        <w:t xml:space="preserve">, hogy a Tiszta H2 Közös Vállalkozás költségvetésének méretét érintő változások nagyban függnek az általa végrehajtott többéves kutatási és innovációs programok végrehajtási szakaszától; </w:t>
      </w:r>
      <w:proofErr w:type="spellStart"/>
      <w:r w:rsidRPr="005B3603">
        <w:t>megjegyzi</w:t>
      </w:r>
      <w:proofErr w:type="spellEnd"/>
      <w:r w:rsidRPr="005B3603">
        <w:t>, hogy 2022-ben a Tiszta H2 Közös Vállalkozás megkezdte a Horizont Európa program végrehajtását, és hogy ezért a 2022. évi költségvetés tartalmazza a Horizont Európa 2022-re tervezett első pályázati felhívásainak kötelezettségvállalási költségvetését, valamint a kapcsolódó előfinanszírozási kifizetésekre vonatkozó kifizetési költségvetést;</w:t>
      </w:r>
    </w:p>
    <w:p w:rsidR="00B273EE" w:rsidRPr="005B3603" w:rsidRDefault="00B273EE" w:rsidP="00B27439">
      <w:pPr>
        <w:pStyle w:val="NormalHanging12a"/>
        <w:widowControl/>
      </w:pPr>
      <w:r w:rsidRPr="005B3603">
        <w:t>5.</w:t>
      </w:r>
      <w:r w:rsidRPr="005B3603">
        <w:tab/>
      </w:r>
      <w:proofErr w:type="spellStart"/>
      <w:r w:rsidRPr="005B3603">
        <w:t>megjegyzi</w:t>
      </w:r>
      <w:proofErr w:type="spellEnd"/>
      <w:r w:rsidRPr="005B3603">
        <w:t>, hogy a Számvevőszék úgy véli, hogy a tagok programszinten való hozzájárulásáról nem áll rendelkezésre elegendő információ; üdvözli a Tiszta H2 Közös Vállalkozás elkötelezettségét e kérdés kezelésére;</w:t>
      </w:r>
    </w:p>
    <w:p w:rsidR="00B273EE" w:rsidRPr="005B3603" w:rsidRDefault="00B273EE" w:rsidP="00B27439">
      <w:pPr>
        <w:widowControl/>
        <w:spacing w:after="240"/>
        <w:ind w:left="567" w:hanging="567"/>
      </w:pPr>
      <w:r w:rsidRPr="005B3603">
        <w:t>6.</w:t>
      </w:r>
      <w:r w:rsidRPr="005B3603">
        <w:tab/>
      </w:r>
      <w:proofErr w:type="spellStart"/>
      <w:r w:rsidRPr="005B3603">
        <w:t>megjegyzi</w:t>
      </w:r>
      <w:proofErr w:type="spellEnd"/>
      <w:r w:rsidRPr="005B3603">
        <w:t xml:space="preserve">, hogy a Tiszta H2 Közös Vállalkozás 2022. évi éves beszámolójában a tagok kategóriái szerint (EU és </w:t>
      </w:r>
      <w:proofErr w:type="spellStart"/>
      <w:r w:rsidRPr="005B3603">
        <w:t>magánszektorbeli</w:t>
      </w:r>
      <w:proofErr w:type="spellEnd"/>
      <w:r w:rsidRPr="005B3603">
        <w:t xml:space="preserve"> tagok) megjelenített hozzájárulások összege jelentősen eltér egymástól; </w:t>
      </w:r>
      <w:proofErr w:type="spellStart"/>
      <w:r w:rsidRPr="005B3603">
        <w:t>megjegyzi</w:t>
      </w:r>
      <w:proofErr w:type="spellEnd"/>
      <w:r w:rsidRPr="005B3603">
        <w:t xml:space="preserve">, hogy ennek az az oka, hogy az uniós pénzbeli hozzájárulásokat a projekt végrehajtásának megkezdésekor, a Tiszta H2 Közös Vállalkozásnak történő kifizetéskor </w:t>
      </w:r>
      <w:proofErr w:type="spellStart"/>
      <w:r w:rsidRPr="005B3603">
        <w:t>validálják</w:t>
      </w:r>
      <w:proofErr w:type="spellEnd"/>
      <w:r w:rsidRPr="005B3603">
        <w:t xml:space="preserve"> és jelenítik meg, míg a tagok természetbeni hozzájárulásait csak a felmerült és a projekt végrehajtására bejelentett költségek </w:t>
      </w:r>
      <w:proofErr w:type="spellStart"/>
      <w:r w:rsidRPr="005B3603">
        <w:t>validálását</w:t>
      </w:r>
      <w:proofErr w:type="spellEnd"/>
      <w:r w:rsidRPr="005B3603">
        <w:t xml:space="preserve"> követően jelenítik meg;</w:t>
      </w:r>
    </w:p>
    <w:p w:rsidR="00B273EE" w:rsidRPr="005B3603" w:rsidRDefault="00B273EE" w:rsidP="00B27439">
      <w:pPr>
        <w:pStyle w:val="NormalHanging12a"/>
        <w:widowControl/>
      </w:pPr>
      <w:r w:rsidRPr="005B3603">
        <w:t>7.</w:t>
      </w:r>
      <w:r w:rsidRPr="005B3603">
        <w:tab/>
        <w:t xml:space="preserve">felhívja a Tiszta H2 Közös Vállalkozást, hogy kezelje az egyrészről a pénzbeli hozzájárulások, másrészről a természetbeni hozzájárulások kapcsán megjelenített összegek közötti különbséget azzal, hogy információt szolgáltat a megkötött támogatási </w:t>
      </w:r>
      <w:r w:rsidRPr="005B3603">
        <w:lastRenderedPageBreak/>
        <w:t>megállapodásokat és szerződéseket tekintve a Tiszta H2 Közös Vállalkozás tagjainak év végi jogi kötelezettségvállalásaihoz;</w:t>
      </w:r>
    </w:p>
    <w:p w:rsidR="00B273EE" w:rsidRPr="005B3603" w:rsidRDefault="00B273EE" w:rsidP="00B27439">
      <w:pPr>
        <w:pStyle w:val="NormalHanging12a"/>
        <w:widowControl/>
      </w:pPr>
      <w:r w:rsidRPr="005B3603">
        <w:t>8.</w:t>
      </w:r>
      <w:r w:rsidRPr="005B3603">
        <w:tab/>
        <w:t>üdvözli, hogy a hetedik keretprogram végrehajtását illetően a Tiszta H2 Közös Vállalkozás elérte a tagok hozzájárulásaira vonatkozó célkitűzéseket;</w:t>
      </w:r>
    </w:p>
    <w:p w:rsidR="00B273EE" w:rsidRPr="005B3603" w:rsidRDefault="00B273EE" w:rsidP="00B27439">
      <w:pPr>
        <w:widowControl/>
        <w:spacing w:after="240"/>
        <w:ind w:left="567" w:hanging="567"/>
        <w:rPr>
          <w:rFonts w:eastAsiaTheme="minorHAnsi"/>
          <w:szCs w:val="24"/>
        </w:rPr>
      </w:pPr>
      <w:r w:rsidRPr="005B3603">
        <w:t>9.</w:t>
      </w:r>
      <w:r w:rsidRPr="005B3603">
        <w:tab/>
      </w:r>
      <w:proofErr w:type="spellStart"/>
      <w:r w:rsidRPr="005B3603">
        <w:t>megjegyzi</w:t>
      </w:r>
      <w:proofErr w:type="spellEnd"/>
      <w:r w:rsidRPr="005B3603">
        <w:t xml:space="preserve">, hogy 2022 végéig a Tiszta H2 Közös Vállalkozás a hetedik keretprogram keretében aláírt támogatási megállapodásokkal kapcsolatos maximális uniós operatív hozzájárulásból (450 millió EUR) 425,8 millió EUR-t (95%) kötött le; </w:t>
      </w:r>
      <w:proofErr w:type="spellStart"/>
      <w:r w:rsidRPr="005B3603">
        <w:t>megjegyzi</w:t>
      </w:r>
      <w:proofErr w:type="spellEnd"/>
      <w:r w:rsidRPr="005B3603">
        <w:t xml:space="preserve">, hogy ebből a lekötött összegből mintegy 3 millió EUR-t (0,7%) 2023-ban kell majd kifizetni a hetedik keretprogram még folyamatban lévő utolsó projektjének lezárására; továbbá </w:t>
      </w:r>
      <w:proofErr w:type="spellStart"/>
      <w:r w:rsidRPr="005B3603">
        <w:t>megjegyzi</w:t>
      </w:r>
      <w:proofErr w:type="spellEnd"/>
      <w:r w:rsidRPr="005B3603">
        <w:t xml:space="preserve">, hogy 2022 végén a </w:t>
      </w:r>
      <w:proofErr w:type="spellStart"/>
      <w:r w:rsidRPr="005B3603">
        <w:t>magánszektorbeli</w:t>
      </w:r>
      <w:proofErr w:type="spellEnd"/>
      <w:r w:rsidRPr="005B3603">
        <w:t xml:space="preserve"> tagok a 450 millió EUR összegű minimális célnak megfelelő természetbeni hozzájárulásról számoltak be, amit a Tiszta H2 Közös Vállalkozás teljes mértékben </w:t>
      </w:r>
      <w:proofErr w:type="spellStart"/>
      <w:r w:rsidRPr="005B3603">
        <w:t>validált</w:t>
      </w:r>
      <w:proofErr w:type="spellEnd"/>
      <w:r w:rsidRPr="005B3603">
        <w:t>;</w:t>
      </w:r>
    </w:p>
    <w:p w:rsidR="00B273EE" w:rsidRPr="005B3603" w:rsidRDefault="00B273EE" w:rsidP="00B27439">
      <w:pPr>
        <w:widowControl/>
        <w:spacing w:after="240"/>
        <w:ind w:left="567" w:hanging="567"/>
      </w:pPr>
      <w:r w:rsidRPr="005B3603">
        <w:t>10.</w:t>
      </w:r>
      <w:r w:rsidRPr="005B3603">
        <w:tab/>
      </w:r>
      <w:proofErr w:type="spellStart"/>
      <w:r w:rsidRPr="005B3603">
        <w:t>megjegyzi</w:t>
      </w:r>
      <w:proofErr w:type="spellEnd"/>
      <w:r w:rsidRPr="005B3603">
        <w:t xml:space="preserve">, hogy a Horizont 2020 programot illetően a </w:t>
      </w:r>
      <w:proofErr w:type="spellStart"/>
      <w:r w:rsidRPr="005B3603">
        <w:t>magánszektorbeli</w:t>
      </w:r>
      <w:proofErr w:type="spellEnd"/>
      <w:r w:rsidRPr="005B3603">
        <w:t xml:space="preserve"> tagok operatív tevékenységekhez nyújtott </w:t>
      </w:r>
      <w:proofErr w:type="spellStart"/>
      <w:r w:rsidRPr="005B3603">
        <w:t>validált</w:t>
      </w:r>
      <w:proofErr w:type="spellEnd"/>
      <w:r w:rsidRPr="005B3603">
        <w:t xml:space="preserve"> természetbeni hozzájárulásainak alacsony szintje (51,7 millió EUR, 2021: 38,6 millió EUR) abból adódik, hogy a Tiszta H2 Közös Vállalkozás csak később, a Horizont 2020 projektek zárókifizetéseinek teljesítése után, a pénzügyi kimutatásra vonatkozó igazolások esedékessé válásakor hitelesíti azokat;</w:t>
      </w:r>
    </w:p>
    <w:p w:rsidR="00B273EE" w:rsidRPr="005B3603" w:rsidRDefault="00B273EE" w:rsidP="00B27439">
      <w:pPr>
        <w:widowControl/>
        <w:spacing w:after="240"/>
        <w:ind w:left="567" w:hanging="567"/>
      </w:pPr>
      <w:r w:rsidRPr="005B3603">
        <w:t>11.</w:t>
      </w:r>
      <w:r w:rsidRPr="005B3603">
        <w:tab/>
        <w:t xml:space="preserve">a számvevőszéki jelentés alapján </w:t>
      </w:r>
      <w:proofErr w:type="spellStart"/>
      <w:r w:rsidRPr="005B3603">
        <w:t>megjegyzi</w:t>
      </w:r>
      <w:proofErr w:type="spellEnd"/>
      <w:r w:rsidRPr="005B3603">
        <w:t>, hogy a tagok jogi kötelezettségvállalásai megfelelnek a hozzájárulási célkitűzéseik szintjének;</w:t>
      </w:r>
    </w:p>
    <w:p w:rsidR="00B273EE" w:rsidRPr="005B3603" w:rsidRDefault="00B273EE" w:rsidP="00B27439">
      <w:pPr>
        <w:widowControl/>
        <w:spacing w:after="240"/>
        <w:ind w:left="567" w:hanging="567"/>
      </w:pPr>
      <w:r w:rsidRPr="005B3603">
        <w:t>12.</w:t>
      </w:r>
      <w:r w:rsidRPr="005B3603">
        <w:tab/>
      </w:r>
      <w:proofErr w:type="spellStart"/>
      <w:r w:rsidRPr="005B3603">
        <w:t>megjegyzi</w:t>
      </w:r>
      <w:proofErr w:type="spellEnd"/>
      <w:r w:rsidRPr="005B3603">
        <w:t xml:space="preserve">, hogy a Tiszta H2 Közös Vállalkozás által a Horizont 2020 program vonatkozásában elért eredményeket illetően az aláírt támogatási megállapodások és szerződések tekintetében 2022 végén a Tiszta H2 Közös Vállalkozás teljes mértékben lekötötte az említett program keretében aláírt támogatási megállapodásokra és szerződésekre vonatkozó 646 millió EUR maximális uniós operatív hozzájárulást; továbbá </w:t>
      </w:r>
      <w:proofErr w:type="spellStart"/>
      <w:r w:rsidRPr="005B3603">
        <w:t>megjegyzi</w:t>
      </w:r>
      <w:proofErr w:type="spellEnd"/>
      <w:r w:rsidRPr="005B3603">
        <w:t>, hogy ebből a lekötött összegből mintegy 88,5 millió EUR-t (vagy 13,7%-</w:t>
      </w:r>
      <w:proofErr w:type="spellStart"/>
      <w:r w:rsidRPr="005B3603">
        <w:t>ot</w:t>
      </w:r>
      <w:proofErr w:type="spellEnd"/>
      <w:r w:rsidRPr="005B3603">
        <w:t>) az elkövetkező években kell még kifizetni a még befejezetlen projektekre és szerződésekre;</w:t>
      </w:r>
    </w:p>
    <w:p w:rsidR="00B273EE" w:rsidRPr="005B3603" w:rsidRDefault="00B273EE" w:rsidP="00B27439">
      <w:pPr>
        <w:widowControl/>
        <w:spacing w:after="240"/>
        <w:ind w:left="567" w:hanging="567"/>
      </w:pPr>
      <w:r w:rsidRPr="005B3603">
        <w:t>13.</w:t>
      </w:r>
      <w:r w:rsidRPr="005B3603">
        <w:tab/>
        <w:t xml:space="preserve">továbbá </w:t>
      </w:r>
      <w:proofErr w:type="spellStart"/>
      <w:r w:rsidRPr="005B3603">
        <w:t>megjegyzi</w:t>
      </w:r>
      <w:proofErr w:type="spellEnd"/>
      <w:r w:rsidRPr="005B3603">
        <w:t xml:space="preserve">, hogy a </w:t>
      </w:r>
      <w:proofErr w:type="spellStart"/>
      <w:r w:rsidRPr="005B3603">
        <w:t>magánszektorbeli</w:t>
      </w:r>
      <w:proofErr w:type="spellEnd"/>
      <w:r w:rsidRPr="005B3603">
        <w:t xml:space="preserve"> tagok jogilag kötelezettséget vállaltak arra, hogy 190,5 millió EUR összegű természetbeni hozzájárulást nyújtanak a Tiszta H2 Közös Vállalkozás operatív tevékenységeihez, valamint 1039 millió EUR összegű természetbeni hozzájárulást a kiegészítő tevékenységekhez, ami együttesen a 361 millió EUR összegű minimális cél 340,6%-</w:t>
      </w:r>
      <w:proofErr w:type="spellStart"/>
      <w:r w:rsidRPr="005B3603">
        <w:t>ának</w:t>
      </w:r>
      <w:proofErr w:type="spellEnd"/>
      <w:r w:rsidRPr="005B3603">
        <w:t xml:space="preserve"> felel meg; </w:t>
      </w:r>
      <w:proofErr w:type="spellStart"/>
      <w:r w:rsidRPr="005B3603">
        <w:t>megjegyzi</w:t>
      </w:r>
      <w:proofErr w:type="spellEnd"/>
      <w:r w:rsidRPr="005B3603">
        <w:t>, hogy ezek a lekötött összegek 2022 végén teljes egészében szerepeltek a beszámolóban;</w:t>
      </w:r>
    </w:p>
    <w:p w:rsidR="00B273EE" w:rsidRPr="005B3603" w:rsidRDefault="00B273EE" w:rsidP="00B27439">
      <w:pPr>
        <w:widowControl/>
        <w:spacing w:after="240"/>
        <w:ind w:left="567" w:hanging="567"/>
      </w:pPr>
      <w:r w:rsidRPr="005B3603">
        <w:t>14.</w:t>
      </w:r>
      <w:r w:rsidRPr="005B3603">
        <w:tab/>
      </w:r>
      <w:proofErr w:type="spellStart"/>
      <w:r w:rsidRPr="005B3603">
        <w:t>megjegyzi</w:t>
      </w:r>
      <w:proofErr w:type="spellEnd"/>
      <w:r w:rsidRPr="005B3603">
        <w:t>, hogy a Horizont 2020 tevékenységeire nézve a Tiszta H2 Közös Vállalkozás nem részesült új operatív kötelezettségvállalási előirányzatban, mivel 2020 végéig utolsó pályázati felhívását is lezárta;</w:t>
      </w:r>
    </w:p>
    <w:p w:rsidR="00B273EE" w:rsidRPr="005B3603" w:rsidRDefault="00B273EE" w:rsidP="00B27439">
      <w:pPr>
        <w:widowControl/>
        <w:spacing w:after="240"/>
        <w:ind w:left="567" w:hanging="567"/>
      </w:pPr>
      <w:r w:rsidRPr="005B3603">
        <w:t>15.</w:t>
      </w:r>
      <w:r w:rsidRPr="005B3603">
        <w:tab/>
        <w:t xml:space="preserve">a számvevőszéki jelentés alapján </w:t>
      </w:r>
      <w:proofErr w:type="spellStart"/>
      <w:r w:rsidRPr="005B3603">
        <w:t>megjegyzi</w:t>
      </w:r>
      <w:proofErr w:type="spellEnd"/>
      <w:r w:rsidRPr="005B3603">
        <w:t xml:space="preserve">, hogy a Horizont 2020 tevékenységeire vonatkozó 2022. évi költségvetés operatív kifizetéseinek végrehajtása csökkent (2022-ben 81% a 2021. évi 88%-hoz képest), mivel a kedvezményezettek a Covid19-válság és az Ukrajna elleni agressziós háború nyomán növekvő költségekkel és végrehajtási problémákkal </w:t>
      </w:r>
      <w:proofErr w:type="spellStart"/>
      <w:r w:rsidRPr="005B3603">
        <w:t>szembesültek</w:t>
      </w:r>
      <w:proofErr w:type="spellEnd"/>
      <w:r w:rsidRPr="005B3603">
        <w:t>, és ennek következtében a Horizont 2020 projektjei többségének időtartamát meg kellett hosszabbítani, és a végső kifizetéseket 2023-ra kellett halasztani;</w:t>
      </w:r>
    </w:p>
    <w:p w:rsidR="00B273EE" w:rsidRPr="005B3603" w:rsidRDefault="00B273EE" w:rsidP="00B27439">
      <w:pPr>
        <w:widowControl/>
        <w:spacing w:after="240"/>
        <w:ind w:left="567" w:hanging="567"/>
      </w:pPr>
      <w:r w:rsidRPr="005B3603">
        <w:lastRenderedPageBreak/>
        <w:t>16.</w:t>
      </w:r>
      <w:r w:rsidRPr="005B3603">
        <w:tab/>
      </w:r>
      <w:proofErr w:type="spellStart"/>
      <w:r w:rsidRPr="005B3603">
        <w:t>megjegyzi</w:t>
      </w:r>
      <w:proofErr w:type="spellEnd"/>
      <w:r w:rsidRPr="005B3603">
        <w:t>, hogy a Horizont Európa programot illetően a Bizottság 2022-ben 80 millió EUR összegű pénzbeli hozzájárulást nyújtott, amelyből a Tiszta H2 Közös Vállalkozás 47 millió EUR-t, azaz 59%-</w:t>
      </w:r>
      <w:proofErr w:type="spellStart"/>
      <w:r w:rsidRPr="005B3603">
        <w:t>ot</w:t>
      </w:r>
      <w:proofErr w:type="spellEnd"/>
      <w:r w:rsidRPr="005B3603">
        <w:t xml:space="preserve"> fordított a Horizont Európa program keretében megkötött első támogatási megállapodásokhoz kapcsolódó előfinanszírozási kifizetésekre;</w:t>
      </w:r>
    </w:p>
    <w:p w:rsidR="00B273EE" w:rsidRPr="005B3603" w:rsidRDefault="00B273EE" w:rsidP="00B27439">
      <w:pPr>
        <w:widowControl/>
        <w:spacing w:after="240"/>
        <w:ind w:left="567" w:hanging="567"/>
      </w:pPr>
      <w:r w:rsidRPr="005B3603">
        <w:t>17.</w:t>
      </w:r>
      <w:r w:rsidRPr="005B3603">
        <w:tab/>
      </w:r>
      <w:proofErr w:type="spellStart"/>
      <w:r w:rsidRPr="005B3603">
        <w:t>megjegyzi</w:t>
      </w:r>
      <w:proofErr w:type="spellEnd"/>
      <w:r w:rsidRPr="005B3603">
        <w:t xml:space="preserve">, hogy a Tiszta </w:t>
      </w:r>
      <w:r w:rsidR="00955E20" w:rsidRPr="005B3603">
        <w:t xml:space="preserve">H2 </w:t>
      </w:r>
      <w:r w:rsidRPr="005B3603">
        <w:t xml:space="preserve">Közös Vállalkozás a Horizont Európa keretében közzétette az első pályázati felhívást a hidrogénre vonatkozóan, összesen 300 millió EUR értékben; </w:t>
      </w:r>
      <w:proofErr w:type="spellStart"/>
      <w:r w:rsidRPr="005B3603">
        <w:t>megjegyzi</w:t>
      </w:r>
      <w:proofErr w:type="spellEnd"/>
      <w:r w:rsidRPr="005B3603">
        <w:t>, hogy a 2022. évi pályázati felhívás értékelése nyomán visszavontak négy olyan témát, amelyekkel kapcsolatban nem nyújtottak be megfelelő pályázatot</w:t>
      </w:r>
      <w:r w:rsidRPr="005B3603">
        <w:rPr>
          <w:rStyle w:val="FootnoteReference"/>
        </w:rPr>
        <w:footnoteReference w:id="17"/>
      </w:r>
      <w:r w:rsidRPr="005B3603">
        <w:t xml:space="preserve">; </w:t>
      </w:r>
      <w:proofErr w:type="spellStart"/>
      <w:r w:rsidRPr="005B3603">
        <w:t>megjegyzi</w:t>
      </w:r>
      <w:proofErr w:type="spellEnd"/>
      <w:r w:rsidRPr="005B3603">
        <w:t>, hogy a Tiszta H2 Közös Vállalkozás 33 millió EUR összegű fel nem használt kifizetési költségvetést vitt át 2023-ra az új támogatási megállapodásokhoz kapcsolódó előfinanszírozások kifizetésére, amelyeket a tervek szerint 2023 elején kellett aláírni;</w:t>
      </w:r>
    </w:p>
    <w:p w:rsidR="00B273EE" w:rsidRPr="005B3603" w:rsidRDefault="00B273EE" w:rsidP="00B27439">
      <w:pPr>
        <w:widowControl/>
        <w:spacing w:after="240"/>
        <w:ind w:left="567" w:hanging="567"/>
      </w:pPr>
      <w:r w:rsidRPr="005B3603">
        <w:t>18.</w:t>
      </w:r>
      <w:r w:rsidRPr="005B3603">
        <w:tab/>
        <w:t xml:space="preserve">a számvevőszéki jelentés alapján </w:t>
      </w:r>
      <w:proofErr w:type="spellStart"/>
      <w:r w:rsidRPr="005B3603">
        <w:t>megjegyzi</w:t>
      </w:r>
      <w:proofErr w:type="spellEnd"/>
      <w:r w:rsidRPr="005B3603">
        <w:t xml:space="preserve">, hogy 2022 végén az igazgatási költségvetés (2. cím) esetében a végrehajtási arányok alacsonyak voltak: a kötelezettségvállalási előirányzatoknál 62%, a kifizetési előirányzatoknál pedig 51%; </w:t>
      </w:r>
      <w:proofErr w:type="spellStart"/>
      <w:r w:rsidRPr="005B3603">
        <w:t>megjegyzi</w:t>
      </w:r>
      <w:proofErr w:type="spellEnd"/>
      <w:r w:rsidRPr="005B3603">
        <w:t>, hogy a Tiszta H2 Közös Vállalkozás kifejtette, hogy ennek oka a „Hidrogénhét” elnevezésű esemény megszervezésével kapcsolatos kifizetések felfüggesztése, az irodaépület felújítására irányuló közbeszerzési eljárás elhalasztása, valamint egy fontos szolgáltatási keretszerződés késedelmes megkötése volt;</w:t>
      </w:r>
    </w:p>
    <w:p w:rsidR="00B273EE" w:rsidRPr="005B3603" w:rsidRDefault="00B273EE" w:rsidP="00B27439">
      <w:pPr>
        <w:widowControl/>
        <w:spacing w:after="240"/>
        <w:ind w:left="567" w:hanging="567"/>
        <w:rPr>
          <w:b/>
          <w:i/>
        </w:rPr>
      </w:pPr>
      <w:r w:rsidRPr="005B3603">
        <w:rPr>
          <w:b/>
          <w:i/>
        </w:rPr>
        <w:t>Közbeszerzés és személyzet</w:t>
      </w:r>
    </w:p>
    <w:p w:rsidR="00B273EE" w:rsidRPr="005B3603" w:rsidRDefault="00B273EE" w:rsidP="00B27439">
      <w:pPr>
        <w:widowControl/>
        <w:spacing w:after="240"/>
        <w:ind w:left="567" w:hanging="567"/>
      </w:pPr>
      <w:r w:rsidRPr="005B3603">
        <w:t>19.</w:t>
      </w:r>
      <w:r w:rsidRPr="005B3603">
        <w:tab/>
        <w:t xml:space="preserve">a konszolidált éves tevékenységi jelentés alapján </w:t>
      </w:r>
      <w:proofErr w:type="spellStart"/>
      <w:r w:rsidRPr="005B3603">
        <w:t>megjegyzi</w:t>
      </w:r>
      <w:proofErr w:type="spellEnd"/>
      <w:r w:rsidRPr="005B3603">
        <w:t xml:space="preserve">, hogy 2022-ben – a Tiszta H2 Közös Vállalkozás elmúlt években folytatott gyakorlatának folytatásaként – a pályázat- és szerződéskezelés magában foglalta a Bizottság vagy más uniós szervek által indított intézményközi közbeszerzési eljárásokat és az ezekből eredő többéves keretszerződéseket; </w:t>
      </w:r>
      <w:proofErr w:type="spellStart"/>
      <w:r w:rsidRPr="005B3603">
        <w:t>megjegyzi</w:t>
      </w:r>
      <w:proofErr w:type="spellEnd"/>
      <w:r w:rsidRPr="005B3603">
        <w:t xml:space="preserve"> továbbá, hogy a Tiszta H2 Közös Vállalkozás az adminisztratív erőfeszítések minimalizálása érdekében együttműködik más közös vállalkozásokkal is a pályázati igények terén;</w:t>
      </w:r>
    </w:p>
    <w:p w:rsidR="00B273EE" w:rsidRPr="005B3603" w:rsidRDefault="00B273EE" w:rsidP="00B27439">
      <w:pPr>
        <w:widowControl/>
        <w:spacing w:after="240"/>
        <w:ind w:left="567" w:hanging="567"/>
      </w:pPr>
      <w:r w:rsidRPr="005B3603">
        <w:t>20.</w:t>
      </w:r>
      <w:r w:rsidRPr="005B3603">
        <w:tab/>
      </w:r>
      <w:proofErr w:type="spellStart"/>
      <w:r w:rsidRPr="005B3603">
        <w:t>megjegyzi</w:t>
      </w:r>
      <w:proofErr w:type="spellEnd"/>
      <w:r w:rsidRPr="005B3603">
        <w:t xml:space="preserve">, hogy a Tiszta H2 Közös Vállalkozás jelentős mértékben használta az </w:t>
      </w:r>
      <w:proofErr w:type="spellStart"/>
      <w:r w:rsidRPr="005B3603">
        <w:t>eTendering</w:t>
      </w:r>
      <w:proofErr w:type="spellEnd"/>
      <w:r w:rsidRPr="005B3603">
        <w:t xml:space="preserve">, az </w:t>
      </w:r>
      <w:proofErr w:type="spellStart"/>
      <w:r w:rsidRPr="005B3603">
        <w:t>eNotices</w:t>
      </w:r>
      <w:proofErr w:type="spellEnd"/>
      <w:r w:rsidRPr="005B3603">
        <w:t xml:space="preserve"> és az </w:t>
      </w:r>
      <w:proofErr w:type="spellStart"/>
      <w:r w:rsidRPr="005B3603">
        <w:t>eSubmission</w:t>
      </w:r>
      <w:proofErr w:type="spellEnd"/>
      <w:r w:rsidRPr="005B3603">
        <w:t xml:space="preserve"> modulokat, és megkezdte a közbeszerzések kezelésére szolgáló eszköz (PPMT) beépítését, amelyet 2023-ban fognak elkezdni használni;</w:t>
      </w:r>
    </w:p>
    <w:p w:rsidR="00B273EE" w:rsidRPr="005B3603" w:rsidRDefault="00B273EE" w:rsidP="00B27439">
      <w:pPr>
        <w:widowControl/>
        <w:spacing w:after="240"/>
        <w:ind w:left="567" w:hanging="567"/>
      </w:pPr>
      <w:r w:rsidRPr="005B3603">
        <w:t>21.</w:t>
      </w:r>
      <w:r w:rsidRPr="005B3603">
        <w:tab/>
      </w:r>
      <w:proofErr w:type="spellStart"/>
      <w:r w:rsidRPr="005B3603">
        <w:t>megjegyzi</w:t>
      </w:r>
      <w:proofErr w:type="spellEnd"/>
      <w:r w:rsidRPr="005B3603">
        <w:t xml:space="preserve">, hogy a Tiszta H2 Közös Vállalkozásnak a személyzeti szabályzat hatálya alá tartozó személyzete 29 főből áll (27 ideiglenes alkalmazott és 2 szerződéses alkalmazott); </w:t>
      </w:r>
      <w:proofErr w:type="spellStart"/>
      <w:r w:rsidRPr="005B3603">
        <w:t>megjegyzi</w:t>
      </w:r>
      <w:proofErr w:type="spellEnd"/>
      <w:r w:rsidRPr="005B3603">
        <w:t xml:space="preserve"> továbbá, hogy a személyzet tagjai között két kirendelt nemzeti szakértő szerepel;</w:t>
      </w:r>
    </w:p>
    <w:p w:rsidR="00B273EE" w:rsidRPr="005B3603" w:rsidRDefault="00B273EE" w:rsidP="00B27439">
      <w:pPr>
        <w:widowControl/>
        <w:spacing w:after="240"/>
        <w:ind w:left="567" w:hanging="567"/>
      </w:pPr>
      <w:r w:rsidRPr="005B3603">
        <w:t>22.</w:t>
      </w:r>
      <w:r w:rsidRPr="005B3603">
        <w:tab/>
        <w:t xml:space="preserve">a 2022. évi konszolidált éves tevékenységi jelentés alapján </w:t>
      </w:r>
      <w:proofErr w:type="spellStart"/>
      <w:r w:rsidRPr="005B3603">
        <w:t>megjegyzi</w:t>
      </w:r>
      <w:proofErr w:type="spellEnd"/>
      <w:r w:rsidRPr="005B3603">
        <w:t xml:space="preserve">, hogy a személyzet minden tagja számára folyamatosan korszerűsítik a digitális munkahelyet: a Tiszta H2 Közös Vállalkozás személyzete megfelelő hozzáférést kapott a Bizottság támogatáskezelési alkalmazásainak teljes köréhez; a hardver megújítására a terveknek megfelelően került sor az olyan alapvető alkalmazások engedélyének szükséges megújításával együtt, mint a </w:t>
      </w:r>
      <w:proofErr w:type="spellStart"/>
      <w:r w:rsidRPr="005B3603">
        <w:t>Slido</w:t>
      </w:r>
      <w:proofErr w:type="spellEnd"/>
      <w:r w:rsidRPr="005B3603">
        <w:t xml:space="preserve">, a </w:t>
      </w:r>
      <w:proofErr w:type="spellStart"/>
      <w:r w:rsidRPr="005B3603">
        <w:t>Webex</w:t>
      </w:r>
      <w:proofErr w:type="spellEnd"/>
      <w:r w:rsidRPr="005B3603">
        <w:t xml:space="preserve">, a Business </w:t>
      </w:r>
      <w:proofErr w:type="spellStart"/>
      <w:r w:rsidRPr="005B3603">
        <w:t>Object</w:t>
      </w:r>
      <w:proofErr w:type="spellEnd"/>
      <w:r w:rsidRPr="005B3603">
        <w:t xml:space="preserve">, az Adobe vagy a </w:t>
      </w:r>
      <w:r w:rsidRPr="005B3603">
        <w:lastRenderedPageBreak/>
        <w:t>mobiltelefonok, ami nagyobb rugalmasságot tett lehetővé a személyzet minden tagja számára az új távmunkarendszer keretében;</w:t>
      </w:r>
    </w:p>
    <w:p w:rsidR="00B273EE" w:rsidRPr="005B3603" w:rsidRDefault="00B273EE" w:rsidP="00B27439">
      <w:pPr>
        <w:widowControl/>
        <w:spacing w:after="240"/>
        <w:ind w:left="567" w:hanging="567"/>
      </w:pPr>
      <w:r w:rsidRPr="005B3603">
        <w:t>23.</w:t>
      </w:r>
      <w:r w:rsidRPr="005B3603">
        <w:tab/>
      </w:r>
      <w:proofErr w:type="spellStart"/>
      <w:r w:rsidRPr="005B3603">
        <w:t>megjegyzi</w:t>
      </w:r>
      <w:proofErr w:type="spellEnd"/>
      <w:r w:rsidRPr="005B3603">
        <w:t xml:space="preserve">, hogy az Európai Unió tisztviselőinek személyzeti szabályzata és az Unió egyéb </w:t>
      </w:r>
      <w:proofErr w:type="spellStart"/>
      <w:r w:rsidRPr="005B3603">
        <w:t>alkalmazottaira</w:t>
      </w:r>
      <w:proofErr w:type="spellEnd"/>
      <w:r w:rsidRPr="005B3603">
        <w:t xml:space="preserve"> vonatkozó alkalmazási feltételek megállapításáról szóló 259/68/EGK, Euratom, ESZAK tanácsi rendeletben</w:t>
      </w:r>
      <w:r w:rsidRPr="005B3603">
        <w:rPr>
          <w:rStyle w:val="FootnoteReference"/>
        </w:rPr>
        <w:footnoteReference w:id="18"/>
      </w:r>
      <w:r w:rsidRPr="005B3603">
        <w:t xml:space="preserve"> meghatározottaknak, valamint a Tiszta H2 Közös Vállalkozás iránymutatásainak megfelelően a külső felvételi eljárások esetén a személyzeti bizottságnak legalább egy tagot kell jelölnie a kiválasztási bizottságba; </w:t>
      </w:r>
      <w:proofErr w:type="spellStart"/>
      <w:r w:rsidRPr="005B3603">
        <w:t>megjegyzi</w:t>
      </w:r>
      <w:proofErr w:type="spellEnd"/>
      <w:r w:rsidRPr="005B3603">
        <w:t>, hogy a Számvevőszék megállapította, hogy az ellenőrzött felvételi eljárás kiválasztási bizottságának tagjai között nem szerepelt a személyzeti bizottság által kijelölt tag, és hogy a Tiszta H2 Közös Vállalkozás nem tudott személyzeti bizottságot felállítani annak ellenére, hogy személyzete körében a részvételi szándék kifejezésére irányuló több felhívást tett közzé;</w:t>
      </w:r>
    </w:p>
    <w:p w:rsidR="00B273EE" w:rsidRPr="005B3603" w:rsidRDefault="00B273EE" w:rsidP="00B27439">
      <w:pPr>
        <w:widowControl/>
        <w:spacing w:after="240"/>
        <w:ind w:left="567" w:hanging="567"/>
        <w:rPr>
          <w:b/>
          <w:i/>
        </w:rPr>
      </w:pPr>
      <w:r w:rsidRPr="005B3603">
        <w:rPr>
          <w:b/>
          <w:i/>
        </w:rPr>
        <w:t>Irányítási és kontrollrendszerek</w:t>
      </w:r>
    </w:p>
    <w:p w:rsidR="00B273EE" w:rsidRPr="005B3603" w:rsidRDefault="00B273EE" w:rsidP="00B27439">
      <w:pPr>
        <w:widowControl/>
        <w:spacing w:after="240"/>
        <w:ind w:left="567" w:hanging="567"/>
      </w:pPr>
      <w:r w:rsidRPr="005B3603">
        <w:t>24.</w:t>
      </w:r>
      <w:r w:rsidRPr="005B3603">
        <w:tab/>
      </w:r>
      <w:proofErr w:type="spellStart"/>
      <w:r w:rsidRPr="005B3603">
        <w:t>megjegyzi</w:t>
      </w:r>
      <w:proofErr w:type="spellEnd"/>
      <w:r w:rsidRPr="005B3603">
        <w:t xml:space="preserve">, hogy a hetedik keretprogram kifizetései kapcsán a Tiszta H2 Közös Vállalkozás utólagos ellenőrzéseket végzett, míg a Horizont 2020 és a Horizont Európa kifizetéseit illetően a Bizottság Kutatási és Innovációs Főigazgatóságának Közös Ellenőrzési Szolgálata felelt az utólagos ellenőrzésekért; </w:t>
      </w:r>
      <w:proofErr w:type="spellStart"/>
      <w:r w:rsidRPr="005B3603">
        <w:t>megjegyzi</w:t>
      </w:r>
      <w:proofErr w:type="spellEnd"/>
      <w:r w:rsidRPr="005B3603">
        <w:t xml:space="preserve"> továbbá, hogy a hetedik keretprogram 2022. évi végleges kiadásai tekintetében a Tiszta H2 Közös Vállalkozás a jelentéktelen összegek miatt nem végzett utólagos ellenőrzéseket, és hogy ennek megfelelően a hetedik keretprogram kiadásaira vonatkozó végleges hibaarányként a 2,0%-</w:t>
      </w:r>
      <w:proofErr w:type="spellStart"/>
      <w:r w:rsidRPr="005B3603">
        <w:t>os</w:t>
      </w:r>
      <w:proofErr w:type="spellEnd"/>
      <w:r w:rsidRPr="005B3603">
        <w:t xml:space="preserve"> reprezentatív hibaarányt és a 2021 végén elért 1,1%-</w:t>
      </w:r>
      <w:proofErr w:type="spellStart"/>
      <w:r w:rsidRPr="005B3603">
        <w:t>os</w:t>
      </w:r>
      <w:proofErr w:type="spellEnd"/>
      <w:r w:rsidRPr="005B3603">
        <w:t xml:space="preserve"> fennmaradó hibaarányt tette közzé;</w:t>
      </w:r>
    </w:p>
    <w:p w:rsidR="00B273EE" w:rsidRPr="005B3603" w:rsidRDefault="00B273EE" w:rsidP="00B27439">
      <w:pPr>
        <w:widowControl/>
        <w:spacing w:after="240"/>
        <w:ind w:left="567" w:hanging="567"/>
      </w:pPr>
      <w:r w:rsidRPr="005B3603">
        <w:t>25.</w:t>
      </w:r>
      <w:r w:rsidRPr="005B3603">
        <w:tab/>
      </w:r>
      <w:proofErr w:type="spellStart"/>
      <w:r w:rsidRPr="005B3603">
        <w:t>megjegyzi</w:t>
      </w:r>
      <w:proofErr w:type="spellEnd"/>
      <w:r w:rsidRPr="005B3603">
        <w:t>, hogy a Tiszta H2 Közös Vállalkozás Horizont 2020 programmal kapcsolatos kiadásait (elszámolások és záró kifizetések) illetően a közös vállalkozás 2,9%-</w:t>
      </w:r>
      <w:proofErr w:type="spellStart"/>
      <w:r w:rsidRPr="005B3603">
        <w:t>os</w:t>
      </w:r>
      <w:proofErr w:type="spellEnd"/>
      <w:r w:rsidRPr="005B3603">
        <w:t xml:space="preserve"> reprezentatív hibaarányról és 0,9%-</w:t>
      </w:r>
      <w:proofErr w:type="spellStart"/>
      <w:r w:rsidRPr="005B3603">
        <w:t>os</w:t>
      </w:r>
      <w:proofErr w:type="spellEnd"/>
      <w:r w:rsidRPr="005B3603">
        <w:t xml:space="preserve"> fennmaradó hibaarányról számolt be</w:t>
      </w:r>
      <w:r w:rsidRPr="005B3603">
        <w:rPr>
          <w:rStyle w:val="FootnoteReference"/>
        </w:rPr>
        <w:footnoteReference w:id="19"/>
      </w:r>
      <w:r w:rsidRPr="005B3603">
        <w:t xml:space="preserve">; továbbá </w:t>
      </w:r>
      <w:proofErr w:type="spellStart"/>
      <w:r w:rsidRPr="005B3603">
        <w:t>megjegyzi</w:t>
      </w:r>
      <w:proofErr w:type="spellEnd"/>
      <w:r w:rsidRPr="005B3603">
        <w:t>, hogy a Horizont Európa program esetében utólagos ellenőrzésekre nem került sor, mivel az első időközi kifizetések csak 2024-ben várhatók;</w:t>
      </w:r>
    </w:p>
    <w:p w:rsidR="00B273EE" w:rsidRPr="005B3603" w:rsidRDefault="00B273EE" w:rsidP="00B27439">
      <w:pPr>
        <w:widowControl/>
        <w:spacing w:after="240"/>
        <w:ind w:left="567" w:hanging="567"/>
      </w:pPr>
      <w:r w:rsidRPr="005B3603">
        <w:t>26.</w:t>
      </w:r>
      <w:r w:rsidRPr="005B3603">
        <w:tab/>
      </w:r>
      <w:proofErr w:type="spellStart"/>
      <w:r w:rsidRPr="005B3603">
        <w:t>megjegyzi</w:t>
      </w:r>
      <w:proofErr w:type="spellEnd"/>
      <w:r w:rsidRPr="005B3603">
        <w:t>, hogy a Tiszta H2 Közös Vállalkozás operatív kifizetésekre vonatkozó kontrolljainak értékeléséhez a Számvevőszék a végső kedvezményezettek szintjén egy véletlen mintán megvizsgálta a Horizont 2020 keretében 2022-ben teljesített kifizetéseket</w:t>
      </w:r>
      <w:r w:rsidRPr="005B3603">
        <w:rPr>
          <w:rStyle w:val="FootnoteReference"/>
        </w:rPr>
        <w:footnoteReference w:id="20"/>
      </w:r>
      <w:r w:rsidRPr="005B3603">
        <w:t xml:space="preserve">; </w:t>
      </w:r>
      <w:proofErr w:type="spellStart"/>
      <w:r w:rsidRPr="005B3603">
        <w:t>megjegyzi</w:t>
      </w:r>
      <w:proofErr w:type="spellEnd"/>
      <w:r w:rsidRPr="005B3603">
        <w:t>, hogy egy esetben a Számvevőszék a személyzeti költségekből eredő súlyos hibát állapított meg és számszerűsített, mivel a kedvezményezett a szabadság ideje alatt ledolgozott órákat számolt el, és nem támogatható további bérköltségeket is belefoglalt az elszámolt költségekbe, egy másik esetben pedig a Számvevőszék olyan berendezésekkel kapcsolatban igényelt költségekből eredő súlyos hibát talált és számszerűsített, amelyeket a kedvezményezett az elszámolási időszakban nem használt, valamint a helytelenül kiszámított személyzeti költségekből eredően is súlyos hiba derült ki;</w:t>
      </w:r>
    </w:p>
    <w:p w:rsidR="00B273EE" w:rsidRPr="005B3603" w:rsidRDefault="00B273EE" w:rsidP="00B27439">
      <w:pPr>
        <w:pStyle w:val="NormalHanging12a"/>
        <w:widowControl/>
      </w:pPr>
      <w:r w:rsidRPr="005B3603">
        <w:lastRenderedPageBreak/>
        <w:t>27.</w:t>
      </w:r>
      <w:r w:rsidRPr="005B3603">
        <w:tab/>
        <w:t xml:space="preserve">üdvözli, hogy 2022 végéig a Tiszta H2 Közös Vállalkozás a Bizottság Közös Ellenőrzési Szolgálatának iránymutatásával összhangban az előzetes kontrollokra vonatkozó teljes kockázatalapú megközelítést dolgozott ki és hajtott végre, figyelembe véve a Tiszta H2 Közös Vállalkozás sajátos kockázati körülményeit; </w:t>
      </w:r>
      <w:proofErr w:type="spellStart"/>
      <w:r w:rsidRPr="005B3603">
        <w:t>megjegyzi</w:t>
      </w:r>
      <w:proofErr w:type="spellEnd"/>
      <w:r w:rsidRPr="005B3603">
        <w:t>, hogy e célból a Tiszta H2 Közös Vállalkozásnak sikerült meghatároznia a legrelevánsabb kockázati kritériumokat, és ezek alapján kockázatalapú monitoringmegközelítést alakított ki.</w:t>
      </w:r>
    </w:p>
    <w:p w:rsidR="00B273EE" w:rsidRPr="005B3603" w:rsidRDefault="00B273EE" w:rsidP="00B27439">
      <w:pPr>
        <w:widowControl/>
        <w:spacing w:after="240"/>
        <w:ind w:left="567" w:hanging="567"/>
      </w:pPr>
      <w:r w:rsidRPr="005B3603">
        <w:t>28.</w:t>
      </w:r>
      <w:r w:rsidRPr="005B3603">
        <w:tab/>
      </w:r>
      <w:proofErr w:type="spellStart"/>
      <w:r w:rsidRPr="005B3603">
        <w:t>megjegyzi</w:t>
      </w:r>
      <w:proofErr w:type="spellEnd"/>
      <w:r w:rsidRPr="005B3603">
        <w:t xml:space="preserve">, hogy ez a megközelítés lehetővé tette a Tiszta H2 Közös Vállalkozás számára, hogy felmérje az egyes projektek és kedvezményezettek kockázati szintjét a projekt végrehajtásának fő szakaszaiban, például a támogatási megállapodás előkészítése vagy módosítása, illetve a beszámolás és a kifizetés során; e tekintetben </w:t>
      </w:r>
      <w:proofErr w:type="spellStart"/>
      <w:r w:rsidRPr="005B3603">
        <w:t>megjegyzi</w:t>
      </w:r>
      <w:proofErr w:type="spellEnd"/>
      <w:r w:rsidRPr="005B3603">
        <w:t>, hogy a Tiszta H2 Közös Vállalkozás belső iránymutatást is kidolgozott kockázatalapú megközelítéséről, valamint képzést és iránymutatást nyújtott személyzetének tagjai számára annak megfelelő használatáról és következetes végrehajtásáról;</w:t>
      </w:r>
    </w:p>
    <w:p w:rsidR="00B273EE" w:rsidRPr="005B3603" w:rsidRDefault="00B273EE" w:rsidP="00B27439">
      <w:pPr>
        <w:pStyle w:val="NormalHanging12a"/>
        <w:widowControl/>
      </w:pPr>
      <w:r w:rsidRPr="005B3603">
        <w:t>29.</w:t>
      </w:r>
      <w:r w:rsidRPr="005B3603">
        <w:tab/>
        <w:t>üdvözli, hogy a Tiszta H2 Közös Vállalkozás kockázatalapú megközelítést dolgozott ki az utólagos ellenőrzésekre vonatkozóan, hogy azok javító hatásának megerősítése révén csökkentse hibaarányát;</w:t>
      </w:r>
    </w:p>
    <w:p w:rsidR="00B273EE" w:rsidRPr="005B3603" w:rsidRDefault="00B273EE" w:rsidP="00B27439">
      <w:pPr>
        <w:pStyle w:val="NormalHanging12a"/>
        <w:widowControl/>
      </w:pPr>
      <w:r w:rsidRPr="005B3603">
        <w:t>30.</w:t>
      </w:r>
      <w:r w:rsidRPr="005B3603">
        <w:tab/>
        <w:t xml:space="preserve">a számvevőszéki jelentés alapján </w:t>
      </w:r>
      <w:proofErr w:type="spellStart"/>
      <w:r w:rsidRPr="005B3603">
        <w:t>megjegyzi</w:t>
      </w:r>
      <w:proofErr w:type="spellEnd"/>
      <w:r w:rsidRPr="005B3603">
        <w:t xml:space="preserve">, hogy a Tiszta H2 Közös Vállalkozás testre szabott, kockázatalapú megközelítést dolgozott ki az előzetes kontrollokból és utólagos ellenőrzésekből származó bizonyosság növelésére: 2022 elején a Tiszta H2 Közös Vállalkozás elemezte a Horizont 2020 kedvezményezettjeinek teljes sokaságát, és kockázatalapú utólagos ellenőrzések céljából megjelölte a legkockázatosabb kedvezményezetteket; </w:t>
      </w:r>
      <w:proofErr w:type="spellStart"/>
      <w:r w:rsidRPr="005B3603">
        <w:t>megjegyzi</w:t>
      </w:r>
      <w:proofErr w:type="spellEnd"/>
      <w:r w:rsidRPr="005B3603">
        <w:t xml:space="preserve">, hogy a legkockázatosabb kedvezményezettek kivétel nélkül a legnagyobb kedvezményezettek közül kerültek ki, akik a Tiszta H2 Közös Vállalkozás által működtetett, a Horizont 2020-hoz tartozó összes projekt kapcsán több mint 1 millió EUR-s hozzájárulásban részesültek a Tiszta H2 Közös Vállalkozás részéről, soha nem képezték utólagos ellenőrzés tárgyát, illetve kockázati profiljuk szerint kis- és középvállalkozásnak vagy új belépőnek minősültek. </w:t>
      </w:r>
    </w:p>
    <w:p w:rsidR="00B273EE" w:rsidRPr="005B3603" w:rsidRDefault="00B273EE" w:rsidP="00B27439">
      <w:pPr>
        <w:widowControl/>
        <w:spacing w:after="240"/>
        <w:ind w:left="567" w:hanging="567"/>
      </w:pPr>
      <w:r w:rsidRPr="005B3603">
        <w:t>31.</w:t>
      </w:r>
      <w:r w:rsidRPr="005B3603">
        <w:tab/>
      </w:r>
      <w:proofErr w:type="spellStart"/>
      <w:r w:rsidRPr="005B3603">
        <w:t>megjegyzi</w:t>
      </w:r>
      <w:proofErr w:type="spellEnd"/>
      <w:r w:rsidRPr="005B3603">
        <w:t xml:space="preserve">, hogy a többi fő </w:t>
      </w:r>
      <w:proofErr w:type="spellStart"/>
      <w:r w:rsidRPr="005B3603">
        <w:t>kedvezményezettel</w:t>
      </w:r>
      <w:proofErr w:type="spellEnd"/>
      <w:r w:rsidRPr="005B3603">
        <w:t xml:space="preserve"> kitöltettek egy rövid önértékelési kérdőívet, amely a korábbi utólagos ellenőrzések során feltárt leggyakoribb hibákra összpontosított: ilyen volt például a kiválasztott személyiköltség-opció összetettsége, az alvállalkozásba adás jelentős mértéke, az eszközbeszerzések, a belső szolgáltatásnyújtások, a költségbevallás módszere, valamint a korábbi utólagos ellenőrzések eredményeinek végrehajtása; </w:t>
      </w:r>
      <w:proofErr w:type="spellStart"/>
      <w:r w:rsidRPr="005B3603">
        <w:t>megjegyzi</w:t>
      </w:r>
      <w:proofErr w:type="spellEnd"/>
      <w:r w:rsidRPr="005B3603">
        <w:t xml:space="preserve">, hogy válaszaik alapján a Tiszta H2 Közös Vállalkozás azonosította azokat a fő kedvezményezetteket, akik esetében magas az előzetes kontrollkockázat, és pénzügyi </w:t>
      </w:r>
      <w:proofErr w:type="spellStart"/>
      <w:r w:rsidRPr="005B3603">
        <w:t>webináriumokat</w:t>
      </w:r>
      <w:proofErr w:type="spellEnd"/>
      <w:r w:rsidRPr="005B3603">
        <w:t xml:space="preserve"> tartott számukra, amelyek a jelentős költségtételeket tartalmazó helyes költségnyilatkozat fő jellemzőire összpontosítottak; továbbá </w:t>
      </w:r>
      <w:proofErr w:type="spellStart"/>
      <w:r w:rsidRPr="005B3603">
        <w:t>megjegyzi</w:t>
      </w:r>
      <w:proofErr w:type="spellEnd"/>
      <w:r w:rsidRPr="005B3603">
        <w:t xml:space="preserve">, hogy a </w:t>
      </w:r>
      <w:proofErr w:type="spellStart"/>
      <w:r w:rsidRPr="005B3603">
        <w:t>webináriumok</w:t>
      </w:r>
      <w:proofErr w:type="spellEnd"/>
      <w:r w:rsidRPr="005B3603">
        <w:t xml:space="preserve"> eredményeit a Tiszta H2 Közös Vállalkozás projekt- és pénzügyi tisztviselői felhasználták az e fő kedvezményezettek soron következő költségnyilatkozataira vonatkozó előzetes kontrollok eredményességének javítására (kifizetési szakasz);</w:t>
      </w:r>
    </w:p>
    <w:p w:rsidR="00B273EE" w:rsidRPr="005B3603" w:rsidRDefault="00B273EE" w:rsidP="00B27439">
      <w:pPr>
        <w:widowControl/>
        <w:spacing w:after="240"/>
        <w:ind w:left="567" w:hanging="567"/>
      </w:pPr>
      <w:r w:rsidRPr="005B3603">
        <w:t>32.</w:t>
      </w:r>
      <w:r w:rsidRPr="005B3603">
        <w:tab/>
        <w:t xml:space="preserve">nagyra értékeli, hogy a Tiszta H2 Közös Vállalkozás kockázatalapú megközelítést dolgozott ki az utólagos ellenőrzésre azzal a céllal, hogy </w:t>
      </w:r>
      <w:proofErr w:type="spellStart"/>
      <w:r w:rsidRPr="005B3603">
        <w:t>célzottabb</w:t>
      </w:r>
      <w:proofErr w:type="spellEnd"/>
      <w:r w:rsidRPr="005B3603">
        <w:t xml:space="preserve"> mintával csökkentse a hibaarányt a hibákra leginkább hajlamos kedvezményezettek feltárása érdekében, és ezáltal erősítse utólagos ellenőrzéseik javító hatását; úgy véli, hogy ez fontos pozitív változás az utólagos ellenőrzéssel kapcsolatos megközelítésben, mivel a Horizont </w:t>
      </w:r>
      <w:r w:rsidRPr="005B3603">
        <w:lastRenderedPageBreak/>
        <w:t>Európa programból nyújtott támogatásokra vonatkozó bizottsági belsőkontroll-keret nem teszi lehetővé a közös vállalkozás egyedi reprezentatív mintáinak létrehozását, és következésképpen a közös vállalkozásokra vonatkozó egyedi reprezentatív és fennmaradó hibaarányok kiszámítását;</w:t>
      </w:r>
    </w:p>
    <w:p w:rsidR="00B273EE" w:rsidRPr="005B3603" w:rsidRDefault="00B273EE" w:rsidP="00B27439">
      <w:pPr>
        <w:widowControl/>
        <w:spacing w:after="240"/>
        <w:ind w:left="567" w:hanging="567"/>
      </w:pPr>
      <w:r w:rsidRPr="005B3603">
        <w:t>33.</w:t>
      </w:r>
      <w:r w:rsidRPr="005B3603">
        <w:tab/>
      </w:r>
      <w:proofErr w:type="spellStart"/>
      <w:r w:rsidRPr="005B3603">
        <w:t>megjegyzi</w:t>
      </w:r>
      <w:proofErr w:type="spellEnd"/>
      <w:r w:rsidRPr="005B3603">
        <w:t>, hogy a Számvevőszék úgy találta, hogy a kellően kidolgozott, kockázatalapú utólagos ellenőrzési megközelítést alkalmazó közös vállalkozások fennmaradó hibaaránya a legkockázatosabb kedvezményezettek szisztematikus feltárásának és ellenőrzésének köszönhetően alacsonyabb volt az ilyen megközelítést mellőző közös vállalkozások átlagánál;</w:t>
      </w:r>
    </w:p>
    <w:p w:rsidR="00B273EE" w:rsidRPr="005B3603" w:rsidRDefault="00B273EE" w:rsidP="00B27439">
      <w:pPr>
        <w:widowControl/>
        <w:spacing w:after="240"/>
        <w:ind w:left="567" w:hanging="567"/>
        <w:rPr>
          <w:b/>
          <w:i/>
        </w:rPr>
      </w:pPr>
      <w:r w:rsidRPr="005B3603">
        <w:rPr>
          <w:b/>
          <w:i/>
        </w:rPr>
        <w:t>A korábbi évek észrevételeinek hasznosulása</w:t>
      </w:r>
    </w:p>
    <w:p w:rsidR="00B273EE" w:rsidRPr="005B3603" w:rsidRDefault="00B273EE" w:rsidP="00B27439">
      <w:pPr>
        <w:widowControl/>
        <w:spacing w:after="240"/>
        <w:ind w:left="567" w:hanging="567"/>
      </w:pPr>
      <w:r w:rsidRPr="005B3603">
        <w:t>34.</w:t>
      </w:r>
      <w:r w:rsidRPr="005B3603">
        <w:tab/>
      </w:r>
      <w:proofErr w:type="spellStart"/>
      <w:r w:rsidRPr="005B3603">
        <w:t>megjegyzi</w:t>
      </w:r>
      <w:proofErr w:type="spellEnd"/>
      <w:r w:rsidRPr="005B3603">
        <w:t xml:space="preserve">, hogy a Tiszta H2 Közös Vállalkozás külön éves jelentéseiben szereplő „észrevételek” valójában „időhöz nem kötött ajánlások” a Számvevőszék részéről; </w:t>
      </w:r>
      <w:proofErr w:type="spellStart"/>
      <w:r w:rsidRPr="005B3603">
        <w:t>megjegyzi</w:t>
      </w:r>
      <w:proofErr w:type="spellEnd"/>
      <w:r w:rsidRPr="005B3603">
        <w:t>, hogy a Számvevőszék évente nyomon követi ezeket az észrevételeket, értékelve azok „nyitott” vagy „lezárt” státuszát;</w:t>
      </w:r>
    </w:p>
    <w:p w:rsidR="00B273EE" w:rsidRPr="008E03A3" w:rsidRDefault="00B273EE" w:rsidP="00B27439">
      <w:pPr>
        <w:widowControl/>
        <w:spacing w:after="240"/>
        <w:ind w:left="567" w:hanging="567"/>
      </w:pPr>
      <w:r w:rsidRPr="005B3603">
        <w:t>35.</w:t>
      </w:r>
      <w:r w:rsidRPr="005B3603">
        <w:tab/>
      </w:r>
      <w:proofErr w:type="spellStart"/>
      <w:r w:rsidRPr="005B3603">
        <w:t>megjegyzi</w:t>
      </w:r>
      <w:proofErr w:type="spellEnd"/>
      <w:r w:rsidRPr="005B3603">
        <w:t>, hogy a Tiszta H2 Közös Vállalkozás esetében – a Tiszta H2 Közös Vállalkozás által 2022-ben tett korrekciós intézkedések nyomán – a korábbi évek valamennyi észrevétele lezárult.</w:t>
      </w:r>
    </w:p>
    <w:sectPr w:rsidR="00B273EE" w:rsidRPr="008E03A3" w:rsidSect="00B2743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567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695E" w:rsidRPr="008E03A3" w:rsidRDefault="00BC695E">
      <w:r w:rsidRPr="008E03A3">
        <w:separator/>
      </w:r>
    </w:p>
  </w:endnote>
  <w:endnote w:type="continuationSeparator" w:id="0">
    <w:p w:rsidR="00BC695E" w:rsidRPr="008E03A3" w:rsidRDefault="00BC695E">
      <w:r w:rsidRPr="008E03A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73EE" w:rsidRPr="008E03A3" w:rsidRDefault="00B273EE" w:rsidP="00ED6F46">
    <w:pPr>
      <w:pStyle w:val="EPFooter"/>
    </w:pPr>
    <w:r w:rsidRPr="008E03A3">
      <w:t>PE</w:t>
    </w:r>
    <w:r w:rsidRPr="008E03A3">
      <w:rPr>
        <w:rStyle w:val="HideTWBExt"/>
      </w:rPr>
      <w:t>&lt;</w:t>
    </w:r>
    <w:proofErr w:type="spellStart"/>
    <w:r w:rsidRPr="008E03A3">
      <w:rPr>
        <w:rStyle w:val="HideTWBExt"/>
      </w:rPr>
      <w:t>NoPE</w:t>
    </w:r>
    <w:proofErr w:type="spellEnd"/>
    <w:r w:rsidRPr="008E03A3">
      <w:rPr>
        <w:rStyle w:val="HideTWBExt"/>
      </w:rPr>
      <w:t>&gt;</w:t>
    </w:r>
    <w:r w:rsidRPr="008E03A3">
      <w:t>753.490</w:t>
    </w:r>
    <w:r w:rsidRPr="008E03A3">
      <w:rPr>
        <w:rStyle w:val="HideTWBExt"/>
      </w:rPr>
      <w:t>&lt;/</w:t>
    </w:r>
    <w:proofErr w:type="spellStart"/>
    <w:r w:rsidRPr="008E03A3">
      <w:rPr>
        <w:rStyle w:val="HideTWBExt"/>
      </w:rPr>
      <w:t>NoPE</w:t>
    </w:r>
    <w:proofErr w:type="spellEnd"/>
    <w:r w:rsidRPr="008E03A3">
      <w:rPr>
        <w:rStyle w:val="HideTWBExt"/>
      </w:rPr>
      <w:t>&gt;&lt;Version&gt;</w:t>
    </w:r>
    <w:r w:rsidRPr="008E03A3">
      <w:t>v02-00</w:t>
    </w:r>
    <w:r w:rsidRPr="008E03A3">
      <w:rPr>
        <w:rStyle w:val="HideTWBExt"/>
      </w:rPr>
      <w:t>&lt;/Version&gt;</w:t>
    </w:r>
    <w:r w:rsidRPr="008E03A3">
      <w:tab/>
    </w:r>
    <w:r w:rsidRPr="008E03A3">
      <w:fldChar w:fldCharType="begin"/>
    </w:r>
    <w:r w:rsidRPr="008E03A3">
      <w:instrText xml:space="preserve"> PAGE  \* MERGEFORMAT </w:instrText>
    </w:r>
    <w:r w:rsidRPr="008E03A3">
      <w:fldChar w:fldCharType="separate"/>
    </w:r>
    <w:r w:rsidR="008E03A3" w:rsidRPr="008E03A3">
      <w:rPr>
        <w:noProof/>
      </w:rPr>
      <w:t>2</w:t>
    </w:r>
    <w:r w:rsidRPr="008E03A3">
      <w:fldChar w:fldCharType="end"/>
    </w:r>
    <w:r w:rsidRPr="008E03A3">
      <w:t>/</w:t>
    </w:r>
    <w:fldSimple w:instr=" NUMPAGES  \* MERGEFORMAT ">
      <w:r w:rsidR="008E03A3" w:rsidRPr="008E03A3">
        <w:rPr>
          <w:noProof/>
        </w:rPr>
        <w:t>3</w:t>
      </w:r>
    </w:fldSimple>
    <w:r w:rsidRPr="008E03A3">
      <w:tab/>
    </w:r>
    <w:r w:rsidRPr="008E03A3">
      <w:rPr>
        <w:rStyle w:val="HideTWBExt"/>
      </w:rPr>
      <w:t>&lt;PathFdR&gt;</w:t>
    </w:r>
    <w:r w:rsidRPr="008E03A3">
      <w:t>RR\1298721HU.docx</w:t>
    </w:r>
    <w:r w:rsidRPr="008E03A3">
      <w:rPr>
        <w:rStyle w:val="HideTWBExt"/>
      </w:rPr>
      <w:t>&lt;/</w:t>
    </w:r>
    <w:proofErr w:type="spellStart"/>
    <w:r w:rsidRPr="008E03A3">
      <w:rPr>
        <w:rStyle w:val="HideTWBExt"/>
      </w:rPr>
      <w:t>PathFdR</w:t>
    </w:r>
    <w:proofErr w:type="spellEnd"/>
    <w:r w:rsidRPr="008E03A3">
      <w:rPr>
        <w:rStyle w:val="HideTWBExt"/>
      </w:rPr>
      <w:t>&gt;</w:t>
    </w:r>
  </w:p>
  <w:p w:rsidR="00B273EE" w:rsidRPr="008E03A3" w:rsidRDefault="00B273EE" w:rsidP="00ED6F46">
    <w:pPr>
      <w:pStyle w:val="EPFooter2"/>
    </w:pPr>
    <w:r w:rsidRPr="008E03A3">
      <w:t>HU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73EE" w:rsidRPr="00B27439" w:rsidRDefault="00B273EE" w:rsidP="005B360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73EE" w:rsidRPr="008E03A3" w:rsidRDefault="00B273EE" w:rsidP="00ED6F46">
    <w:pPr>
      <w:pStyle w:val="EPFooter"/>
    </w:pPr>
    <w:r w:rsidRPr="008E03A3">
      <w:rPr>
        <w:rStyle w:val="HideTWBExt"/>
      </w:rPr>
      <w:t>&lt;PathFdR&gt;</w:t>
    </w:r>
    <w:r w:rsidRPr="008E03A3">
      <w:t>RR\1298721HU.docx</w:t>
    </w:r>
    <w:r w:rsidRPr="008E03A3">
      <w:rPr>
        <w:rStyle w:val="HideTWBExt"/>
      </w:rPr>
      <w:t>&lt;/</w:t>
    </w:r>
    <w:proofErr w:type="spellStart"/>
    <w:r w:rsidRPr="008E03A3">
      <w:rPr>
        <w:rStyle w:val="HideTWBExt"/>
      </w:rPr>
      <w:t>PathFdR</w:t>
    </w:r>
    <w:proofErr w:type="spellEnd"/>
    <w:r w:rsidRPr="008E03A3">
      <w:rPr>
        <w:rStyle w:val="HideTWBExt"/>
      </w:rPr>
      <w:t>&gt;</w:t>
    </w:r>
    <w:r w:rsidRPr="008E03A3">
      <w:tab/>
    </w:r>
    <w:r w:rsidRPr="008E03A3">
      <w:tab/>
      <w:t>PE</w:t>
    </w:r>
    <w:r w:rsidRPr="008E03A3">
      <w:rPr>
        <w:rStyle w:val="HideTWBExt"/>
      </w:rPr>
      <w:t>&lt;</w:t>
    </w:r>
    <w:proofErr w:type="spellStart"/>
    <w:r w:rsidRPr="008E03A3">
      <w:rPr>
        <w:rStyle w:val="HideTWBExt"/>
      </w:rPr>
      <w:t>NoPE</w:t>
    </w:r>
    <w:proofErr w:type="spellEnd"/>
    <w:r w:rsidRPr="008E03A3">
      <w:rPr>
        <w:rStyle w:val="HideTWBExt"/>
      </w:rPr>
      <w:t>&gt;</w:t>
    </w:r>
    <w:r w:rsidRPr="008E03A3">
      <w:t>753.490</w:t>
    </w:r>
    <w:r w:rsidRPr="008E03A3">
      <w:rPr>
        <w:rStyle w:val="HideTWBExt"/>
      </w:rPr>
      <w:t>&lt;/</w:t>
    </w:r>
    <w:proofErr w:type="spellStart"/>
    <w:r w:rsidRPr="008E03A3">
      <w:rPr>
        <w:rStyle w:val="HideTWBExt"/>
      </w:rPr>
      <w:t>NoPE</w:t>
    </w:r>
    <w:proofErr w:type="spellEnd"/>
    <w:r w:rsidRPr="008E03A3">
      <w:rPr>
        <w:rStyle w:val="HideTWBExt"/>
      </w:rPr>
      <w:t>&gt;&lt;Version&gt;</w:t>
    </w:r>
    <w:r w:rsidRPr="008E03A3">
      <w:t>v02-00</w:t>
    </w:r>
    <w:r w:rsidRPr="008E03A3">
      <w:rPr>
        <w:rStyle w:val="HideTWBExt"/>
      </w:rPr>
      <w:t>&lt;/Version&gt;</w:t>
    </w:r>
  </w:p>
  <w:p w:rsidR="00B273EE" w:rsidRPr="008E03A3" w:rsidRDefault="00B273EE" w:rsidP="00ED6F46">
    <w:pPr>
      <w:pStyle w:val="EPFooter2"/>
    </w:pPr>
    <w:r w:rsidRPr="008E03A3">
      <w:t>HU</w:t>
    </w:r>
    <w:r w:rsidRPr="008E03A3">
      <w:tab/>
    </w:r>
    <w:r w:rsidRPr="008E03A3">
      <w:rPr>
        <w:b w:val="0"/>
        <w:i/>
        <w:color w:val="C0C0C0"/>
        <w:sz w:val="22"/>
      </w:rPr>
      <w:t>Egyesülve a sokféleségben</w:t>
    </w:r>
    <w:r w:rsidRPr="008E03A3">
      <w:tab/>
      <w:t>HU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E03A3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E03A3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E03A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695E" w:rsidRPr="008E03A3" w:rsidRDefault="00BC695E">
      <w:r w:rsidRPr="008E03A3">
        <w:separator/>
      </w:r>
    </w:p>
  </w:footnote>
  <w:footnote w:type="continuationSeparator" w:id="0">
    <w:p w:rsidR="00BC695E" w:rsidRPr="008E03A3" w:rsidRDefault="00BC695E">
      <w:r w:rsidRPr="008E03A3">
        <w:continuationSeparator/>
      </w:r>
    </w:p>
  </w:footnote>
  <w:footnote w:id="1">
    <w:p w:rsidR="00B273EE" w:rsidRPr="008E03A3" w:rsidRDefault="00B273EE" w:rsidP="008E03A3">
      <w:pPr>
        <w:pStyle w:val="FootnoteText"/>
        <w:ind w:left="567" w:hanging="567"/>
        <w:rPr>
          <w:sz w:val="24"/>
          <w:lang w:val="hu-HU"/>
        </w:rPr>
      </w:pPr>
      <w:r w:rsidRPr="008E03A3">
        <w:rPr>
          <w:rStyle w:val="FootnoteReference"/>
          <w:sz w:val="24"/>
          <w:lang w:val="hu-HU"/>
        </w:rPr>
        <w:footnoteRef/>
      </w:r>
      <w:r w:rsidR="008E03A3" w:rsidRPr="008E03A3">
        <w:rPr>
          <w:sz w:val="24"/>
          <w:lang w:val="hu-HU"/>
        </w:rPr>
        <w:t xml:space="preserve"> </w:t>
      </w:r>
      <w:r w:rsidR="008E03A3" w:rsidRPr="008E03A3">
        <w:rPr>
          <w:sz w:val="24"/>
          <w:lang w:val="hu-HU"/>
        </w:rPr>
        <w:tab/>
      </w:r>
      <w:r w:rsidRPr="008E03A3">
        <w:rPr>
          <w:sz w:val="24"/>
          <w:lang w:val="hu-HU"/>
        </w:rPr>
        <w:t>HL C, C/2023/1025, 2023.11.16.</w:t>
      </w:r>
    </w:p>
  </w:footnote>
  <w:footnote w:id="2">
    <w:p w:rsidR="00B273EE" w:rsidRPr="008E03A3" w:rsidRDefault="00B273EE" w:rsidP="008E03A3">
      <w:pPr>
        <w:pStyle w:val="FootnoteText"/>
        <w:ind w:left="567" w:hanging="567"/>
        <w:rPr>
          <w:sz w:val="24"/>
          <w:lang w:val="hu-HU"/>
        </w:rPr>
      </w:pPr>
      <w:r w:rsidRPr="008E03A3">
        <w:rPr>
          <w:rStyle w:val="FootnoteReference"/>
          <w:sz w:val="24"/>
          <w:lang w:val="hu-HU"/>
        </w:rPr>
        <w:footnoteRef/>
      </w:r>
      <w:r w:rsidR="008E03A3" w:rsidRPr="008E03A3">
        <w:rPr>
          <w:sz w:val="24"/>
          <w:lang w:val="hu-HU"/>
        </w:rPr>
        <w:t xml:space="preserve"> </w:t>
      </w:r>
      <w:r w:rsidR="008E03A3" w:rsidRPr="008E03A3">
        <w:rPr>
          <w:sz w:val="24"/>
          <w:lang w:val="hu-HU"/>
        </w:rPr>
        <w:tab/>
      </w:r>
      <w:r w:rsidRPr="008E03A3">
        <w:rPr>
          <w:sz w:val="24"/>
          <w:lang w:val="hu-HU"/>
        </w:rPr>
        <w:t>HL C, C/2023/112, 2023.10.12.</w:t>
      </w:r>
    </w:p>
  </w:footnote>
  <w:footnote w:id="3">
    <w:p w:rsidR="00B273EE" w:rsidRPr="008E03A3" w:rsidRDefault="00B273EE" w:rsidP="008E03A3">
      <w:pPr>
        <w:pStyle w:val="FootnoteText"/>
        <w:ind w:left="567" w:hanging="567"/>
        <w:rPr>
          <w:sz w:val="24"/>
          <w:lang w:val="hu-HU"/>
        </w:rPr>
      </w:pPr>
      <w:r w:rsidRPr="008E03A3">
        <w:rPr>
          <w:rStyle w:val="FootnoteReference"/>
          <w:sz w:val="24"/>
          <w:lang w:val="hu-HU"/>
        </w:rPr>
        <w:footnoteRef/>
      </w:r>
      <w:r w:rsidR="008E03A3" w:rsidRPr="008E03A3">
        <w:rPr>
          <w:sz w:val="24"/>
          <w:lang w:val="hu-HU"/>
        </w:rPr>
        <w:t xml:space="preserve"> </w:t>
      </w:r>
      <w:r w:rsidR="008E03A3" w:rsidRPr="008E03A3">
        <w:rPr>
          <w:sz w:val="24"/>
          <w:lang w:val="hu-HU"/>
        </w:rPr>
        <w:tab/>
      </w:r>
      <w:r w:rsidRPr="008E03A3">
        <w:rPr>
          <w:sz w:val="24"/>
          <w:lang w:val="hu-HU"/>
        </w:rPr>
        <w:t>HL L 193., 2018.7.30</w:t>
      </w:r>
      <w:r w:rsidR="00B27439">
        <w:rPr>
          <w:sz w:val="24"/>
          <w:lang w:val="hu-HU"/>
        </w:rPr>
        <w:t>.</w:t>
      </w:r>
      <w:r w:rsidRPr="008E03A3">
        <w:rPr>
          <w:sz w:val="24"/>
          <w:lang w:val="hu-HU"/>
        </w:rPr>
        <w:t>, 1. o.</w:t>
      </w:r>
    </w:p>
  </w:footnote>
  <w:footnote w:id="4">
    <w:p w:rsidR="00B273EE" w:rsidRPr="008E03A3" w:rsidRDefault="00B273EE" w:rsidP="008E03A3">
      <w:pPr>
        <w:pStyle w:val="FootnoteText"/>
        <w:ind w:left="567" w:hanging="567"/>
        <w:rPr>
          <w:sz w:val="24"/>
          <w:szCs w:val="24"/>
          <w:lang w:val="hu-HU"/>
        </w:rPr>
      </w:pPr>
      <w:r w:rsidRPr="008E03A3">
        <w:rPr>
          <w:rStyle w:val="FootnoteReference"/>
          <w:sz w:val="24"/>
          <w:lang w:val="hu-HU"/>
        </w:rPr>
        <w:footnoteRef/>
      </w:r>
      <w:r w:rsidR="008E03A3" w:rsidRPr="008E03A3">
        <w:rPr>
          <w:sz w:val="24"/>
          <w:lang w:val="hu-HU"/>
        </w:rPr>
        <w:t xml:space="preserve"> </w:t>
      </w:r>
      <w:r w:rsidR="008E03A3" w:rsidRPr="008E03A3">
        <w:rPr>
          <w:sz w:val="24"/>
          <w:lang w:val="hu-HU"/>
        </w:rPr>
        <w:tab/>
      </w:r>
      <w:r w:rsidRPr="008E03A3">
        <w:rPr>
          <w:sz w:val="24"/>
          <w:lang w:val="hu-HU"/>
        </w:rPr>
        <w:t>HL L 427., 2021.11.30</w:t>
      </w:r>
      <w:r w:rsidR="00B27439">
        <w:rPr>
          <w:sz w:val="24"/>
          <w:lang w:val="hu-HU"/>
        </w:rPr>
        <w:t>.</w:t>
      </w:r>
      <w:r w:rsidRPr="008E03A3">
        <w:rPr>
          <w:sz w:val="24"/>
          <w:lang w:val="hu-HU"/>
        </w:rPr>
        <w:t>, 17. o.</w:t>
      </w:r>
    </w:p>
  </w:footnote>
  <w:footnote w:id="5">
    <w:p w:rsidR="00B273EE" w:rsidRPr="008E03A3" w:rsidRDefault="00B273EE" w:rsidP="008E03A3">
      <w:pPr>
        <w:pStyle w:val="FootnoteText"/>
        <w:ind w:left="567" w:hanging="567"/>
        <w:rPr>
          <w:sz w:val="24"/>
          <w:lang w:val="hu-HU"/>
        </w:rPr>
      </w:pPr>
      <w:r w:rsidRPr="008E03A3">
        <w:rPr>
          <w:rStyle w:val="FootnoteReference"/>
          <w:sz w:val="24"/>
          <w:lang w:val="hu-HU"/>
        </w:rPr>
        <w:footnoteRef/>
      </w:r>
      <w:r w:rsidR="008E03A3" w:rsidRPr="008E03A3">
        <w:rPr>
          <w:sz w:val="24"/>
          <w:lang w:val="hu-HU"/>
        </w:rPr>
        <w:t xml:space="preserve"> </w:t>
      </w:r>
      <w:r w:rsidR="008E03A3" w:rsidRPr="008E03A3">
        <w:rPr>
          <w:sz w:val="24"/>
          <w:lang w:val="hu-HU"/>
        </w:rPr>
        <w:tab/>
      </w:r>
      <w:r w:rsidRPr="008E03A3">
        <w:rPr>
          <w:sz w:val="24"/>
          <w:lang w:val="hu-HU"/>
        </w:rPr>
        <w:t>HL L 142., 2019.5.29</w:t>
      </w:r>
      <w:r w:rsidR="00B27439">
        <w:rPr>
          <w:sz w:val="24"/>
          <w:lang w:val="hu-HU"/>
        </w:rPr>
        <w:t>.</w:t>
      </w:r>
      <w:r w:rsidRPr="008E03A3">
        <w:rPr>
          <w:sz w:val="24"/>
          <w:lang w:val="hu-HU"/>
        </w:rPr>
        <w:t>, 16. o.</w:t>
      </w:r>
    </w:p>
  </w:footnote>
  <w:footnote w:id="6">
    <w:p w:rsidR="00B273EE" w:rsidRPr="008E03A3" w:rsidRDefault="00B273EE" w:rsidP="008E03A3">
      <w:pPr>
        <w:pStyle w:val="FootnoteText"/>
        <w:ind w:left="567" w:hanging="567"/>
        <w:rPr>
          <w:sz w:val="24"/>
          <w:lang w:val="hu-HU"/>
        </w:rPr>
      </w:pPr>
      <w:r w:rsidRPr="008E03A3">
        <w:rPr>
          <w:rStyle w:val="FootnoteReference"/>
          <w:sz w:val="24"/>
          <w:lang w:val="hu-HU"/>
        </w:rPr>
        <w:footnoteRef/>
      </w:r>
      <w:r w:rsidR="008E03A3" w:rsidRPr="008E03A3">
        <w:rPr>
          <w:sz w:val="24"/>
          <w:lang w:val="hu-HU"/>
        </w:rPr>
        <w:t xml:space="preserve"> </w:t>
      </w:r>
      <w:r w:rsidR="008E03A3" w:rsidRPr="008E03A3">
        <w:rPr>
          <w:sz w:val="24"/>
          <w:lang w:val="hu-HU"/>
        </w:rPr>
        <w:tab/>
      </w:r>
      <w:r w:rsidRPr="008E03A3">
        <w:rPr>
          <w:sz w:val="24"/>
          <w:lang w:val="hu-HU"/>
        </w:rPr>
        <w:t>HL C, C/2023/1025, 2023.11.16.</w:t>
      </w:r>
    </w:p>
  </w:footnote>
  <w:footnote w:id="7">
    <w:p w:rsidR="00B273EE" w:rsidRPr="008E03A3" w:rsidRDefault="00B273EE" w:rsidP="008E03A3">
      <w:pPr>
        <w:pStyle w:val="FootnoteText"/>
        <w:ind w:left="567" w:hanging="567"/>
        <w:rPr>
          <w:sz w:val="24"/>
          <w:lang w:val="hu-HU"/>
        </w:rPr>
      </w:pPr>
      <w:r w:rsidRPr="008E03A3">
        <w:rPr>
          <w:rStyle w:val="FootnoteReference"/>
          <w:sz w:val="24"/>
          <w:lang w:val="hu-HU"/>
        </w:rPr>
        <w:footnoteRef/>
      </w:r>
      <w:r w:rsidR="008E03A3" w:rsidRPr="008E03A3">
        <w:rPr>
          <w:sz w:val="24"/>
          <w:lang w:val="hu-HU"/>
        </w:rPr>
        <w:t xml:space="preserve"> </w:t>
      </w:r>
      <w:r w:rsidR="008E03A3" w:rsidRPr="008E03A3">
        <w:rPr>
          <w:sz w:val="24"/>
          <w:lang w:val="hu-HU"/>
        </w:rPr>
        <w:tab/>
      </w:r>
      <w:r w:rsidRPr="008E03A3">
        <w:rPr>
          <w:sz w:val="24"/>
          <w:lang w:val="hu-HU"/>
        </w:rPr>
        <w:t>HL C, C/2023/112, 2023.10.12.</w:t>
      </w:r>
    </w:p>
  </w:footnote>
  <w:footnote w:id="8">
    <w:p w:rsidR="00B273EE" w:rsidRPr="008E03A3" w:rsidRDefault="00B273EE" w:rsidP="008E03A3">
      <w:pPr>
        <w:pStyle w:val="FootnoteText"/>
        <w:ind w:left="567" w:hanging="567"/>
        <w:rPr>
          <w:sz w:val="24"/>
          <w:lang w:val="hu-HU"/>
        </w:rPr>
      </w:pPr>
      <w:r w:rsidRPr="008E03A3">
        <w:rPr>
          <w:rStyle w:val="FootnoteReference"/>
          <w:sz w:val="24"/>
          <w:lang w:val="hu-HU"/>
        </w:rPr>
        <w:footnoteRef/>
      </w:r>
      <w:r w:rsidR="008E03A3" w:rsidRPr="008E03A3">
        <w:rPr>
          <w:sz w:val="24"/>
          <w:lang w:val="hu-HU"/>
        </w:rPr>
        <w:t xml:space="preserve"> </w:t>
      </w:r>
      <w:r w:rsidR="008E03A3" w:rsidRPr="008E03A3">
        <w:rPr>
          <w:sz w:val="24"/>
          <w:lang w:val="hu-HU"/>
        </w:rPr>
        <w:tab/>
      </w:r>
      <w:r w:rsidRPr="008E03A3">
        <w:rPr>
          <w:sz w:val="24"/>
          <w:lang w:val="hu-HU"/>
        </w:rPr>
        <w:t>HL L 193., 2018.7.30</w:t>
      </w:r>
      <w:r w:rsidR="00B27439">
        <w:rPr>
          <w:sz w:val="24"/>
          <w:lang w:val="hu-HU"/>
        </w:rPr>
        <w:t>.</w:t>
      </w:r>
      <w:r w:rsidRPr="008E03A3">
        <w:rPr>
          <w:sz w:val="24"/>
          <w:lang w:val="hu-HU"/>
        </w:rPr>
        <w:t>, 1. o.</w:t>
      </w:r>
    </w:p>
  </w:footnote>
  <w:footnote w:id="9">
    <w:p w:rsidR="00B273EE" w:rsidRPr="008E03A3" w:rsidRDefault="00B273EE" w:rsidP="008E03A3">
      <w:pPr>
        <w:pStyle w:val="FootnoteText"/>
        <w:ind w:left="567" w:hanging="567"/>
        <w:rPr>
          <w:sz w:val="24"/>
          <w:szCs w:val="24"/>
          <w:lang w:val="hu-HU"/>
        </w:rPr>
      </w:pPr>
      <w:r w:rsidRPr="008E03A3">
        <w:rPr>
          <w:rStyle w:val="FootnoteReference"/>
          <w:sz w:val="24"/>
          <w:lang w:val="hu-HU"/>
        </w:rPr>
        <w:footnoteRef/>
      </w:r>
      <w:r w:rsidR="008E03A3" w:rsidRPr="008E03A3">
        <w:rPr>
          <w:sz w:val="24"/>
          <w:lang w:val="hu-HU"/>
        </w:rPr>
        <w:t xml:space="preserve"> </w:t>
      </w:r>
      <w:r w:rsidR="008E03A3" w:rsidRPr="008E03A3">
        <w:rPr>
          <w:sz w:val="24"/>
          <w:lang w:val="hu-HU"/>
        </w:rPr>
        <w:tab/>
      </w:r>
      <w:r w:rsidRPr="008E03A3">
        <w:rPr>
          <w:sz w:val="24"/>
          <w:lang w:val="hu-HU"/>
        </w:rPr>
        <w:t>HL L 427., 2021.11.30</w:t>
      </w:r>
      <w:r w:rsidR="00B27439">
        <w:rPr>
          <w:sz w:val="24"/>
          <w:lang w:val="hu-HU"/>
        </w:rPr>
        <w:t>.</w:t>
      </w:r>
      <w:r w:rsidRPr="008E03A3">
        <w:rPr>
          <w:sz w:val="24"/>
          <w:lang w:val="hu-HU"/>
        </w:rPr>
        <w:t>, 17. o.</w:t>
      </w:r>
    </w:p>
  </w:footnote>
  <w:footnote w:id="10">
    <w:p w:rsidR="00B273EE" w:rsidRPr="008E03A3" w:rsidRDefault="00B273EE" w:rsidP="008E03A3">
      <w:pPr>
        <w:pStyle w:val="FootnoteText"/>
        <w:ind w:left="567" w:hanging="567"/>
        <w:rPr>
          <w:sz w:val="24"/>
          <w:szCs w:val="24"/>
          <w:lang w:val="hu-HU"/>
        </w:rPr>
      </w:pPr>
      <w:r w:rsidRPr="008E03A3">
        <w:rPr>
          <w:rStyle w:val="FootnoteReference"/>
          <w:sz w:val="24"/>
          <w:lang w:val="hu-HU"/>
        </w:rPr>
        <w:footnoteRef/>
      </w:r>
      <w:r w:rsidR="008E03A3" w:rsidRPr="008E03A3">
        <w:rPr>
          <w:sz w:val="24"/>
          <w:lang w:val="hu-HU"/>
        </w:rPr>
        <w:t xml:space="preserve"> </w:t>
      </w:r>
      <w:r w:rsidR="008E03A3" w:rsidRPr="008E03A3">
        <w:rPr>
          <w:sz w:val="24"/>
          <w:lang w:val="hu-HU"/>
        </w:rPr>
        <w:tab/>
      </w:r>
      <w:r w:rsidRPr="008E03A3">
        <w:rPr>
          <w:sz w:val="24"/>
          <w:lang w:val="hu-HU"/>
        </w:rPr>
        <w:t>HL L 142., 2019.5.29</w:t>
      </w:r>
      <w:r w:rsidR="00B27439">
        <w:rPr>
          <w:sz w:val="24"/>
          <w:lang w:val="hu-HU"/>
        </w:rPr>
        <w:t>.</w:t>
      </w:r>
      <w:r w:rsidRPr="008E03A3">
        <w:rPr>
          <w:sz w:val="24"/>
          <w:lang w:val="hu-HU"/>
        </w:rPr>
        <w:t>, 16. o.</w:t>
      </w:r>
    </w:p>
  </w:footnote>
  <w:footnote w:id="11">
    <w:p w:rsidR="00B273EE" w:rsidRPr="008E03A3" w:rsidRDefault="00B273EE" w:rsidP="008E03A3">
      <w:pPr>
        <w:pStyle w:val="FootnoteText"/>
        <w:ind w:left="567" w:hanging="567"/>
        <w:rPr>
          <w:rFonts w:eastAsiaTheme="minorHAnsi"/>
          <w:sz w:val="24"/>
          <w:lang w:val="hu-HU"/>
        </w:rPr>
      </w:pPr>
      <w:r w:rsidRPr="008E03A3">
        <w:rPr>
          <w:rStyle w:val="FootnoteReference"/>
          <w:sz w:val="24"/>
          <w:lang w:val="hu-HU"/>
        </w:rPr>
        <w:footnoteRef/>
      </w:r>
      <w:r w:rsidR="008E03A3" w:rsidRPr="008E03A3">
        <w:rPr>
          <w:sz w:val="24"/>
          <w:lang w:val="hu-HU"/>
        </w:rPr>
        <w:t xml:space="preserve"> </w:t>
      </w:r>
      <w:r w:rsidR="008E03A3" w:rsidRPr="008E03A3">
        <w:rPr>
          <w:sz w:val="24"/>
          <w:lang w:val="hu-HU"/>
        </w:rPr>
        <w:tab/>
      </w:r>
      <w:r w:rsidRPr="008E03A3">
        <w:rPr>
          <w:sz w:val="24"/>
          <w:lang w:val="hu-HU"/>
        </w:rPr>
        <w:t>A Tanács (EU) 2021/2085 rendelete (2021. november 19.) a közös vállalkozásoknak a Horizont Európa keretében történő létrehozásáról, valamint a 219/2007/EK, az 557/2014/EU, az 558/2014/EU, az 559/2014/EU, az 560/2014/EU, az 561/2014/EU és a 642/2014/EU rendelet hatályon kívül helyezéséről (HL L 427., 2021.11.30., 17. o.).</w:t>
      </w:r>
    </w:p>
  </w:footnote>
  <w:footnote w:id="12">
    <w:p w:rsidR="00B273EE" w:rsidRPr="008E03A3" w:rsidRDefault="00B273EE" w:rsidP="008E03A3">
      <w:pPr>
        <w:pStyle w:val="FootnoteText"/>
        <w:ind w:left="567" w:hanging="567"/>
        <w:rPr>
          <w:sz w:val="24"/>
          <w:lang w:val="hu-HU"/>
        </w:rPr>
      </w:pPr>
      <w:r w:rsidRPr="008E03A3">
        <w:rPr>
          <w:rStyle w:val="FootnoteReference"/>
          <w:sz w:val="24"/>
          <w:lang w:val="hu-HU"/>
        </w:rPr>
        <w:footnoteRef/>
      </w:r>
      <w:r w:rsidR="008E03A3" w:rsidRPr="008E03A3">
        <w:rPr>
          <w:sz w:val="24"/>
          <w:lang w:val="hu-HU"/>
        </w:rPr>
        <w:t xml:space="preserve"> </w:t>
      </w:r>
      <w:r w:rsidR="008E03A3" w:rsidRPr="008E03A3">
        <w:rPr>
          <w:sz w:val="24"/>
          <w:lang w:val="hu-HU"/>
        </w:rPr>
        <w:tab/>
      </w:r>
      <w:r w:rsidRPr="008E03A3">
        <w:rPr>
          <w:sz w:val="24"/>
          <w:lang w:val="hu-HU"/>
        </w:rPr>
        <w:t>A Tanács 521/2008/EK rendelete (2008. május 30.) az Üzemanyagcella- és Hidrogéntechnológiai Közös Vállalkozás létrehozásáról (HL L 153., 2008.6.12., 1. o.).</w:t>
      </w:r>
    </w:p>
  </w:footnote>
  <w:footnote w:id="13">
    <w:p w:rsidR="00B273EE" w:rsidRPr="008E03A3" w:rsidRDefault="00B273EE" w:rsidP="008E03A3">
      <w:pPr>
        <w:pStyle w:val="FootnoteText"/>
        <w:ind w:left="567" w:hanging="567"/>
        <w:rPr>
          <w:sz w:val="24"/>
          <w:lang w:val="hu-HU"/>
        </w:rPr>
      </w:pPr>
      <w:r w:rsidRPr="008E03A3">
        <w:rPr>
          <w:rStyle w:val="FootnoteReference"/>
          <w:sz w:val="24"/>
          <w:lang w:val="hu-HU"/>
        </w:rPr>
        <w:footnoteRef/>
      </w:r>
      <w:r w:rsidR="008E03A3" w:rsidRPr="008E03A3">
        <w:rPr>
          <w:sz w:val="24"/>
          <w:lang w:val="hu-HU"/>
        </w:rPr>
        <w:t xml:space="preserve"> </w:t>
      </w:r>
      <w:r w:rsidR="008E03A3" w:rsidRPr="008E03A3">
        <w:rPr>
          <w:sz w:val="24"/>
          <w:lang w:val="hu-HU"/>
        </w:rPr>
        <w:tab/>
      </w:r>
      <w:r w:rsidRPr="008E03A3">
        <w:rPr>
          <w:sz w:val="24"/>
          <w:lang w:val="hu-HU"/>
        </w:rPr>
        <w:t>A Tanács 559/2014/EU rendelete (2014. május 6.) a Második üzemanyagcella- és hidrogéntechnológiai közös vállalkozás létrehozásáról (HL L 169., 2014.6.7., 108. o.).</w:t>
      </w:r>
    </w:p>
  </w:footnote>
  <w:footnote w:id="14">
    <w:p w:rsidR="00B273EE" w:rsidRPr="008E03A3" w:rsidRDefault="00B273EE" w:rsidP="008E03A3">
      <w:pPr>
        <w:pStyle w:val="FootnoteText"/>
        <w:ind w:left="567" w:hanging="567"/>
        <w:rPr>
          <w:sz w:val="24"/>
          <w:lang w:val="hu-HU"/>
        </w:rPr>
      </w:pPr>
      <w:r w:rsidRPr="008E03A3">
        <w:rPr>
          <w:rStyle w:val="FootnoteReference"/>
          <w:sz w:val="24"/>
          <w:lang w:val="hu-HU"/>
        </w:rPr>
        <w:footnoteRef/>
      </w:r>
      <w:r w:rsidR="008E03A3" w:rsidRPr="008E03A3">
        <w:rPr>
          <w:sz w:val="24"/>
          <w:lang w:val="hu-HU"/>
        </w:rPr>
        <w:t xml:space="preserve"> </w:t>
      </w:r>
      <w:r w:rsidR="008E03A3" w:rsidRPr="008E03A3">
        <w:rPr>
          <w:sz w:val="24"/>
          <w:lang w:val="hu-HU"/>
        </w:rPr>
        <w:tab/>
      </w:r>
      <w:r w:rsidRPr="008E03A3">
        <w:rPr>
          <w:sz w:val="24"/>
          <w:lang w:val="hu-HU"/>
        </w:rPr>
        <w:t>A rendelkezésre álló költségvetés a korábbi években fel nem használt, a Tiszta H2 Közös Vállalkozás által a folyó évi költségvetésbe ismét felvett előirányzatokat, a címzett bevételeket és a következő évre átvitt összegeket is magában foglalja.</w:t>
      </w:r>
    </w:p>
  </w:footnote>
  <w:footnote w:id="15">
    <w:p w:rsidR="00B273EE" w:rsidRPr="008E03A3" w:rsidRDefault="00B273EE" w:rsidP="008E03A3">
      <w:pPr>
        <w:pStyle w:val="FootnoteText"/>
        <w:ind w:left="567" w:hanging="567"/>
        <w:rPr>
          <w:sz w:val="24"/>
          <w:lang w:val="hu-HU"/>
        </w:rPr>
      </w:pPr>
      <w:r w:rsidRPr="008E03A3">
        <w:rPr>
          <w:rStyle w:val="FootnoteReference"/>
          <w:sz w:val="24"/>
          <w:lang w:val="hu-HU"/>
        </w:rPr>
        <w:footnoteRef/>
      </w:r>
      <w:r w:rsidR="008E03A3" w:rsidRPr="008E03A3">
        <w:rPr>
          <w:sz w:val="24"/>
          <w:lang w:val="hu-HU"/>
        </w:rPr>
        <w:t xml:space="preserve"> </w:t>
      </w:r>
      <w:r w:rsidR="008E03A3" w:rsidRPr="008E03A3">
        <w:rPr>
          <w:sz w:val="24"/>
          <w:lang w:val="hu-HU"/>
        </w:rPr>
        <w:tab/>
      </w:r>
      <w:r w:rsidRPr="008E03A3">
        <w:rPr>
          <w:sz w:val="24"/>
          <w:lang w:val="hu-HU"/>
        </w:rPr>
        <w:t>A megszavazott kötelezettségvállalási előirányzatok 8,4 millió EUR-t tettek ki, amelyet később módosítottak annak érdekében, hogy tartalmazza a Horizont Európa új programjához kapcsolódó bevételek és kiadások növekedését, valamint a korábbi évek fel nem használt előirányzatait.</w:t>
      </w:r>
    </w:p>
  </w:footnote>
  <w:footnote w:id="16">
    <w:p w:rsidR="00B273EE" w:rsidRPr="008E03A3" w:rsidRDefault="00B273EE" w:rsidP="008E03A3">
      <w:pPr>
        <w:pStyle w:val="FootnoteText"/>
        <w:ind w:left="567" w:hanging="567"/>
        <w:rPr>
          <w:sz w:val="24"/>
          <w:lang w:val="hu-HU"/>
        </w:rPr>
      </w:pPr>
      <w:r w:rsidRPr="008E03A3">
        <w:rPr>
          <w:rStyle w:val="FootnoteReference"/>
          <w:sz w:val="24"/>
          <w:lang w:val="hu-HU"/>
        </w:rPr>
        <w:footnoteRef/>
      </w:r>
      <w:r w:rsidR="008E03A3" w:rsidRPr="008E03A3">
        <w:rPr>
          <w:sz w:val="24"/>
          <w:lang w:val="hu-HU"/>
        </w:rPr>
        <w:t xml:space="preserve"> </w:t>
      </w:r>
      <w:r w:rsidR="008E03A3" w:rsidRPr="008E03A3">
        <w:rPr>
          <w:sz w:val="24"/>
          <w:lang w:val="hu-HU"/>
        </w:rPr>
        <w:tab/>
      </w:r>
      <w:r w:rsidRPr="008E03A3">
        <w:rPr>
          <w:sz w:val="24"/>
          <w:lang w:val="hu-HU"/>
        </w:rPr>
        <w:t>A megszavazott kifizetési előirányzatok 53,2 millió EUR-t tettek ki, és a módosítás megnövelte az összeget az új program eredményeként, valamint a stratégiai kutatási és innovációs terv végrehajtását célzó, 2022-ben induló, tervezett pályázati felhívások fedezésére.</w:t>
      </w:r>
    </w:p>
  </w:footnote>
  <w:footnote w:id="17">
    <w:p w:rsidR="00B273EE" w:rsidRPr="008E03A3" w:rsidRDefault="00B273EE" w:rsidP="008E03A3">
      <w:pPr>
        <w:pStyle w:val="FootnoteText"/>
        <w:ind w:left="567" w:hanging="567"/>
        <w:rPr>
          <w:sz w:val="24"/>
          <w:lang w:val="hu-HU"/>
        </w:rPr>
      </w:pPr>
      <w:r w:rsidRPr="008E03A3">
        <w:rPr>
          <w:rStyle w:val="FootnoteReference"/>
          <w:sz w:val="24"/>
          <w:lang w:val="hu-HU"/>
        </w:rPr>
        <w:footnoteRef/>
      </w:r>
      <w:r w:rsidR="008E03A3" w:rsidRPr="008E03A3">
        <w:rPr>
          <w:sz w:val="24"/>
          <w:lang w:val="hu-HU"/>
        </w:rPr>
        <w:t xml:space="preserve"> </w:t>
      </w:r>
      <w:r w:rsidR="008E03A3" w:rsidRPr="008E03A3">
        <w:rPr>
          <w:sz w:val="24"/>
          <w:lang w:val="hu-HU"/>
        </w:rPr>
        <w:tab/>
      </w:r>
      <w:r w:rsidRPr="008E03A3">
        <w:rPr>
          <w:sz w:val="24"/>
          <w:lang w:val="hu-HU"/>
        </w:rPr>
        <w:t>A közös vállalkozás pontosítása szerint a „témák visszavonása” alatt azt kell érteni, hogy „nem foglalkoznak a témákkal a sikeres pályázatok/javaslatok hiánya miatt”.</w:t>
      </w:r>
    </w:p>
  </w:footnote>
  <w:footnote w:id="18">
    <w:p w:rsidR="00B273EE" w:rsidRPr="008E03A3" w:rsidRDefault="00B273EE" w:rsidP="008E03A3">
      <w:pPr>
        <w:pStyle w:val="FootnoteText"/>
        <w:ind w:left="567" w:hanging="567"/>
        <w:rPr>
          <w:sz w:val="24"/>
          <w:lang w:val="hu-HU"/>
        </w:rPr>
      </w:pPr>
      <w:r w:rsidRPr="008E03A3">
        <w:rPr>
          <w:rStyle w:val="FootnoteReference"/>
          <w:sz w:val="24"/>
          <w:lang w:val="hu-HU"/>
        </w:rPr>
        <w:footnoteRef/>
      </w:r>
      <w:r w:rsidR="008E03A3" w:rsidRPr="008E03A3">
        <w:rPr>
          <w:sz w:val="24"/>
          <w:lang w:val="hu-HU"/>
        </w:rPr>
        <w:t xml:space="preserve"> </w:t>
      </w:r>
      <w:r w:rsidR="008E03A3" w:rsidRPr="008E03A3">
        <w:rPr>
          <w:sz w:val="24"/>
          <w:lang w:val="hu-HU"/>
        </w:rPr>
        <w:tab/>
      </w:r>
      <w:r w:rsidRPr="008E03A3">
        <w:rPr>
          <w:sz w:val="24"/>
          <w:lang w:val="hu-HU"/>
        </w:rPr>
        <w:t xml:space="preserve">HL L 56., 1968.3.4., 1. o., ELI: </w:t>
      </w:r>
      <w:hyperlink r:id="rId1" w:history="1">
        <w:r w:rsidRPr="003E015E">
          <w:rPr>
            <w:rStyle w:val="Hyperlink"/>
            <w:sz w:val="24"/>
            <w:lang w:val="hu-HU"/>
          </w:rPr>
          <w:t>http://data.europa.eu/eli/reg/1968/259(1)/oj</w:t>
        </w:r>
      </w:hyperlink>
      <w:r w:rsidRPr="008E03A3">
        <w:rPr>
          <w:sz w:val="24"/>
          <w:lang w:val="hu-HU"/>
        </w:rPr>
        <w:t>.</w:t>
      </w:r>
    </w:p>
  </w:footnote>
  <w:footnote w:id="19">
    <w:p w:rsidR="00B273EE" w:rsidRPr="008E03A3" w:rsidRDefault="00B273EE" w:rsidP="008E03A3">
      <w:pPr>
        <w:pStyle w:val="FootnoteText"/>
        <w:ind w:left="567" w:hanging="567"/>
        <w:rPr>
          <w:sz w:val="24"/>
          <w:lang w:val="hu-HU"/>
        </w:rPr>
      </w:pPr>
      <w:r w:rsidRPr="008E03A3">
        <w:rPr>
          <w:rStyle w:val="FootnoteReference"/>
          <w:sz w:val="24"/>
          <w:lang w:val="hu-HU"/>
        </w:rPr>
        <w:footnoteRef/>
      </w:r>
      <w:r w:rsidR="008E03A3" w:rsidRPr="008E03A3">
        <w:rPr>
          <w:sz w:val="24"/>
          <w:lang w:val="hu-HU"/>
        </w:rPr>
        <w:t xml:space="preserve"> </w:t>
      </w:r>
      <w:r w:rsidR="008E03A3" w:rsidRPr="008E03A3">
        <w:rPr>
          <w:sz w:val="24"/>
          <w:lang w:val="hu-HU"/>
        </w:rPr>
        <w:tab/>
      </w:r>
      <w:r w:rsidRPr="008E03A3">
        <w:rPr>
          <w:sz w:val="24"/>
          <w:lang w:val="hu-HU"/>
        </w:rPr>
        <w:t>A Tiszta H2 Közös Vállalkozás 2022. évi konszolidált éves tevékenységi jelentése, 4.1.1.1. fejezet.</w:t>
      </w:r>
    </w:p>
  </w:footnote>
  <w:footnote w:id="20">
    <w:p w:rsidR="00B273EE" w:rsidRPr="008E03A3" w:rsidRDefault="00B273EE" w:rsidP="008E03A3">
      <w:pPr>
        <w:pStyle w:val="FootnoteText"/>
        <w:ind w:left="567" w:hanging="567"/>
        <w:rPr>
          <w:sz w:val="24"/>
          <w:lang w:val="hu-HU"/>
        </w:rPr>
      </w:pPr>
      <w:r w:rsidRPr="008E03A3">
        <w:rPr>
          <w:rStyle w:val="FootnoteReference"/>
          <w:sz w:val="24"/>
          <w:lang w:val="hu-HU"/>
        </w:rPr>
        <w:footnoteRef/>
      </w:r>
      <w:r w:rsidR="008E03A3" w:rsidRPr="008E03A3">
        <w:rPr>
          <w:sz w:val="24"/>
          <w:lang w:val="hu-HU"/>
        </w:rPr>
        <w:t xml:space="preserve"> </w:t>
      </w:r>
      <w:r w:rsidR="008E03A3" w:rsidRPr="008E03A3">
        <w:rPr>
          <w:sz w:val="24"/>
          <w:lang w:val="hu-HU"/>
        </w:rPr>
        <w:tab/>
      </w:r>
      <w:r w:rsidRPr="008E03A3">
        <w:rPr>
          <w:sz w:val="24"/>
          <w:lang w:val="hu-HU"/>
        </w:rPr>
        <w:t>A kedvezményezetteknél tesztelt támogatáskifizetési tranzakciók esetében a számszerűsíthető hibákra vonatkozó beszámolási küszöbérték az ellenőrzött költségek 1%-a.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E03A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E03A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E03A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89/2024"/>
    <w:docVar w:name="dvlangue" w:val="HU"/>
    <w:docVar w:name="dvnumam" w:val="0"/>
    <w:docVar w:name="dvpe" w:val="753.490"/>
    <w:docVar w:name="dvrapporteur" w:val="Előadó: "/>
    <w:docVar w:name="dvtitre" w:val="Az Európai Parlament 2024.  ...-i határozata a Tiszta Hidrogén Közös Vállalkozás 2022. évi pénzügyi évre szóló költségvetésének végrehajtására vonatkozó mentesítésről(2023/2175(DEC))"/>
  </w:docVars>
  <w:rsids>
    <w:rsidRoot w:val="00BC695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6130"/>
    <w:rsid w:val="002767FF"/>
    <w:rsid w:val="002B18FE"/>
    <w:rsid w:val="002B5493"/>
    <w:rsid w:val="00343214"/>
    <w:rsid w:val="00361C00"/>
    <w:rsid w:val="00395FA1"/>
    <w:rsid w:val="003E015E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3603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03A3"/>
    <w:rsid w:val="00930C23"/>
    <w:rsid w:val="0093193B"/>
    <w:rsid w:val="009509D8"/>
    <w:rsid w:val="00950B64"/>
    <w:rsid w:val="00955E20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73EE"/>
    <w:rsid w:val="00B27439"/>
    <w:rsid w:val="00B558F0"/>
    <w:rsid w:val="00BC695E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87EB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4210AF"/>
  <w15:chartTrackingRefBased/>
  <w15:docId w15:val="{E4D6AFD6-661A-4E24-9B11-D1B919280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B273E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B273EE"/>
    <w:pPr>
      <w:spacing w:before="480" w:after="240"/>
    </w:pPr>
  </w:style>
  <w:style w:type="paragraph" w:customStyle="1" w:styleId="PageHeading">
    <w:name w:val="PageHeading"/>
    <w:basedOn w:val="Normal"/>
    <w:rsid w:val="00B273E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B273EE"/>
    <w:rPr>
      <w:b/>
    </w:rPr>
  </w:style>
  <w:style w:type="paragraph" w:customStyle="1" w:styleId="NormalHanging12a">
    <w:name w:val="NormalHanging12a"/>
    <w:basedOn w:val="Normal"/>
    <w:link w:val="NormalHanging12aChar"/>
    <w:rsid w:val="00B273EE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B273E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273EE"/>
    <w:rPr>
      <w:sz w:val="24"/>
      <w:lang w:val="hu-HU"/>
    </w:rPr>
  </w:style>
  <w:style w:type="paragraph" w:customStyle="1" w:styleId="EPFooter">
    <w:name w:val="EPFooter"/>
    <w:basedOn w:val="Normal"/>
    <w:rsid w:val="00B273E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24a">
    <w:name w:val="Normal24a"/>
    <w:basedOn w:val="Normal"/>
    <w:rsid w:val="00B273EE"/>
    <w:pPr>
      <w:spacing w:after="480"/>
    </w:pPr>
  </w:style>
  <w:style w:type="paragraph" w:customStyle="1" w:styleId="NormalBoldCenter">
    <w:name w:val="NormalBoldCenter"/>
    <w:basedOn w:val="Normal"/>
    <w:rsid w:val="00B273EE"/>
    <w:pPr>
      <w:jc w:val="center"/>
    </w:pPr>
    <w:rPr>
      <w:b/>
    </w:rPr>
  </w:style>
  <w:style w:type="character" w:customStyle="1" w:styleId="NormalHanging12aChar">
    <w:name w:val="NormalHanging12a Char"/>
    <w:basedOn w:val="DefaultParagraphFont"/>
    <w:link w:val="NormalHanging12a"/>
    <w:rsid w:val="00B273EE"/>
    <w:rPr>
      <w:sz w:val="24"/>
      <w:lang w:val="hu-HU"/>
    </w:rPr>
  </w:style>
  <w:style w:type="paragraph" w:customStyle="1" w:styleId="Normal12a">
    <w:name w:val="Normal12a"/>
    <w:basedOn w:val="Normal"/>
    <w:rsid w:val="00B273EE"/>
    <w:pPr>
      <w:spacing w:after="240"/>
    </w:pPr>
  </w:style>
  <w:style w:type="paragraph" w:customStyle="1" w:styleId="RollCallVotes">
    <w:name w:val="RollCallVotes"/>
    <w:basedOn w:val="Normal"/>
    <w:rsid w:val="00B273EE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B273EE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B273EE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B273EE"/>
    <w:pPr>
      <w:spacing w:before="120" w:after="120"/>
    </w:pPr>
    <w:rPr>
      <w:snapToGrid w:val="0"/>
      <w:sz w:val="16"/>
      <w:lang w:eastAsia="en-US"/>
    </w:rPr>
  </w:style>
  <w:style w:type="paragraph" w:styleId="Footer">
    <w:name w:val="footer"/>
    <w:basedOn w:val="Normal"/>
    <w:link w:val="FooterChar"/>
    <w:rsid w:val="00B2743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27439"/>
    <w:rPr>
      <w:sz w:val="24"/>
      <w:lang w:val="hu-HU"/>
    </w:rPr>
  </w:style>
  <w:style w:type="paragraph" w:styleId="BalloonText">
    <w:name w:val="Balloon Text"/>
    <w:basedOn w:val="Normal"/>
    <w:link w:val="BalloonTextChar"/>
    <w:rsid w:val="003E015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E015E"/>
    <w:rPr>
      <w:rFonts w:ascii="Segoe UI" w:hAnsi="Segoe UI" w:cs="Segoe UI"/>
      <w:sz w:val="18"/>
      <w:szCs w:val="18"/>
      <w:lang w:val="hu-HU"/>
    </w:rPr>
  </w:style>
  <w:style w:type="character" w:styleId="Hyperlink">
    <w:name w:val="Hyperlink"/>
    <w:basedOn w:val="DefaultParagraphFont"/>
    <w:rsid w:val="003E015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1968/259(1)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345EB8-340E-4319-9DF9-C4879D49A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3050</Words>
  <Characters>21912</Characters>
  <Application>Microsoft Office Word</Application>
  <DocSecurity>0</DocSecurity>
  <Lines>182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REl</dc:creator>
  <cp:keywords/>
  <cp:lastModifiedBy>ILLY_D_relec</cp:lastModifiedBy>
  <cp:revision>2</cp:revision>
  <cp:lastPrinted>2004-11-19T15:42:00Z</cp:lastPrinted>
  <dcterms:created xsi:type="dcterms:W3CDTF">2024-04-11T10:57:00Z</dcterms:created>
  <dcterms:modified xsi:type="dcterms:W3CDTF">2024-04-11T10:57:00Z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A9-0089/2024</vt:lpwstr>
  </property>
  <property fmtid="{D5CDD505-2E9C-101B-9397-08002B2CF9AE}" pid="4" name="&lt;Type&gt;">
    <vt:lpwstr>RR</vt:lpwstr>
  </property>
</Properties>
</file>