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B5F31" w:rsidTr="0010095E">
        <w:trPr>
          <w:trHeight w:hRule="exact" w:val="1418"/>
        </w:trPr>
        <w:tc>
          <w:tcPr>
            <w:tcW w:w="6804" w:type="dxa"/>
            <w:shd w:val="clear" w:color="auto" w:fill="auto"/>
            <w:vAlign w:val="center"/>
          </w:tcPr>
          <w:p w:rsidR="00751A4A" w:rsidRPr="00FB5F31" w:rsidRDefault="00CC1E54" w:rsidP="0010095E">
            <w:pPr>
              <w:pStyle w:val="EPName"/>
            </w:pPr>
            <w:r w:rsidRPr="00FB5F31">
              <w:t>Europos Parlamentas</w:t>
            </w:r>
          </w:p>
          <w:p w:rsidR="00751A4A" w:rsidRPr="00FB5F31" w:rsidRDefault="00817416" w:rsidP="00756632">
            <w:pPr>
              <w:pStyle w:val="EPTerm"/>
              <w:rPr>
                <w:rStyle w:val="HideTWBExt"/>
                <w:noProof w:val="0"/>
                <w:vanish w:val="0"/>
                <w:color w:val="auto"/>
              </w:rPr>
            </w:pPr>
            <w:r w:rsidRPr="00FB5F31">
              <w:t>2019-2024</w:t>
            </w:r>
          </w:p>
        </w:tc>
        <w:tc>
          <w:tcPr>
            <w:tcW w:w="2268" w:type="dxa"/>
            <w:shd w:val="clear" w:color="auto" w:fill="auto"/>
          </w:tcPr>
          <w:p w:rsidR="00751A4A" w:rsidRPr="00FB5F31" w:rsidRDefault="00187494" w:rsidP="0010095E">
            <w:pPr>
              <w:pStyle w:val="EPLogo"/>
            </w:pPr>
            <w:r w:rsidRPr="00FB5F31">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B5F31" w:rsidRDefault="00D058B8" w:rsidP="004C5D52">
      <w:pPr>
        <w:pStyle w:val="LineTop"/>
      </w:pPr>
    </w:p>
    <w:p w:rsidR="00680577" w:rsidRPr="00FB5F31" w:rsidRDefault="00CC1E54" w:rsidP="00680577">
      <w:pPr>
        <w:pStyle w:val="EPBodyTA1"/>
      </w:pPr>
      <w:r w:rsidRPr="00FB5F31">
        <w:t>PRIIMTI TEKSTAI</w:t>
      </w:r>
    </w:p>
    <w:p w:rsidR="00D058B8" w:rsidRPr="00FB5F31" w:rsidRDefault="00D058B8" w:rsidP="00D058B8">
      <w:pPr>
        <w:pStyle w:val="LineBottom"/>
      </w:pPr>
    </w:p>
    <w:p w:rsidR="00CC1E54" w:rsidRPr="00FB5F31" w:rsidRDefault="00CC1E54" w:rsidP="00CC1E54">
      <w:pPr>
        <w:pStyle w:val="ATHeading1"/>
      </w:pPr>
      <w:bookmarkStart w:id="0" w:name="TANumber"/>
      <w:r w:rsidRPr="00FB5F31">
        <w:t>P9_TA(2024)0</w:t>
      </w:r>
      <w:r w:rsidR="00D63F77">
        <w:t>275</w:t>
      </w:r>
      <w:bookmarkEnd w:id="0"/>
    </w:p>
    <w:p w:rsidR="00CC1E54" w:rsidRPr="00FB5F31" w:rsidRDefault="00CC1E54" w:rsidP="00CC1E54">
      <w:pPr>
        <w:pStyle w:val="ATHeading2"/>
      </w:pPr>
      <w:bookmarkStart w:id="1" w:name="title"/>
      <w:r w:rsidRPr="00FB5F31">
        <w:t>2022 m. biudžeto įvykdymo patvirtinimas: Švariojo vandenilio bendroji įmonė</w:t>
      </w:r>
      <w:bookmarkEnd w:id="1"/>
    </w:p>
    <w:p w:rsidR="00CC1E54" w:rsidRPr="00FB5F31" w:rsidRDefault="00CC1E54" w:rsidP="00CC1E54">
      <w:pPr>
        <w:rPr>
          <w:i/>
          <w:vanish/>
        </w:rPr>
      </w:pPr>
      <w:r w:rsidRPr="00FB5F31">
        <w:rPr>
          <w:i/>
        </w:rPr>
        <w:fldChar w:fldCharType="begin"/>
      </w:r>
      <w:r w:rsidRPr="00FB5F31">
        <w:rPr>
          <w:i/>
        </w:rPr>
        <w:instrText xml:space="preserve"> TC"(</w:instrText>
      </w:r>
      <w:bookmarkStart w:id="2" w:name="DocNumber"/>
      <w:r w:rsidRPr="00FB5F31">
        <w:rPr>
          <w:i/>
        </w:rPr>
        <w:instrText>A9-0089/2024</w:instrText>
      </w:r>
      <w:bookmarkEnd w:id="2"/>
      <w:r w:rsidRPr="00FB5F31">
        <w:rPr>
          <w:i/>
        </w:rPr>
        <w:instrText xml:space="preserve"> - Pranešėjas: Michal </w:instrText>
      </w:r>
      <w:proofErr w:type="spellStart"/>
      <w:r w:rsidRPr="00FB5F31">
        <w:rPr>
          <w:i/>
        </w:rPr>
        <w:instrText>Wiezik</w:instrText>
      </w:r>
      <w:proofErr w:type="spellEnd"/>
      <w:r w:rsidRPr="00FB5F31">
        <w:rPr>
          <w:i/>
        </w:rPr>
        <w:instrText xml:space="preserve">)"\l3 \n&gt; \* MERGEFORMAT </w:instrText>
      </w:r>
      <w:r w:rsidRPr="00FB5F31">
        <w:rPr>
          <w:i/>
        </w:rPr>
        <w:fldChar w:fldCharType="end"/>
      </w:r>
    </w:p>
    <w:p w:rsidR="00CC1E54" w:rsidRPr="00FB5F31" w:rsidRDefault="00CC1E54" w:rsidP="00CC1E54">
      <w:pPr>
        <w:rPr>
          <w:vanish/>
        </w:rPr>
      </w:pPr>
      <w:bookmarkStart w:id="3" w:name="Commission"/>
      <w:r w:rsidRPr="00FB5F31">
        <w:rPr>
          <w:vanish/>
        </w:rPr>
        <w:t>Biudžeto kontrolės komitetas</w:t>
      </w:r>
      <w:bookmarkEnd w:id="3"/>
    </w:p>
    <w:p w:rsidR="00CC1E54" w:rsidRPr="00FB5F31" w:rsidRDefault="00CC1E54" w:rsidP="00CC1E54">
      <w:pPr>
        <w:rPr>
          <w:vanish/>
        </w:rPr>
      </w:pPr>
      <w:bookmarkStart w:id="4" w:name="PE"/>
      <w:r w:rsidRPr="00FB5F31">
        <w:rPr>
          <w:vanish/>
        </w:rPr>
        <w:t>PE753.490</w:t>
      </w:r>
      <w:bookmarkEnd w:id="4"/>
    </w:p>
    <w:p w:rsidR="00CC1E54" w:rsidRPr="00FB5F31" w:rsidRDefault="00D86D98" w:rsidP="00D86D98">
      <w:pPr>
        <w:pStyle w:val="ATHeading3"/>
      </w:pPr>
      <w:bookmarkStart w:id="5" w:name="Sujet"/>
      <w:r>
        <w:t xml:space="preserve">1. 2024 m. balandžio 11 d. </w:t>
      </w:r>
      <w:r w:rsidR="00CC1E54" w:rsidRPr="00FB5F31">
        <w:t>Europos Parlamento sprendimas dėl Švariojo vandenilio bendrosios įmonės 2022 finansinių metų biudžeto įvykdymo patvirtinimo</w:t>
      </w:r>
      <w:bookmarkEnd w:id="5"/>
      <w:r w:rsidR="00CC1E54" w:rsidRPr="00FB5F31">
        <w:t xml:space="preserve"> </w:t>
      </w:r>
      <w:bookmarkStart w:id="6" w:name="References"/>
      <w:r w:rsidR="00CC1E54" w:rsidRPr="00FB5F31">
        <w:t>(2023/2175(DEC))</w:t>
      </w:r>
      <w:bookmarkEnd w:id="6"/>
    </w:p>
    <w:p w:rsidR="009B386D" w:rsidRPr="00FB5F31" w:rsidRDefault="009B386D" w:rsidP="009B386D">
      <w:pPr>
        <w:pStyle w:val="EPComma"/>
      </w:pPr>
      <w:bookmarkStart w:id="7" w:name="TextBodyBegin"/>
      <w:bookmarkEnd w:id="7"/>
      <w:r w:rsidRPr="00FB5F31">
        <w:rPr>
          <w:i/>
        </w:rPr>
        <w:t>Europos Parlamentas</w:t>
      </w:r>
      <w:r w:rsidRPr="00FB5F31">
        <w:t>,</w:t>
      </w:r>
    </w:p>
    <w:p w:rsidR="009B386D" w:rsidRPr="00FB5F31" w:rsidRDefault="009B386D" w:rsidP="009B386D">
      <w:pPr>
        <w:pStyle w:val="NormalHanging12a"/>
      </w:pPr>
      <w:r w:rsidRPr="00FB5F31">
        <w:t>–</w:t>
      </w:r>
      <w:r w:rsidRPr="00FB5F31">
        <w:tab/>
        <w:t>atsižvelgdamas į Švariojo vandenilio bendrosios įmonės 2022 finansinių metų galutines metines ataskaitas,</w:t>
      </w:r>
    </w:p>
    <w:p w:rsidR="009B386D" w:rsidRPr="00FB5F31" w:rsidRDefault="009B386D" w:rsidP="009B386D">
      <w:pPr>
        <w:pStyle w:val="NormalHanging12a"/>
      </w:pPr>
      <w:r w:rsidRPr="00FB5F31">
        <w:t>–</w:t>
      </w:r>
      <w:r w:rsidRPr="00FB5F31">
        <w:tab/>
        <w:t>atsižvelgdamas į Audito Rūmų 2022 finansinių metų metinę ataskaitą dėl ES bendrųjų įmonių kartu su bendrųjų įmonių atsakymais</w:t>
      </w:r>
      <w:r w:rsidRPr="00FB5F31">
        <w:rPr>
          <w:rStyle w:val="FootnoteReference"/>
        </w:rPr>
        <w:footnoteReference w:id="1"/>
      </w:r>
      <w:r w:rsidRPr="00FB5F31">
        <w:t>,</w:t>
      </w:r>
    </w:p>
    <w:p w:rsidR="009B386D" w:rsidRPr="00FB5F31" w:rsidRDefault="009B386D" w:rsidP="009B386D">
      <w:pPr>
        <w:pStyle w:val="NormalHanging12a"/>
      </w:pPr>
      <w:r w:rsidRPr="00FB5F31">
        <w:t>–</w:t>
      </w:r>
      <w:r w:rsidRPr="00FB5F31">
        <w:tab/>
        <w:t>atsižvelgdamas į Audito Rūmų pagal Sutarties dėl Europos Sąjungos veikimo 287 straipsnį pateiktą 2022 finansinių metų sąskaitų patikimumo ir pagal jas atliktų operacijų teisėtumo ir tvarkingumo patikinimo pareiškimą</w:t>
      </w:r>
      <w:r w:rsidRPr="00FB5F31">
        <w:rPr>
          <w:rStyle w:val="FootnoteReference"/>
        </w:rPr>
        <w:footnoteReference w:id="2"/>
      </w:r>
      <w:r w:rsidRPr="00FB5F31">
        <w:t>,</w:t>
      </w:r>
    </w:p>
    <w:p w:rsidR="009B386D" w:rsidRPr="00FB5F31" w:rsidRDefault="009B386D" w:rsidP="009B386D">
      <w:pPr>
        <w:pStyle w:val="NormalHanging12a"/>
      </w:pPr>
      <w:r w:rsidRPr="00FB5F31">
        <w:t>–</w:t>
      </w:r>
      <w:r w:rsidRPr="00FB5F31">
        <w:tab/>
        <w:t xml:space="preserve">atsižvelgdamas į 2024 m. vasario 22 d. </w:t>
      </w:r>
      <w:r w:rsidR="00F53882" w:rsidRPr="00FB5F31">
        <w:t xml:space="preserve">Tarybos </w:t>
      </w:r>
      <w:r w:rsidRPr="00FB5F31">
        <w:t>rekomendaciją dėl patvirtinimo, kad bendroji įmonė įvykdė 2022 finansinių metų biudžetą (</w:t>
      </w:r>
      <w:r w:rsidRPr="00F53882">
        <w:t>0</w:t>
      </w:r>
      <w:r w:rsidR="00F53882">
        <w:t>6182</w:t>
      </w:r>
      <w:r w:rsidRPr="00FB5F31">
        <w:t>/2024 – C9</w:t>
      </w:r>
      <w:r w:rsidRPr="00FB5F31">
        <w:noBreakHyphen/>
        <w:t>0</w:t>
      </w:r>
      <w:r w:rsidR="00F53882">
        <w:t>113</w:t>
      </w:r>
      <w:r w:rsidRPr="00FB5F31">
        <w:t>/2024),</w:t>
      </w:r>
    </w:p>
    <w:p w:rsidR="009B386D" w:rsidRPr="00FB5F31" w:rsidRDefault="009B386D" w:rsidP="009B386D">
      <w:pPr>
        <w:pStyle w:val="NormalHanging12a"/>
      </w:pPr>
      <w:r w:rsidRPr="00FB5F31">
        <w:t>–</w:t>
      </w:r>
      <w:r w:rsidRPr="00FB5F31">
        <w:tab/>
        <w:t>atsižvelgdamas į Sutarties dėl Europos Sąjungos veikimo 319 straipsnį,</w:t>
      </w:r>
    </w:p>
    <w:p w:rsidR="009B386D" w:rsidRPr="00FB5F31" w:rsidRDefault="009B386D" w:rsidP="009B386D">
      <w:pPr>
        <w:pStyle w:val="NormalHanging12a"/>
      </w:pPr>
      <w:r w:rsidRPr="00FB5F31">
        <w:t>–</w:t>
      </w:r>
      <w:r w:rsidRPr="00FB5F31">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B5F31">
        <w:rPr>
          <w:rStyle w:val="FootnoteReference"/>
        </w:rPr>
        <w:footnoteReference w:id="3"/>
      </w:r>
      <w:r w:rsidRPr="00FB5F31">
        <w:t>, ypač į jo 71 straipsnį,</w:t>
      </w:r>
    </w:p>
    <w:p w:rsidR="009B386D" w:rsidRPr="00FB5F31" w:rsidRDefault="009B386D" w:rsidP="009B386D">
      <w:pPr>
        <w:pStyle w:val="NormalHanging12a"/>
      </w:pPr>
      <w:r w:rsidRPr="00FB5F31">
        <w:t>–</w:t>
      </w:r>
      <w:r w:rsidRPr="00FB5F31">
        <w:tab/>
        <w:t xml:space="preserve">atsižvelgdamas į 2021 m. lapkričio 19 d. Tarybos reglamentą (ES) 2021/2085, kuriuo pagal programą „Europos horizontas“ steigiamos bendrosios įmonės ir panaikinami </w:t>
      </w:r>
      <w:r w:rsidRPr="00FB5F31">
        <w:lastRenderedPageBreak/>
        <w:t>reglamentai (EB) Nr. 219/2007, (ES) Nr. 557/2014, (ES) Nr. 558/2014, (ES) Nr. 559/2014, (ES) Nr. 560/2014, (ES) Nr. 561/2014 bei (ES) Nr. 642/2014</w:t>
      </w:r>
      <w:r w:rsidRPr="00FB5F31">
        <w:rPr>
          <w:rStyle w:val="FootnoteReference"/>
        </w:rPr>
        <w:footnoteReference w:id="4"/>
      </w:r>
      <w:r w:rsidRPr="00FB5F31">
        <w:t>, ypač į jo 26 straipsnį,</w:t>
      </w:r>
    </w:p>
    <w:p w:rsidR="009B386D" w:rsidRPr="00FB5F31" w:rsidRDefault="009B386D" w:rsidP="009B386D">
      <w:pPr>
        <w:pStyle w:val="NormalHanging12a"/>
      </w:pPr>
      <w:r w:rsidRPr="00FB5F31">
        <w:t>–</w:t>
      </w:r>
      <w:r w:rsidRPr="00FB5F31">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B5F31">
        <w:rPr>
          <w:rStyle w:val="FootnoteReference"/>
        </w:rPr>
        <w:footnoteReference w:id="5"/>
      </w:r>
      <w:r w:rsidRPr="00FB5F31">
        <w:t>,</w:t>
      </w:r>
    </w:p>
    <w:p w:rsidR="009B386D" w:rsidRPr="00FB5F31" w:rsidRDefault="009B386D" w:rsidP="009B386D">
      <w:pPr>
        <w:pStyle w:val="NormalHanging12a"/>
      </w:pPr>
      <w:r w:rsidRPr="00FB5F31">
        <w:t>–</w:t>
      </w:r>
      <w:r w:rsidRPr="00FB5F31">
        <w:tab/>
        <w:t>atsižvelgdamas į Darbo tvarkos taisyklių 100 straipsnį ir V priedą,</w:t>
      </w:r>
    </w:p>
    <w:p w:rsidR="009B386D" w:rsidRPr="00FB5F31" w:rsidRDefault="009B386D" w:rsidP="009B386D">
      <w:pPr>
        <w:pStyle w:val="NormalHanging12a"/>
      </w:pPr>
      <w:r w:rsidRPr="00FB5F31">
        <w:t>–</w:t>
      </w:r>
      <w:r w:rsidRPr="00FB5F31">
        <w:tab/>
        <w:t>atsižvelgdamas į Biudžeto kontrolės komiteto pranešimą (A9-0089/2024),</w:t>
      </w:r>
    </w:p>
    <w:p w:rsidR="009B386D" w:rsidRPr="00FB5F31" w:rsidRDefault="009B386D" w:rsidP="009B386D">
      <w:pPr>
        <w:pStyle w:val="NormalHanging12a"/>
      </w:pPr>
      <w:r w:rsidRPr="00FB5F31">
        <w:t>1.</w:t>
      </w:r>
      <w:r w:rsidRPr="00FB5F31">
        <w:tab/>
        <w:t>patvirtina Švariojo vandenilio bendrosios įmonės laikinai pareigas einančiai vykdomajai direktorei, kad bendrosios įmonės 2022 finansinių metų biudžetas įvykdytas;</w:t>
      </w:r>
    </w:p>
    <w:p w:rsidR="009B386D" w:rsidRPr="00FB5F31" w:rsidRDefault="009B386D" w:rsidP="009B386D">
      <w:pPr>
        <w:pStyle w:val="NormalHanging12a"/>
      </w:pPr>
      <w:r w:rsidRPr="00FB5F31">
        <w:t>2.</w:t>
      </w:r>
      <w:r w:rsidRPr="00FB5F31">
        <w:tab/>
        <w:t>išdėsto savo pastabas toliau pateikiamoje rezoliucijoje;</w:t>
      </w:r>
    </w:p>
    <w:p w:rsidR="009B386D" w:rsidRPr="00FB5F31" w:rsidRDefault="009B386D" w:rsidP="009B386D">
      <w:pPr>
        <w:pStyle w:val="NormalHanging12a"/>
      </w:pPr>
      <w:r w:rsidRPr="00FB5F31">
        <w:t>3.</w:t>
      </w:r>
      <w:r w:rsidRPr="00FB5F31">
        <w:tab/>
        <w:t xml:space="preserve">paveda Pirmininkei perduoti šį sprendimą ir rezoliuciją, kuri yra neatskiriama jo dalis, Švariojo vandenilio bendrosios įmonės laikinai pareigas einančiai vykdomajai direktorei, Tarybai, Komisijai ir Audito Rūmams ir pasirūpinti, kad jie būtų paskelbti </w:t>
      </w:r>
      <w:r w:rsidRPr="00FB5F31">
        <w:rPr>
          <w:i/>
          <w:iCs/>
        </w:rPr>
        <w:t>Europos Sąjungos oficialiajame leidinyje</w:t>
      </w:r>
      <w:r w:rsidRPr="00FB5F31">
        <w:t xml:space="preserve"> (L serijoje).</w:t>
      </w:r>
    </w:p>
    <w:p w:rsidR="009B386D" w:rsidRPr="00FB5F31" w:rsidRDefault="009B386D" w:rsidP="009B386D"/>
    <w:p w:rsidR="009B386D" w:rsidRPr="00FB5F31" w:rsidRDefault="009B386D" w:rsidP="009B386D">
      <w:pPr>
        <w:pStyle w:val="PageHeading"/>
        <w:sectPr w:rsidR="009B386D" w:rsidRPr="00FB5F31" w:rsidSect="00FB5F31">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9B386D" w:rsidRPr="00FB5F31" w:rsidRDefault="00D86D98" w:rsidP="00221F4A">
      <w:pPr>
        <w:pStyle w:val="ATHeading3"/>
      </w:pPr>
      <w:r>
        <w:lastRenderedPageBreak/>
        <w:t xml:space="preserve">2. 2024 m. balandžio 11 d. </w:t>
      </w:r>
      <w:r w:rsidRPr="00FB5F31">
        <w:t>Europos Parlamento sprendimas</w:t>
      </w:r>
      <w:r>
        <w:t xml:space="preserve"> </w:t>
      </w:r>
      <w:r w:rsidR="009B386D" w:rsidRPr="00FB5F31">
        <w:t>dėl Švariojo vandenilio bendrosios įmonės 2022 finansinių metų sąskaitų uždarymo</w:t>
      </w:r>
      <w:r>
        <w:t xml:space="preserve"> </w:t>
      </w:r>
      <w:r w:rsidR="009B386D" w:rsidRPr="00FB5F31">
        <w:t>(2023/2175(DEC))</w:t>
      </w:r>
    </w:p>
    <w:p w:rsidR="009B386D" w:rsidRPr="00FB5F31" w:rsidRDefault="009B386D" w:rsidP="009B386D">
      <w:pPr>
        <w:pStyle w:val="EPComma"/>
      </w:pPr>
      <w:r w:rsidRPr="00FB5F31">
        <w:rPr>
          <w:i/>
        </w:rPr>
        <w:t>Europos Parlamentas</w:t>
      </w:r>
      <w:r w:rsidRPr="00FB5F31">
        <w:t>,</w:t>
      </w:r>
    </w:p>
    <w:p w:rsidR="009B386D" w:rsidRPr="00FB5F31" w:rsidRDefault="009B386D" w:rsidP="009B386D">
      <w:pPr>
        <w:pStyle w:val="NormalHanging12a"/>
      </w:pPr>
      <w:r w:rsidRPr="00FB5F31">
        <w:t>–</w:t>
      </w:r>
      <w:r w:rsidRPr="00FB5F31">
        <w:tab/>
        <w:t>atsižvelgdamas į Švariojo vandenilio bendrosios įmonės 2022 finansinių metų galutines metines ataskaitas,</w:t>
      </w:r>
    </w:p>
    <w:p w:rsidR="009B386D" w:rsidRPr="00FB5F31" w:rsidRDefault="009B386D" w:rsidP="009B386D">
      <w:pPr>
        <w:pStyle w:val="NormalHanging12a"/>
      </w:pPr>
      <w:r w:rsidRPr="00FB5F31">
        <w:t>–</w:t>
      </w:r>
      <w:r w:rsidRPr="00FB5F31">
        <w:tab/>
        <w:t>atsižvelgdamas į Audito Rūmų 2022 finansinių metų metinę ataskaitą dėl ES bendrųjų įmonių kartu su bendrųjų įmonių atsakymais</w:t>
      </w:r>
      <w:r w:rsidRPr="00FB5F31">
        <w:rPr>
          <w:rStyle w:val="FootnoteReference"/>
        </w:rPr>
        <w:footnoteReference w:id="6"/>
      </w:r>
      <w:r w:rsidRPr="00FB5F31">
        <w:t>,</w:t>
      </w:r>
    </w:p>
    <w:p w:rsidR="009B386D" w:rsidRPr="00FB5F31" w:rsidRDefault="009B386D" w:rsidP="009B386D">
      <w:pPr>
        <w:pStyle w:val="NormalHanging12a"/>
      </w:pPr>
      <w:r w:rsidRPr="00FB5F31">
        <w:t>–</w:t>
      </w:r>
      <w:r w:rsidRPr="00FB5F31">
        <w:tab/>
        <w:t>atsižvelgdamas į Audito Rūmų pagal Sutarties dėl Europos Sąjungos veikimo 287 straipsnį pateiktą 2022 finansinių metų sąskaitų patikimumo ir pagal jas atliktų operacijų teisėtumo ir tvarkingumo patikinimo pareiškimą</w:t>
      </w:r>
      <w:r w:rsidRPr="00FB5F31">
        <w:rPr>
          <w:rStyle w:val="FootnoteReference"/>
        </w:rPr>
        <w:footnoteReference w:id="7"/>
      </w:r>
      <w:r w:rsidRPr="00FB5F31">
        <w:t>,</w:t>
      </w:r>
    </w:p>
    <w:p w:rsidR="009B386D" w:rsidRPr="00FB5F31" w:rsidRDefault="009B386D" w:rsidP="009B386D">
      <w:pPr>
        <w:pStyle w:val="NormalHanging12a"/>
      </w:pPr>
      <w:r w:rsidRPr="00FB5F31">
        <w:t>–</w:t>
      </w:r>
      <w:r w:rsidRPr="00FB5F31">
        <w:tab/>
        <w:t xml:space="preserve">atsižvelgdamas į 2024 m. vasario 22 d. </w:t>
      </w:r>
      <w:r w:rsidR="00F53882" w:rsidRPr="00FB5F31">
        <w:t xml:space="preserve">Tarybos </w:t>
      </w:r>
      <w:r w:rsidRPr="00FB5F31">
        <w:t>rekomendaciją dėl patvirtinimo, kad bendroji įmonė įvykdė 2022 finansinių metų biudžetą (0</w:t>
      </w:r>
      <w:r w:rsidR="00F53882">
        <w:t>6182</w:t>
      </w:r>
      <w:r w:rsidRPr="00FB5F31">
        <w:t>/2024 – C9</w:t>
      </w:r>
      <w:r w:rsidRPr="00FB5F31">
        <w:noBreakHyphen/>
        <w:t>0</w:t>
      </w:r>
      <w:r w:rsidR="00F53882">
        <w:t>113</w:t>
      </w:r>
      <w:r w:rsidRPr="00FB5F31">
        <w:t>/2024),</w:t>
      </w:r>
    </w:p>
    <w:p w:rsidR="009B386D" w:rsidRPr="00FB5F31" w:rsidRDefault="009B386D" w:rsidP="009B386D">
      <w:pPr>
        <w:pStyle w:val="NormalHanging12a"/>
      </w:pPr>
      <w:r w:rsidRPr="00FB5F31">
        <w:t>–</w:t>
      </w:r>
      <w:r w:rsidRPr="00FB5F31">
        <w:tab/>
        <w:t>atsižvelgdamas į Sutarties dėl Europos Sąjungos veikimo 319 straipsnį,</w:t>
      </w:r>
    </w:p>
    <w:p w:rsidR="009B386D" w:rsidRPr="00FB5F31" w:rsidRDefault="009B386D" w:rsidP="009B386D">
      <w:pPr>
        <w:pStyle w:val="NormalHanging12a"/>
      </w:pPr>
      <w:r w:rsidRPr="00FB5F31">
        <w:t>–</w:t>
      </w:r>
      <w:r w:rsidRPr="00FB5F31">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FB5F31">
        <w:rPr>
          <w:rStyle w:val="FootnoteReference"/>
        </w:rPr>
        <w:footnoteReference w:id="8"/>
      </w:r>
      <w:r w:rsidRPr="00FB5F31">
        <w:t>, ypač į jo 71 straipsnį,</w:t>
      </w:r>
    </w:p>
    <w:p w:rsidR="009B386D" w:rsidRPr="00FB5F31" w:rsidRDefault="009B386D" w:rsidP="009B386D">
      <w:pPr>
        <w:pStyle w:val="NormalHanging12a"/>
      </w:pPr>
      <w:r w:rsidRPr="00FB5F31">
        <w:t>–</w:t>
      </w:r>
      <w:r w:rsidRPr="00FB5F31">
        <w:tab/>
        <w:t>atsižvelgdamas į 2021 m. lapkričio 19 d. Tarybos reglamentą (ES) 2021/2085, kuriuo pagal programą „Europos horizontas“ steigiamos bendrosios įmonės ir panaikinami reglamentai (EB) Nr. 219/2007, (ES) Nr. 557/2014, (ES) Nr. 558/2014, (ES) Nr. 559/2014, (ES) Nr. 560/2014, (ES) Nr. 561/2014 bei (ES) Nr. 642/2014</w:t>
      </w:r>
      <w:r w:rsidRPr="00FB5F31">
        <w:rPr>
          <w:rStyle w:val="FootnoteReference"/>
        </w:rPr>
        <w:footnoteReference w:id="9"/>
      </w:r>
      <w:r w:rsidRPr="00FB5F31">
        <w:t>, ypač į jo 26 straipsnį,</w:t>
      </w:r>
    </w:p>
    <w:p w:rsidR="009B386D" w:rsidRPr="00FB5F31" w:rsidRDefault="009B386D" w:rsidP="009B386D">
      <w:pPr>
        <w:pStyle w:val="NormalHanging12a"/>
      </w:pPr>
      <w:r w:rsidRPr="00FB5F31">
        <w:t>–</w:t>
      </w:r>
      <w:r w:rsidRPr="00FB5F31">
        <w:tab/>
        <w:t>atsižvelgdamas į 2019 m. kovo 13 d. Komisijos deleguotąjį reglamentą (ES) 2019/887 dėl viešojo ir privačiojo sektorių partnerystės įstaigų, nurodytų Europos Parlamento ir Tarybos reglamento (ES, Euratomas) 2018/1046 71 straipsnyje, pavyzdinio finansinio reglamento</w:t>
      </w:r>
      <w:r w:rsidRPr="00FB5F31">
        <w:rPr>
          <w:rStyle w:val="FootnoteReference"/>
        </w:rPr>
        <w:footnoteReference w:id="10"/>
      </w:r>
      <w:r w:rsidRPr="00FB5F31">
        <w:t>,</w:t>
      </w:r>
    </w:p>
    <w:p w:rsidR="009B386D" w:rsidRPr="00FB5F31" w:rsidRDefault="009B386D" w:rsidP="009B386D">
      <w:pPr>
        <w:pStyle w:val="NormalHanging12a"/>
      </w:pPr>
      <w:r w:rsidRPr="00FB5F31">
        <w:t>–</w:t>
      </w:r>
      <w:r w:rsidRPr="00FB5F31">
        <w:tab/>
        <w:t>atsižvelgdamas į Darbo tvarkos taisyklių 100 straipsnį ir V priedą,</w:t>
      </w:r>
    </w:p>
    <w:p w:rsidR="009B386D" w:rsidRPr="00FB5F31" w:rsidRDefault="009B386D" w:rsidP="009B386D">
      <w:pPr>
        <w:pStyle w:val="NormalHanging12a"/>
      </w:pPr>
      <w:r w:rsidRPr="00FB5F31">
        <w:t>–</w:t>
      </w:r>
      <w:r w:rsidRPr="00FB5F31">
        <w:tab/>
        <w:t>atsižvelgdamas į Biudžeto kontrolės komiteto pranešimą (A9-0089/2024),</w:t>
      </w:r>
    </w:p>
    <w:p w:rsidR="009B386D" w:rsidRPr="00FB5F31" w:rsidRDefault="009B386D" w:rsidP="009B386D">
      <w:pPr>
        <w:pStyle w:val="NormalHanging12a"/>
      </w:pPr>
      <w:r w:rsidRPr="00FB5F31">
        <w:t>1.</w:t>
      </w:r>
      <w:r w:rsidRPr="00FB5F31">
        <w:tab/>
        <w:t>pritaria Švariojo vandenilio bendrosios įmonės 2022 finansinių metų sąskaitų uždarymui;</w:t>
      </w:r>
    </w:p>
    <w:p w:rsidR="009B386D" w:rsidRPr="00FB5F31" w:rsidRDefault="009B386D" w:rsidP="009B386D">
      <w:pPr>
        <w:pStyle w:val="NormalHanging12a"/>
      </w:pPr>
      <w:r w:rsidRPr="00FB5F31">
        <w:t>2.</w:t>
      </w:r>
      <w:r w:rsidRPr="00FB5F31">
        <w:tab/>
        <w:t xml:space="preserve">paveda Pirmininkei perduoti šį sprendimą Švariojo vandenilio bendrosios įmonės </w:t>
      </w:r>
      <w:r w:rsidRPr="00FB5F31">
        <w:lastRenderedPageBreak/>
        <w:t xml:space="preserve">laikinai pareigas einančiai vykdomajai direktorei, Tarybai, Komisijai ir Audito Rūmams ir pasirūpinti, kad jis būtų paskelbtas </w:t>
      </w:r>
      <w:r w:rsidRPr="00FB5F31">
        <w:rPr>
          <w:i/>
          <w:iCs/>
        </w:rPr>
        <w:t>Europos Sąjungos oficialiajame leidinyje</w:t>
      </w:r>
      <w:r w:rsidRPr="00FB5F31">
        <w:t xml:space="preserve"> (L serijoje).</w:t>
      </w:r>
    </w:p>
    <w:p w:rsidR="009B386D" w:rsidRPr="00FB5F31" w:rsidRDefault="009B386D" w:rsidP="009B386D">
      <w:pPr>
        <w:pStyle w:val="PageHeading"/>
        <w:sectPr w:rsidR="009B386D" w:rsidRPr="00FB5F31" w:rsidSect="00FB5F31">
          <w:footnotePr>
            <w:numRestart w:val="eachPage"/>
          </w:footnotePr>
          <w:endnotePr>
            <w:numFmt w:val="decimal"/>
          </w:endnotePr>
          <w:pgSz w:w="11906" w:h="16838" w:code="9"/>
          <w:pgMar w:top="1134" w:right="1418" w:bottom="1418" w:left="1418" w:header="567" w:footer="567" w:gutter="0"/>
          <w:cols w:space="720"/>
          <w:noEndnote/>
          <w:docGrid w:linePitch="326"/>
        </w:sectPr>
      </w:pPr>
    </w:p>
    <w:p w:rsidR="009B386D" w:rsidRPr="00FB5F31" w:rsidRDefault="00D86D98" w:rsidP="00221F4A">
      <w:pPr>
        <w:pStyle w:val="ATHeading3"/>
      </w:pPr>
      <w:r>
        <w:lastRenderedPageBreak/>
        <w:t xml:space="preserve">3. 2024 m. balandžio 11 d. </w:t>
      </w:r>
      <w:r w:rsidRPr="00FB5F31">
        <w:t xml:space="preserve">Europos Parlamento </w:t>
      </w:r>
      <w:r>
        <w:t xml:space="preserve">rezoliucija </w:t>
      </w:r>
      <w:r w:rsidR="009B386D" w:rsidRPr="00FB5F31">
        <w:t>su pastabomis, sudarančiomis neatskiriamą sprendimo dėl Švariojo vandenilio bendrosios įmonės 2022 finansinių metų biudžeto įvykdymo patvirtinimo dalį</w:t>
      </w:r>
      <w:r>
        <w:t xml:space="preserve"> </w:t>
      </w:r>
      <w:r w:rsidR="009B386D" w:rsidRPr="00FB5F31">
        <w:t>(2023/2175(DEC))</w:t>
      </w:r>
    </w:p>
    <w:p w:rsidR="009B386D" w:rsidRPr="00FB5F31" w:rsidRDefault="009B386D" w:rsidP="009B386D">
      <w:pPr>
        <w:pStyle w:val="EPComma"/>
      </w:pPr>
      <w:r w:rsidRPr="00FB5F31">
        <w:rPr>
          <w:i/>
        </w:rPr>
        <w:t>Europos Parlamentas</w:t>
      </w:r>
      <w:r w:rsidRPr="00FB5F31">
        <w:t>,</w:t>
      </w:r>
    </w:p>
    <w:p w:rsidR="009B386D" w:rsidRPr="00FB5F31" w:rsidRDefault="009B386D" w:rsidP="009B386D">
      <w:pPr>
        <w:pStyle w:val="NormalHanging12a"/>
      </w:pPr>
      <w:r w:rsidRPr="00FB5F31">
        <w:t>–</w:t>
      </w:r>
      <w:r w:rsidRPr="00FB5F31">
        <w:tab/>
        <w:t>atsižvelgdamas į savo sprendimą dėl Švariojo vandenilio bendrosios įmonės 2022 finansinių metų biudžeto įvykdymo patvirtinimo,</w:t>
      </w:r>
    </w:p>
    <w:p w:rsidR="009B386D" w:rsidRPr="00FB5F31" w:rsidRDefault="009B386D" w:rsidP="009B386D">
      <w:pPr>
        <w:pStyle w:val="NormalHanging12a"/>
      </w:pPr>
      <w:r w:rsidRPr="00FB5F31">
        <w:t>–</w:t>
      </w:r>
      <w:r w:rsidRPr="00FB5F31">
        <w:tab/>
        <w:t>atsižvelgdamas į Darbo tvarkos taisyklių 100 straipsnį ir V priedą,</w:t>
      </w:r>
    </w:p>
    <w:p w:rsidR="009B386D" w:rsidRPr="00FB5F31" w:rsidRDefault="009B386D" w:rsidP="009B386D">
      <w:pPr>
        <w:pStyle w:val="NormalHanging12a"/>
      </w:pPr>
      <w:r w:rsidRPr="00FB5F31">
        <w:t>–</w:t>
      </w:r>
      <w:r w:rsidRPr="00FB5F31">
        <w:tab/>
        <w:t>atsižvelgdamas į Biudžeto kontrolės komiteto pranešimą (A9-0089/2024),</w:t>
      </w:r>
    </w:p>
    <w:p w:rsidR="009B386D" w:rsidRPr="00FB5F31" w:rsidRDefault="009B386D" w:rsidP="009B386D">
      <w:pPr>
        <w:spacing w:after="240"/>
        <w:ind w:left="567" w:hanging="567"/>
      </w:pPr>
      <w:r w:rsidRPr="00FB5F31">
        <w:t>A.</w:t>
      </w:r>
      <w:r w:rsidRPr="00FB5F31">
        <w:tab/>
        <w:t>kadangi Briuselyje įsikūrusi Švariojo vandenilio bendroji įmonė (toliau – Švariojo H2 bendroji įmonė) Tarybos reglamentu (ES) 2021/2085</w:t>
      </w:r>
      <w:r w:rsidRPr="00FB5F31">
        <w:rPr>
          <w:rStyle w:val="FootnoteReference"/>
        </w:rPr>
        <w:footnoteReference w:id="11"/>
      </w:r>
      <w:r w:rsidRPr="00FB5F31">
        <w:t xml:space="preserve"> įsteigta 2021 m. lapkričio mėn. laikotarpiui iki 2031 m. gruodžio 31 d. pagal programą „Europos horizontas“; kadangi Švariojo H2 bendroji įmonė pakeitė 2008 m. gegužės mėn. Tarybos reglamentu (EB) </w:t>
      </w:r>
      <w:r w:rsidR="00421416">
        <w:t xml:space="preserve">Nr. </w:t>
      </w:r>
      <w:r w:rsidRPr="00FB5F31">
        <w:t>521/2008</w:t>
      </w:r>
      <w:r w:rsidRPr="00FB5F31">
        <w:rPr>
          <w:rStyle w:val="FootnoteReference"/>
        </w:rPr>
        <w:footnoteReference w:id="12"/>
      </w:r>
      <w:r w:rsidRPr="00FB5F31">
        <w:t xml:space="preserve"> pagal Septintąją bendrąją mokslinių tyrimų programą laikotarpiui iki 2017 m. gruodžio 31 d. įsteigtą bendrąją įmonę, skirtą Kuro elementų ir vandenilio jungtinei technologijų iniciatyvai įgyvendinti (toliau – KEV bendroji įmonė), ir perėmė jos teises bei pareigas, o 2014 m. gegužės mėn. pastarosios veikimo terminas Tarybos reglamentu (E</w:t>
      </w:r>
      <w:r w:rsidR="00421416">
        <w:t>S</w:t>
      </w:r>
      <w:r w:rsidRPr="00FB5F31">
        <w:t>) Nr. 559/2014</w:t>
      </w:r>
      <w:r w:rsidRPr="00FB5F31">
        <w:rPr>
          <w:rStyle w:val="FootnoteReference"/>
        </w:rPr>
        <w:footnoteReference w:id="13"/>
      </w:r>
      <w:r w:rsidRPr="00FB5F31">
        <w:t xml:space="preserve"> pagal programą „Horizontas 2020“ buvo pratęstas iki 2024 m. gruodžio 31 d. (toliau – 2 KEV bendroji įmonė);</w:t>
      </w:r>
    </w:p>
    <w:p w:rsidR="009B386D" w:rsidRPr="00FB5F31" w:rsidRDefault="009B386D" w:rsidP="009B386D">
      <w:pPr>
        <w:spacing w:after="240"/>
        <w:ind w:left="567" w:hanging="567"/>
      </w:pPr>
      <w:r w:rsidRPr="00FB5F31">
        <w:t>B.</w:t>
      </w:r>
      <w:r w:rsidRPr="00FB5F31">
        <w:tab/>
        <w:t>kadangi Švariojo H2 bendroji įmonė yra viešojo ir privačiojo sektorių partnerystės pagrindu vandenilio ir kuro elementų technologijų tyrimų ir inovacijų srityje veikiantis subjektas; kadangi jos narės steigėjos yra</w:t>
      </w:r>
      <w:bookmarkStart w:id="8" w:name="_GoBack"/>
      <w:bookmarkEnd w:id="8"/>
      <w:r w:rsidRPr="00FB5F31">
        <w:t xml:space="preserve"> Sąjunga, kuriai atstovauja Komisija, pramonės asociacija („</w:t>
      </w:r>
      <w:proofErr w:type="spellStart"/>
      <w:r w:rsidRPr="00FB5F31">
        <w:t>Hydrogen</w:t>
      </w:r>
      <w:proofErr w:type="spellEnd"/>
      <w:r w:rsidRPr="00FB5F31">
        <w:t xml:space="preserve"> </w:t>
      </w:r>
      <w:proofErr w:type="spellStart"/>
      <w:r w:rsidRPr="00FB5F31">
        <w:t>Europe</w:t>
      </w:r>
      <w:proofErr w:type="spellEnd"/>
      <w:r w:rsidRPr="00FB5F31">
        <w:t>“) ir mokslinių tyrimų asociacija („</w:t>
      </w:r>
      <w:proofErr w:type="spellStart"/>
      <w:r w:rsidRPr="00FB5F31">
        <w:t>Hydrogen</w:t>
      </w:r>
      <w:proofErr w:type="spellEnd"/>
      <w:r w:rsidRPr="00FB5F31">
        <w:t xml:space="preserve"> </w:t>
      </w:r>
      <w:proofErr w:type="spellStart"/>
      <w:r w:rsidRPr="00FB5F31">
        <w:t>Europe</w:t>
      </w:r>
      <w:proofErr w:type="spellEnd"/>
      <w:r w:rsidRPr="00FB5F31">
        <w:t xml:space="preserve"> </w:t>
      </w:r>
      <w:proofErr w:type="spellStart"/>
      <w:r w:rsidRPr="00FB5F31">
        <w:t>Research</w:t>
      </w:r>
      <w:proofErr w:type="spellEnd"/>
      <w:r w:rsidRPr="00FB5F31">
        <w:t>“);</w:t>
      </w:r>
    </w:p>
    <w:p w:rsidR="009B386D" w:rsidRPr="00FB5F31" w:rsidRDefault="009B386D" w:rsidP="009B386D">
      <w:pPr>
        <w:pStyle w:val="NormalHanging12a"/>
      </w:pPr>
      <w:r w:rsidRPr="00FB5F31">
        <w:t>C.</w:t>
      </w:r>
      <w:r w:rsidRPr="00FB5F31">
        <w:tab/>
        <w:t>kadangi, kad padidintų skaidrumą, Švariojo H2 bendroji įmonė savo metinėse finansinėse ataskaitose turėtų atskleisti atitinkamą informaciją apie narių įnašus programos lygmeniu; kadangi Švariojo H2 bendroji įmonė dėl kiekvienos programos, pagal kurią ji vykdo veiklą, iki metų pabaigos turėtų pateikti visą svarbią informaciją pagal narių kategorijas, įskaitant atitinkamai programai nustatytus teisiškai įpareigojančius įnašų tikslus, gautų įnašų sumą ir teisinių įsipareigojimų sumą; siūlo Švariojo H2 bendrajai įmonei toliau didinti skaidrumą;</w:t>
      </w:r>
    </w:p>
    <w:p w:rsidR="009B386D" w:rsidRPr="00FB5F31" w:rsidRDefault="009B386D" w:rsidP="009B386D">
      <w:pPr>
        <w:spacing w:after="240"/>
        <w:ind w:left="567" w:hanging="567"/>
        <w:rPr>
          <w:b/>
          <w:i/>
        </w:rPr>
      </w:pPr>
      <w:r w:rsidRPr="00FB5F31">
        <w:rPr>
          <w:b/>
          <w:i/>
        </w:rPr>
        <w:t>Biudžeto ir finansų valdymas</w:t>
      </w:r>
    </w:p>
    <w:p w:rsidR="009B386D" w:rsidRPr="00FB5F31" w:rsidRDefault="009B386D" w:rsidP="009B386D">
      <w:pPr>
        <w:spacing w:after="240"/>
        <w:ind w:left="567" w:hanging="567"/>
      </w:pPr>
      <w:r w:rsidRPr="00FB5F31">
        <w:t>1.</w:t>
      </w:r>
      <w:r w:rsidRPr="00FB5F31">
        <w:tab/>
        <w:t xml:space="preserve">pažymi, kad Audito Rūmų ataskaitoje dėl Švariojo </w:t>
      </w:r>
      <w:r w:rsidR="00F53882">
        <w:t>H2</w:t>
      </w:r>
      <w:r w:rsidR="00F53882" w:rsidRPr="00FB5F31">
        <w:t xml:space="preserve"> </w:t>
      </w:r>
      <w:r w:rsidRPr="00FB5F31">
        <w:t xml:space="preserve">bendrosios įmonės metinių </w:t>
      </w:r>
      <w:r w:rsidRPr="00FB5F31">
        <w:lastRenderedPageBreak/>
        <w:t>ataskaitų (toliau – Audito Rūmų ataskaita) nustatyta, jog 2022 m. metinėse ataskaitose Švariojo H2 bendrosios įmonės finansinė būklė 2022 m. gruodžio 31 d. ir su tą dieną pasibaigusiais metais susijusių operacijų, pinigų srautų rezultatai ir grynojo turto pokyčiai visais reikšmingais aspektais yra pateikti teisingai, kaip to reikalaujama jos finansiniame reglamente ir Komisijos apskaitos pareigūno patvirtintose apskaitos taisyklėse; remdamasis Audito Rūmų ataskaita, taip pat pažymi, kad pagal sąskaitas atliktos operacijos visais reikšmingais aspektais yra teisėtos ir tvarkingos;</w:t>
      </w:r>
    </w:p>
    <w:p w:rsidR="009B386D" w:rsidRPr="00FB5F31" w:rsidRDefault="009B386D" w:rsidP="009B386D">
      <w:pPr>
        <w:pStyle w:val="NormalHanging12a"/>
      </w:pPr>
      <w:r w:rsidRPr="00FB5F31">
        <w:t>2.</w:t>
      </w:r>
      <w:r w:rsidRPr="00FB5F31">
        <w:tab/>
        <w:t>palankiai vertina Švariojo H2 bendrosios įmonės vaidmenį remiant mokslinių tyrimų ir inovacijų veiklą vandenilio technologijų srityje Europoje;</w:t>
      </w:r>
    </w:p>
    <w:p w:rsidR="009B386D" w:rsidRPr="00FB5F31" w:rsidRDefault="009B386D" w:rsidP="009B386D">
      <w:pPr>
        <w:spacing w:after="240"/>
        <w:ind w:left="567" w:hanging="567"/>
        <w:rPr>
          <w:rFonts w:eastAsiaTheme="minorHAnsi"/>
          <w:szCs w:val="24"/>
        </w:rPr>
      </w:pPr>
      <w:r w:rsidRPr="00FB5F31">
        <w:t>3.</w:t>
      </w:r>
      <w:r w:rsidRPr="00FB5F31">
        <w:tab/>
        <w:t>pažymi, kad turimas</w:t>
      </w:r>
      <w:r w:rsidRPr="00FB5F31">
        <w:rPr>
          <w:rStyle w:val="FootnoteReference"/>
        </w:rPr>
        <w:footnoteReference w:id="14"/>
      </w:r>
      <w:r w:rsidRPr="00FB5F31">
        <w:t xml:space="preserve"> 2022 m. įsipareigojimų asignavimų</w:t>
      </w:r>
      <w:r w:rsidRPr="00FB5F31">
        <w:rPr>
          <w:rStyle w:val="FootnoteReference"/>
        </w:rPr>
        <w:footnoteReference w:id="15"/>
      </w:r>
      <w:r w:rsidRPr="00FB5F31">
        <w:t xml:space="preserve"> biudžetas buvo 314,3 mln. EUR (palyginti su 15,8 mln. EUR 2021 m.), iš kurių 305,8 mln. EUR skirta veiklai ir 8 mln. EUR – administracinėms išlaidoms, o mokėjimų asignavimų</w:t>
      </w:r>
      <w:r w:rsidRPr="00FB5F31">
        <w:rPr>
          <w:rStyle w:val="FootnoteReference"/>
        </w:rPr>
        <w:footnoteReference w:id="16"/>
      </w:r>
      <w:r w:rsidRPr="00FB5F31">
        <w:t xml:space="preserve"> biudžetas buvo 118,3 mln. EUR (palyginti su 56,2 mln. EUR 2021 m.), iš kurių 109,7 mln. EUR skirta veiklai ir 8,1 mln. EUR – administracinėms išlaidoms;</w:t>
      </w:r>
    </w:p>
    <w:p w:rsidR="009B386D" w:rsidRPr="00FB5F31" w:rsidRDefault="009B386D" w:rsidP="009B386D">
      <w:pPr>
        <w:spacing w:after="240"/>
        <w:ind w:left="567" w:hanging="567"/>
      </w:pPr>
      <w:r w:rsidRPr="00FB5F31">
        <w:t>4.</w:t>
      </w:r>
      <w:r w:rsidRPr="00FB5F31">
        <w:tab/>
        <w:t xml:space="preserve">pažymi, kad lentelėje parodyti Švariojo H2 bendrosios įmonės biudžeto dydžio pokyčiai labai priklauso nuo jos įgyvendinamų daugiamečių mokslinių tyrimų ir inovacijų programų įgyvendinimo etapo; pažymi, kad 2022 m. Švariojo H2 bendroji įmonė pradėjo įgyvendinti programą „Europos horizontas“, todėl į 2022 m. biudžetą įtrauktas pirmųjų 2022 m. suplanuotų kvietimų teikti pasiūlymus pagal programą „Europos horizontas“ įsipareigojimų biudžetas ir mokėjimų biudžetas, skirtas susijusiems išankstinio finansavimo </w:t>
      </w:r>
      <w:proofErr w:type="spellStart"/>
      <w:r w:rsidRPr="00FB5F31">
        <w:t>mokėjimams</w:t>
      </w:r>
      <w:proofErr w:type="spellEnd"/>
      <w:r w:rsidRPr="00FB5F31">
        <w:t>;</w:t>
      </w:r>
    </w:p>
    <w:p w:rsidR="009B386D" w:rsidRPr="00FB5F31" w:rsidRDefault="009B386D" w:rsidP="009B386D">
      <w:pPr>
        <w:pStyle w:val="NormalHanging12a"/>
      </w:pPr>
      <w:r w:rsidRPr="00FB5F31">
        <w:t>5.</w:t>
      </w:r>
      <w:r w:rsidRPr="00FB5F31">
        <w:tab/>
        <w:t>pažymi, kad Audito Rūmai mano, jog informacija apie narių įnašą programų lygmeniu yra nepakankama; palankiai vertina Švariojo H2 bendrosios įmonės įsipareigojimą spręsti šią problemą;</w:t>
      </w:r>
    </w:p>
    <w:p w:rsidR="009B386D" w:rsidRPr="00FB5F31" w:rsidRDefault="009B386D" w:rsidP="009B386D">
      <w:pPr>
        <w:spacing w:after="240"/>
        <w:ind w:left="567" w:hanging="567"/>
      </w:pPr>
      <w:r w:rsidRPr="00FB5F31">
        <w:t>6.</w:t>
      </w:r>
      <w:r w:rsidRPr="00FB5F31">
        <w:tab/>
        <w:t>pažymi, kad Švariojo H2 bendrosios įmonės 2022 m. metinėse finansinėse ataskaitose kiekvienos narių kategorijos (ES ir privačiųjų narių) pripažintos įnašų sumos labai skiriasi viena nuo kitos; pažymi, kad taip yra todėl, kad Sąjungos piniginiai įnašai patvirtinami ir pripažįstami, kai jie sumokami Švariojo H2 bendrajai įmonei pradedant įgyvendinti projektą, tačiau narių nepiniginiai įnašai pripažįstami tik patvirtinus patirtas ir deklaruotas projekto įgyvendinimo išlaidas;</w:t>
      </w:r>
    </w:p>
    <w:p w:rsidR="009B386D" w:rsidRPr="00FB5F31" w:rsidRDefault="009B386D" w:rsidP="009B386D">
      <w:pPr>
        <w:pStyle w:val="NormalHanging12a"/>
      </w:pPr>
      <w:r w:rsidRPr="00FB5F31">
        <w:t>7.</w:t>
      </w:r>
      <w:r w:rsidRPr="00FB5F31">
        <w:tab/>
        <w:t xml:space="preserve">ragina Švariojo H2 bendrąją įmonę pašalinti atotrūkį tarp pripažintos piniginių įnašų sumos ir nepiniginių įnašų sumos, metų pabaigoje pateikiant informaciją apie Švariojo H2 bendrosios įmonės narių teisinius įsipareigojimus pagal pasirašytus dotacijų </w:t>
      </w:r>
      <w:r w:rsidRPr="00FB5F31">
        <w:lastRenderedPageBreak/>
        <w:t>susitarimus ir sutartis;</w:t>
      </w:r>
    </w:p>
    <w:p w:rsidR="009B386D" w:rsidRPr="00FB5F31" w:rsidRDefault="009B386D" w:rsidP="009B386D">
      <w:pPr>
        <w:pStyle w:val="NormalHanging12a"/>
      </w:pPr>
      <w:r w:rsidRPr="00FB5F31">
        <w:t>8.</w:t>
      </w:r>
      <w:r w:rsidRPr="00FB5F31">
        <w:tab/>
        <w:t>palankiai vertina tai, kad Septintosios bendrosios mokslinių tyrimų programos įgyvendinimo srityje Švariojo H2 bendroji įmonė pasiekė narių įnašų tikslus;</w:t>
      </w:r>
    </w:p>
    <w:p w:rsidR="009B386D" w:rsidRPr="00FB5F31" w:rsidRDefault="009B386D" w:rsidP="009B386D">
      <w:pPr>
        <w:spacing w:after="240"/>
        <w:ind w:left="567" w:hanging="567"/>
        <w:rPr>
          <w:rFonts w:eastAsiaTheme="minorHAnsi"/>
          <w:szCs w:val="24"/>
        </w:rPr>
      </w:pPr>
      <w:r w:rsidRPr="00FB5F31">
        <w:t>9.</w:t>
      </w:r>
      <w:r w:rsidRPr="00FB5F31">
        <w:tab/>
        <w:t>pažymi, kad 2022 m. pabaigoje Švariojo H2 bendroji įmonė buvo įsipareigojusi skirti 425,8 milijono eurų arba 95 proc. maksimalaus ES veiklos įnašo (450 milijonų eurų), pagal Septintąją bendrąją mokslinių tyrimų programą pasirašytiems dotacijų susitarimams; pažymi, kad iš šios įsipareigotos skirti sumos 2023 m. apie 3 mln. EUR (arba 0,7 proc.) dar reikės sumokėti užbaigiant paskutinį pagal Septintąją bendrąją mokslinių tyrimų programą įgyvendinamą projektą; pažymi, kad 2022 m. pabaigoje privatieji nariai buvo deklaravę minimalų 450 milijonų eurų tikslą atitinkančius nepiniginius įnašus, kuriuos Švariojo H2 bendroji įmonė buvo visiškai patvirtinusi;</w:t>
      </w:r>
    </w:p>
    <w:p w:rsidR="009B386D" w:rsidRPr="00FB5F31" w:rsidRDefault="009B386D" w:rsidP="009B386D">
      <w:pPr>
        <w:spacing w:after="240"/>
        <w:ind w:left="567" w:hanging="567"/>
      </w:pPr>
      <w:r w:rsidRPr="00FB5F31">
        <w:t>10.</w:t>
      </w:r>
      <w:r w:rsidRPr="00FB5F31">
        <w:tab/>
        <w:t>pažymi, kad, kalbant apie programą „Horizontas 2020“, pagrindinei veiklai skirtų patvirtintų privačiųjų narių nepiniginių įnašų lygis buvo žemas – 51,7 mln. EUR (2021 m. – 38,6 mln. EUR), nes Švariojo H2 bendroji įmonė patvirtina įnašus vėliau, kai programos „Horizontas 2020“ projektams atliekami galutiniai mokėjimai ir turi būti pateikti finansinių ataskaitų sertifikatai;</w:t>
      </w:r>
    </w:p>
    <w:p w:rsidR="009B386D" w:rsidRPr="00FB5F31" w:rsidRDefault="009B386D" w:rsidP="009B386D">
      <w:pPr>
        <w:spacing w:after="240"/>
        <w:ind w:left="567" w:hanging="567"/>
      </w:pPr>
      <w:r w:rsidRPr="00FB5F31">
        <w:t>11.</w:t>
      </w:r>
      <w:r w:rsidRPr="00FB5F31">
        <w:tab/>
        <w:t>pažymi, kad, kaip teigiama Audito Rūmų ataskaitoje, narių teisiniai įsipareigojimai atitinka jų įnašų tikslus;</w:t>
      </w:r>
    </w:p>
    <w:p w:rsidR="009B386D" w:rsidRPr="00FB5F31" w:rsidRDefault="009B386D" w:rsidP="009B386D">
      <w:pPr>
        <w:spacing w:after="240"/>
        <w:ind w:left="567" w:hanging="567"/>
      </w:pPr>
      <w:r w:rsidRPr="00FB5F31">
        <w:t>12.</w:t>
      </w:r>
      <w:r w:rsidRPr="00FB5F31">
        <w:tab/>
        <w:t>pažymi, kad, kalbant apie Švariojo H2 bendrosios įmonės pasiekimus įgyvendinant programą „Horizontas 2020“, susijusius su pasirašytais dotacijų susitarimais ir sutartimis, 2022 m. pabaigoje Švariojo H2 bendroji įmonė buvo visiškai įsipareigojusi skirti didžiausią 646 mln. EUR Sąjungos veiklos įnašą pasirašytiems dotacijų susitarimams ir sutartims pagal tą programą; be to, pažymi, kad iš šios įsipareigotos sumos artimiausiais metais dar reikės išmokėti apie 88,5 mln. EUR (arba 13,7 proc.) projektams ir sutartims, kurie dar nėra užbaigti;</w:t>
      </w:r>
    </w:p>
    <w:p w:rsidR="009B386D" w:rsidRPr="00FB5F31" w:rsidRDefault="009B386D" w:rsidP="009B386D">
      <w:pPr>
        <w:spacing w:after="240"/>
        <w:ind w:left="567" w:hanging="567"/>
      </w:pPr>
      <w:r w:rsidRPr="00FB5F31">
        <w:t>13.</w:t>
      </w:r>
      <w:r w:rsidRPr="00FB5F31">
        <w:tab/>
        <w:t>taip pat pažymi, kad privatieji nariai teisiškai įsipareigojo Švariojo H2 bendrosios įmonės veiklai suteikti 190,5 mln. EUR vertės nepiniginių įnašų, o papildomai veiklai – 1 039 mln. EUR vertės nepiniginių įnašų, arba 340,6 proc. minimalaus 361 mln. EUR tikslo; pažymi, kad 2022 m. pabaigoje buvo pateiktos ataskaitos dėl visų šių įsipareigotų sumų;</w:t>
      </w:r>
    </w:p>
    <w:p w:rsidR="009B386D" w:rsidRPr="00FB5F31" w:rsidRDefault="009B386D" w:rsidP="009B386D">
      <w:pPr>
        <w:spacing w:after="240"/>
        <w:ind w:left="567" w:hanging="567"/>
      </w:pPr>
      <w:r w:rsidRPr="00FB5F31">
        <w:t>14.</w:t>
      </w:r>
      <w:r w:rsidRPr="00FB5F31">
        <w:tab/>
        <w:t>pažymi, kad programos „Horizontas 2020“ veiklai vykdyti naujų veiklos įsipareigojimų asignavimų Švariojo H2 bendroji įmonė negavo, nes paskutinį kvietimą teikti pasiūlymus Švariojo H2 bendroji įmonė buvo paskelbusi iki 2020 m. pabaigos;</w:t>
      </w:r>
    </w:p>
    <w:p w:rsidR="009B386D" w:rsidRPr="00FB5F31" w:rsidRDefault="009B386D" w:rsidP="009B386D">
      <w:pPr>
        <w:spacing w:after="240"/>
        <w:ind w:left="567" w:hanging="567"/>
      </w:pPr>
      <w:r w:rsidRPr="00FB5F31">
        <w:t>15.</w:t>
      </w:r>
      <w:r w:rsidRPr="00FB5F31">
        <w:tab/>
        <w:t>pažymi, kad, kaip teigiama Audito Rūmų ataskaitoje, 2022 m. biudžeto veiklos mokėjimų, skirtų programos „Horizontas 2020“ veiklai, vykdymas sumažėjo (81 proc. 2022 m. palyginti su 88 proc. 2021 m.), nes dėl COVID-19 krizės ir agresijos karo prieš Ukrainą paramos gavėjai susidūrė su didėjančiomis išlaidomis ir tiekimo problemomis, todėl daugumos programos „Horizontas 2020“ projektų trukmė turėjo būti pratęsta, o galutiniai mokėjimai turėjo būti atidėti iki 2023 m.;</w:t>
      </w:r>
    </w:p>
    <w:p w:rsidR="009B386D" w:rsidRPr="00FB5F31" w:rsidRDefault="009B386D" w:rsidP="009B386D">
      <w:pPr>
        <w:spacing w:after="240"/>
        <w:ind w:left="567" w:hanging="567"/>
      </w:pPr>
      <w:r w:rsidRPr="00FB5F31">
        <w:t>16.</w:t>
      </w:r>
      <w:r w:rsidRPr="00FB5F31">
        <w:tab/>
        <w:t xml:space="preserve">pažymi, kad, kalbant apie programą „Europos Horizontas“, 2022 m. Komisija skyrė 80 mln. EUR dydžio piniginius įnašus, iš kurių 47 mln. EUR (arba 59 proc.) Švariojo H2 bendroji įmonė panaudojo išankstinio finansavimo </w:t>
      </w:r>
      <w:proofErr w:type="spellStart"/>
      <w:r w:rsidRPr="00FB5F31">
        <w:t>mokėjimams</w:t>
      </w:r>
      <w:proofErr w:type="spellEnd"/>
      <w:r w:rsidRPr="00FB5F31">
        <w:t xml:space="preserve">, susijusiems su </w:t>
      </w:r>
      <w:r w:rsidRPr="00FB5F31">
        <w:lastRenderedPageBreak/>
        <w:t>pagal programą „Europos horizontas“ sudarytais pirmaisiais dotacijų susitarimais;</w:t>
      </w:r>
    </w:p>
    <w:p w:rsidR="009B386D" w:rsidRPr="00FB5F31" w:rsidRDefault="009B386D" w:rsidP="009B386D">
      <w:pPr>
        <w:spacing w:after="240"/>
        <w:ind w:left="567" w:hanging="567"/>
      </w:pPr>
      <w:r w:rsidRPr="00FB5F31">
        <w:t>17.</w:t>
      </w:r>
      <w:r w:rsidRPr="00FB5F31">
        <w:tab/>
        <w:t xml:space="preserve">pažymi, kad Švariojo </w:t>
      </w:r>
      <w:r w:rsidR="00F53882">
        <w:t>H2</w:t>
      </w:r>
      <w:r w:rsidR="00F53882" w:rsidRPr="00FB5F31">
        <w:t xml:space="preserve"> </w:t>
      </w:r>
      <w:r w:rsidRPr="00FB5F31">
        <w:t>bendroji įmonė paskelbė pirmąjį kvietimą teikti pasiūlymus dėl vandenilio pagal programą „Europos horizontas“, kurio bendra vertė – 300 mln. EUR; pažymi, kad įvertinus 2022 m. kvietimo teikti pasiūlymus rezultatus, buvo atšauktos keturios temos, dėl kurių nebuvo pateikta tinkamų pasiūlymų</w:t>
      </w:r>
      <w:r w:rsidRPr="00FB5F31">
        <w:rPr>
          <w:rStyle w:val="FootnoteReference"/>
        </w:rPr>
        <w:footnoteReference w:id="17"/>
      </w:r>
      <w:r w:rsidRPr="00FB5F31">
        <w:t xml:space="preserve">; pažymi, kad nepanaudotą 33 mln. EUR mokėjimų biudžetą Švariojo H2 bendroji įmonė perkėlė į 2023 m., kad būtų galima atlikti išankstinio finansavimo </w:t>
      </w:r>
      <w:proofErr w:type="spellStart"/>
      <w:r w:rsidRPr="00FB5F31">
        <w:t>mokėjimus</w:t>
      </w:r>
      <w:proofErr w:type="spellEnd"/>
      <w:r w:rsidRPr="00FB5F31">
        <w:t>, susijusius su naujais dotacijų susitarimais, planuotais pasirašyti 2023 m. pradžioje;</w:t>
      </w:r>
    </w:p>
    <w:p w:rsidR="009B386D" w:rsidRPr="00FB5F31" w:rsidRDefault="009B386D" w:rsidP="009B386D">
      <w:pPr>
        <w:spacing w:after="240"/>
        <w:ind w:left="567" w:hanging="567"/>
      </w:pPr>
      <w:r w:rsidRPr="00FB5F31">
        <w:t>18.</w:t>
      </w:r>
      <w:r w:rsidRPr="00FB5F31">
        <w:tab/>
        <w:t>pažymi, kad Audito Rūmų ataskaitoje teigiama, jog 2022 m. pabaigoje administracinio biudžeto (2 antraštinė dalis) įvykdymo lygis buvo žemas: įsipareigojimų asignavimų lygis siekė 62 proc., o mokėjimų asignavimų – 51 proc.; pažymi, kad Švariojo H2 bendroji įmonė paaiškino, kad tai lėmė sustabdyti mokėjimai, susiję su Vandenilio savaitės renginio organizavimu, atidėti pirkimai dėl biuro pastato atnaujinimo ir vėlavimas sudaryti svarbią preliminariąją paslaugų sutartį;</w:t>
      </w:r>
    </w:p>
    <w:p w:rsidR="009B386D" w:rsidRPr="00FB5F31" w:rsidRDefault="009B386D" w:rsidP="009B386D">
      <w:pPr>
        <w:spacing w:after="240"/>
        <w:ind w:left="720" w:hanging="720"/>
        <w:rPr>
          <w:b/>
          <w:i/>
        </w:rPr>
      </w:pPr>
      <w:r w:rsidRPr="00FB5F31">
        <w:rPr>
          <w:b/>
          <w:i/>
        </w:rPr>
        <w:t>Viešieji pirkimai ir darbuotojai</w:t>
      </w:r>
    </w:p>
    <w:p w:rsidR="009B386D" w:rsidRPr="00FB5F31" w:rsidRDefault="009B386D" w:rsidP="009B386D">
      <w:pPr>
        <w:spacing w:after="240"/>
        <w:ind w:left="567" w:hanging="567"/>
      </w:pPr>
      <w:r w:rsidRPr="00FB5F31">
        <w:t>19.</w:t>
      </w:r>
      <w:r w:rsidRPr="00FB5F31">
        <w:tab/>
        <w:t xml:space="preserve">remdamasis konsoliduota metine veiklos ataskaita pažymi, kad 2022 m., tęsiant Švariojo H2 bendrosios įmonės pastarųjų metų praktiką, į konkursų ir sutarčių valdymą buvo įtrauktos Komisijos ar kitų ES įstaigų pradėtos </w:t>
      </w:r>
      <w:proofErr w:type="spellStart"/>
      <w:r w:rsidRPr="00FB5F31">
        <w:t>tarpinstitucinės</w:t>
      </w:r>
      <w:proofErr w:type="spellEnd"/>
      <w:r w:rsidRPr="00FB5F31">
        <w:t xml:space="preserve"> viešųjų pirkimų procedūros ir pagal jas sudarytos daugiametės preliminariosios sutartys; pažymi, kad Švariojo H2 bendroji įmonė taip pat bendradarbiauja su kitomis bendrosiomis įmonėmis viešųjų pirkimų poreikių klausimais, siekdama kuo labiau sumažinti administracinę naštą;</w:t>
      </w:r>
    </w:p>
    <w:p w:rsidR="009B386D" w:rsidRPr="00FB5F31" w:rsidRDefault="009B386D" w:rsidP="009B386D">
      <w:pPr>
        <w:spacing w:after="240"/>
        <w:ind w:left="567" w:hanging="567"/>
      </w:pPr>
      <w:r w:rsidRPr="00FB5F31">
        <w:t>20.</w:t>
      </w:r>
      <w:r w:rsidRPr="00FB5F31">
        <w:tab/>
        <w:t>pažymi, kad Švariojo H2 bendroji įmonė intensyviai naudojosi elektroninio konkurso („</w:t>
      </w:r>
      <w:proofErr w:type="spellStart"/>
      <w:r w:rsidRPr="00FB5F31">
        <w:t>eTendering</w:t>
      </w:r>
      <w:proofErr w:type="spellEnd"/>
      <w:r w:rsidRPr="00FB5F31">
        <w:t>“), elektroninių pranešimų („</w:t>
      </w:r>
      <w:proofErr w:type="spellStart"/>
      <w:r w:rsidRPr="00FB5F31">
        <w:t>eNotices</w:t>
      </w:r>
      <w:proofErr w:type="spellEnd"/>
      <w:r w:rsidRPr="00FB5F31">
        <w:t>“) ir pasiūlymų teikimo elektroninėmis priemonėmis („</w:t>
      </w:r>
      <w:proofErr w:type="spellStart"/>
      <w:r w:rsidRPr="00FB5F31">
        <w:t>e.Submission</w:t>
      </w:r>
      <w:proofErr w:type="spellEnd"/>
      <w:r w:rsidRPr="00FB5F31">
        <w:t>“) moduliais ir pradėjo viešųjų pirkimų valdymo priemonės (PPMT), veikiančios nuo 2023 m., integravimo procesą;</w:t>
      </w:r>
    </w:p>
    <w:p w:rsidR="009B386D" w:rsidRPr="00FB5F31" w:rsidRDefault="009B386D" w:rsidP="009B386D">
      <w:pPr>
        <w:spacing w:after="240"/>
        <w:ind w:left="567" w:hanging="567"/>
      </w:pPr>
      <w:r w:rsidRPr="00FB5F31">
        <w:t>21.</w:t>
      </w:r>
      <w:r w:rsidRPr="00FB5F31">
        <w:tab/>
        <w:t>pažymi, kad Švariojo H2 bendrosios įmonės statutinių darbuotojų grupę sudaro 29 pareigybės (27 laikinieji darbuotojai ir 2 sutartininkai); be to, pažymi, kad personalo ištekliai apima ir du deleguotuosius nacionalinius ekspertus;</w:t>
      </w:r>
    </w:p>
    <w:p w:rsidR="009B386D" w:rsidRPr="00FB5F31" w:rsidRDefault="009B386D" w:rsidP="009B386D">
      <w:pPr>
        <w:spacing w:after="240"/>
        <w:ind w:left="567" w:hanging="567"/>
      </w:pPr>
      <w:r w:rsidRPr="00FB5F31">
        <w:t>22.</w:t>
      </w:r>
      <w:r w:rsidRPr="00FB5F31">
        <w:tab/>
        <w:t>remdamasis 2022 m. konsoliduota metine veiklos ataskaita, pažymi, kad kiekvieno darbuotojo skaitmeninė darbo vieta yra nuolat modernizuojama: Švariojo H2 bendrosios įmonės darbuotojams buvo užtikrinta tinkama prieiga prie viso Komisijos dotacijų valdymo taikomųjų programų rinkinio; aparatinės įrangos atnaujinimas buvo įgyvendintas taip, kaip planuota, kartu su būtinu licencijos atnaujinimu svarbiausioms taikomosioms programoms, pvz., „</w:t>
      </w:r>
      <w:proofErr w:type="spellStart"/>
      <w:r w:rsidRPr="00FB5F31">
        <w:t>Slido</w:t>
      </w:r>
      <w:proofErr w:type="spellEnd"/>
      <w:r w:rsidRPr="00FB5F31">
        <w:t>“, „</w:t>
      </w:r>
      <w:proofErr w:type="spellStart"/>
      <w:r w:rsidRPr="00FB5F31">
        <w:t>Webex</w:t>
      </w:r>
      <w:proofErr w:type="spellEnd"/>
      <w:r w:rsidRPr="00FB5F31">
        <w:t>“, „</w:t>
      </w:r>
      <w:proofErr w:type="spellStart"/>
      <w:r w:rsidRPr="00FB5F31">
        <w:t>Business</w:t>
      </w:r>
      <w:proofErr w:type="spellEnd"/>
      <w:r w:rsidRPr="00FB5F31">
        <w:t xml:space="preserve"> </w:t>
      </w:r>
      <w:proofErr w:type="spellStart"/>
      <w:r w:rsidRPr="00FB5F31">
        <w:t>Object</w:t>
      </w:r>
      <w:proofErr w:type="spellEnd"/>
      <w:r w:rsidRPr="00FB5F31">
        <w:t>“, „Adobe“ arba mobiliosios telefonijos, suteikiant kiekvienam darbuotojui daugiau lankstumo pagal naująją nuotolinio darbo programą;</w:t>
      </w:r>
    </w:p>
    <w:p w:rsidR="009B386D" w:rsidRPr="00FB5F31" w:rsidRDefault="009B386D" w:rsidP="009B386D">
      <w:pPr>
        <w:spacing w:after="240"/>
        <w:ind w:left="567" w:hanging="567"/>
      </w:pPr>
      <w:r w:rsidRPr="00FB5F31">
        <w:t>23.</w:t>
      </w:r>
      <w:r w:rsidRPr="00FB5F31">
        <w:tab/>
        <w:t xml:space="preserve">pažymi, kad pagal Europos Sąjungos pareigūnų tarnybos nuostatus ir kitų tarnautojų įdarbinimo sąlygas, nustatytas Tarybos reglamentu (EEB, Euratomas, </w:t>
      </w:r>
      <w:r w:rsidRPr="00FB5F31">
        <w:lastRenderedPageBreak/>
        <w:t>EAPB) Nr. 259/68</w:t>
      </w:r>
      <w:r w:rsidRPr="00FB5F31">
        <w:rPr>
          <w:rStyle w:val="FootnoteReference"/>
        </w:rPr>
        <w:footnoteReference w:id="18"/>
      </w:r>
      <w:r w:rsidRPr="00FB5F31">
        <w:t>, ir Švariojo H2 bendrosios įmonės gaires personalo komitetas turėtų paskirti bent vieną narį į atrankos komitetą išorės įdarbinimo procedūroms vykdyti; pažymi, kad Audito Rūmai nustatė, jog į audituotos įdarbinimo procedūros atrankos komitetą nebuvo įtrauktas personalo komiteto paskirtas narys ir kad Švariojo H2 bendroji įmonė negalėjo įsteigti personalo komiteto, nors ir paskelbė kelis kvietimus pareikšti susidomėjimą;</w:t>
      </w:r>
    </w:p>
    <w:p w:rsidR="009B386D" w:rsidRPr="00FB5F31" w:rsidRDefault="009B386D" w:rsidP="009B386D">
      <w:pPr>
        <w:spacing w:after="240"/>
        <w:ind w:left="720" w:hanging="720"/>
        <w:rPr>
          <w:b/>
          <w:i/>
        </w:rPr>
      </w:pPr>
      <w:r w:rsidRPr="00FB5F31">
        <w:rPr>
          <w:b/>
          <w:i/>
        </w:rPr>
        <w:t>Valdymo ir kontrolės sistemos</w:t>
      </w:r>
    </w:p>
    <w:p w:rsidR="009B386D" w:rsidRPr="00FB5F31" w:rsidRDefault="009B386D" w:rsidP="009B386D">
      <w:pPr>
        <w:spacing w:after="240"/>
        <w:ind w:left="567" w:hanging="567"/>
      </w:pPr>
      <w:r w:rsidRPr="00FB5F31">
        <w:t>24.</w:t>
      </w:r>
      <w:r w:rsidRPr="00FB5F31">
        <w:tab/>
        <w:t xml:space="preserve">pažymi, kad, Švariojo H2 bendroji įmonė atliko Septintosios bendrosios mokslinių tyrimų programos išlaidų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auditus, o Komisijos Mokslinių tyrimų ir inovacijų generalinio direktorato Bendra audito tarnyba buvo atsakinga už programų „Horizontas 2020“ ir „Europos horizontas“ išlaidų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auditus; be to, pažymi, kad Švariojo H2 bendroji įmonė neatliko Septintosios bendrosios mokslinių tyrimų programos 2022 m. galutinių išlaidų</w:t>
      </w:r>
      <w:r w:rsidRPr="00FB5F31">
        <w:rPr>
          <w:i/>
          <w:iCs/>
        </w:rPr>
        <w:t xml:space="preserve">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auditų, nes sumos buvo nereikšmingos, ir kad atitinkamai, kaip galutinį Septintosios bendrosios mokslinių tyrimų programos išlaidų klaidų lygį, ji paskelbė reprezentatyvųjį 2,0 proc. klaidų lygį ir 1,1 proc. likutinį klaidų lygį, pasiektą 2021 m. pabaigoje;</w:t>
      </w:r>
    </w:p>
    <w:p w:rsidR="009B386D" w:rsidRPr="00FB5F31" w:rsidRDefault="009B386D" w:rsidP="009B386D">
      <w:pPr>
        <w:spacing w:after="240"/>
        <w:ind w:left="567" w:hanging="567"/>
      </w:pPr>
      <w:r w:rsidRPr="00FB5F31">
        <w:t>25.</w:t>
      </w:r>
      <w:r w:rsidRPr="00FB5F31">
        <w:tab/>
        <w:t>Pažymi, jog Švariojo H2 bendroji įmonė nurodė, kad jos pagal programą „Horizontas 2020“ patirtų išlaidų (patvirtinimų ir galutinių mokėjimų) srityje reprezentatyvusis klaidų lygis buvo 2,9 proc., o likutinis klaidų lygis – 0,9 proc.</w:t>
      </w:r>
      <w:r w:rsidRPr="00FB5F31">
        <w:rPr>
          <w:rStyle w:val="FootnoteReference"/>
        </w:rPr>
        <w:footnoteReference w:id="19"/>
      </w:r>
      <w:r w:rsidRPr="00FB5F31">
        <w:t xml:space="preserve">; be to, pažymi, kad su programa „Europos horizontas“ susiję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auditai neatlikti, nes pirmieji tarpiniai mokėjimai numatyti tik 2024 m.;</w:t>
      </w:r>
    </w:p>
    <w:p w:rsidR="009B386D" w:rsidRPr="00FB5F31" w:rsidRDefault="009B386D" w:rsidP="009B386D">
      <w:pPr>
        <w:spacing w:after="240"/>
        <w:ind w:left="567" w:hanging="567"/>
      </w:pPr>
      <w:r w:rsidRPr="00FB5F31">
        <w:t>26.</w:t>
      </w:r>
      <w:r w:rsidRPr="00FB5F31">
        <w:tab/>
        <w:t>pažymi, kad siekdami įvertinti Švariojo H2 bendrosios įmonės veiklai skirtų mokėjimų kontrolės priemones, Audito Rūmai atliko atsitiktine tvarka į imtį įtrauktų pagal programą „Horizontas 2020“ 2022 m. atliktų mokėjimų auditą galutinių paramos gavėjų lygmeniu</w:t>
      </w:r>
      <w:r w:rsidRPr="00FB5F31">
        <w:rPr>
          <w:rStyle w:val="FootnoteReference"/>
        </w:rPr>
        <w:footnoteReference w:id="20"/>
      </w:r>
      <w:r w:rsidRPr="00FB5F31">
        <w:t>; pažymi, kad vienu atveju Audito Rūmai nustatė ir kiekybiškai įvertino didelę klaidą, atsiradusią dėl personalo išlaidų, nes paramos gavėjas deklaravo atostogų laikotarpiais dirbtas valandas ir į deklaruotas išlaidas įtraukė netinkamas finansuoti papildomas darbo užmokesčio išlaidas, o kitu atveju Audito Rūmai nustatė ir kiekybiškai įvertino didelę klaidą, atsiradusią dėl deklaruotų su įranga susijusių išlaidų, kurių paramos gavėjas ataskaitiniu laikotarpiu nenaudojo, ir neteisingai apskaičiuotų personalo išlaidų;</w:t>
      </w:r>
    </w:p>
    <w:p w:rsidR="009B386D" w:rsidRPr="00FB5F31" w:rsidRDefault="009B386D" w:rsidP="009B386D">
      <w:pPr>
        <w:pStyle w:val="NormalHanging12a"/>
      </w:pPr>
      <w:r w:rsidRPr="00FB5F31">
        <w:t>27.</w:t>
      </w:r>
      <w:r w:rsidRPr="00FB5F31">
        <w:tab/>
        <w:t xml:space="preserve">palankiai vertina tai, kad 2022 m. pabaigoje Švariojo H2 bendroji įmonė buvo parengusi ir įgyvendinusi visapusišką rizika grindžiamą </w:t>
      </w:r>
      <w:proofErr w:type="spellStart"/>
      <w:r w:rsidRPr="00FB5F31">
        <w:rPr>
          <w:i/>
          <w:iCs/>
        </w:rPr>
        <w:t>ex</w:t>
      </w:r>
      <w:proofErr w:type="spellEnd"/>
      <w:r w:rsidRPr="00FB5F31">
        <w:rPr>
          <w:i/>
          <w:iCs/>
        </w:rPr>
        <w:t> ante</w:t>
      </w:r>
      <w:r w:rsidRPr="00FB5F31">
        <w:t xml:space="preserve"> kontrolės metodą, atitinkantį Komisijos Bendros audito tarnybos gaires, atsižvelgdama į su Švariojo H2 bendrąja įmone susijusias rizikos aplinkybes; pažymi, kad šiuo tikslu Švariojo H2 bendroji įmonė nustatė svarbiausius rizikos kriterijus ir jais remdamasi parengė rizika grindžiamą stebėsenos metodą;</w:t>
      </w:r>
    </w:p>
    <w:p w:rsidR="009B386D" w:rsidRPr="00FB5F31" w:rsidRDefault="009B386D" w:rsidP="009B386D">
      <w:pPr>
        <w:spacing w:after="240"/>
        <w:ind w:left="567" w:hanging="567"/>
      </w:pPr>
      <w:r w:rsidRPr="00FB5F31">
        <w:t>28.</w:t>
      </w:r>
      <w:r w:rsidRPr="00FB5F31">
        <w:tab/>
        <w:t xml:space="preserve">pažymi, kad pagal tokį metodą Švariojo H2 bendroji įmonė galėjo įvertinti kiekvieno projekto ir paramos gavėjo rizikos lygį pagrindiniais projekto įgyvendinimo etapais, </w:t>
      </w:r>
      <w:r w:rsidRPr="00FB5F31">
        <w:lastRenderedPageBreak/>
        <w:t xml:space="preserve">pavyzdžiui, rengiant dotacijų susitarimus, atliekant dotacijų susitarimų pakeitimus, teikiant ataskaitas ir atliekant </w:t>
      </w:r>
      <w:proofErr w:type="spellStart"/>
      <w:r w:rsidRPr="00FB5F31">
        <w:t>mokėjimus</w:t>
      </w:r>
      <w:proofErr w:type="spellEnd"/>
      <w:r w:rsidRPr="00FB5F31">
        <w:t>; pažymi, kad šiuo atžvilgiu Švariojo H2 bendroji įmonė taip pat parengė vidaus gaires dėl rizika grindžiamo metodo ir mokė savo darbuotojus jį tinkamai ir nuosekliai taikyti;</w:t>
      </w:r>
    </w:p>
    <w:p w:rsidR="009B386D" w:rsidRPr="00FB5F31" w:rsidRDefault="009B386D" w:rsidP="009B386D">
      <w:pPr>
        <w:pStyle w:val="NormalHanging12a"/>
      </w:pPr>
      <w:r w:rsidRPr="00FB5F31">
        <w:t>29.</w:t>
      </w:r>
      <w:r w:rsidRPr="00FB5F31">
        <w:tab/>
        <w:t xml:space="preserve">palankiai vertina tai, kad Švariojo H2 bendroji įmonė parengė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auditui taikomą rizika grindžiamą metodą, kad, sustiprinus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auditų klaidų mažinimo poveikį, būtų sumažintas klaidų lygis;</w:t>
      </w:r>
    </w:p>
    <w:p w:rsidR="009B386D" w:rsidRPr="00FB5F31" w:rsidRDefault="009B386D" w:rsidP="009B386D">
      <w:pPr>
        <w:pStyle w:val="NormalHanging12a"/>
      </w:pPr>
      <w:r w:rsidRPr="00FB5F31">
        <w:t>30.</w:t>
      </w:r>
      <w:r w:rsidRPr="00FB5F31">
        <w:tab/>
        <w:t xml:space="preserve">pažymi, jog, pagal Audito Rūmų ataskaitą, Švariojo H2 bendroji įmonė parengė specialiai pritaikytą rizika grindžiamą metodą, kad būtų sustiprintas patikinimas, kurį ji gauna taikydama </w:t>
      </w:r>
      <w:proofErr w:type="spellStart"/>
      <w:r w:rsidRPr="00FB5F31">
        <w:rPr>
          <w:i/>
          <w:iCs/>
        </w:rPr>
        <w:t>ex</w:t>
      </w:r>
      <w:proofErr w:type="spellEnd"/>
      <w:r w:rsidRPr="00FB5F31">
        <w:rPr>
          <w:i/>
          <w:iCs/>
        </w:rPr>
        <w:t> ante</w:t>
      </w:r>
      <w:r w:rsidRPr="00FB5F31">
        <w:t xml:space="preserve"> kontrolės priemones ir atlikdama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auditą: 2022 m. pradžioje Švariojo H2 bendroji įmonė išanalizavo visą programos „Horizontas 2020“ paramos gavėjų populiaciją ir išskyrė didžiausią riziką keliančius paramos gavėjus, kad būtų atlikti jų rizika grindžiami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auditai; pažymi, kad rizikingiausi paramos gavėjai buvo visi didžiausi paramos gavėjai, kurių atveju Švariojo H2 bendrosios įmonės įnašo suma viršijo 1 mln. EUR, skaičiuojant visus Švariojo H2 bendrosios įmonės pagal programą „Horizontas 2020“ įgyvendinamus projektus, kurių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auditas niekada nebuvo atliktas ir kuriems buvo priskirtas mažosios ir vidutinės įmonės arba naujo dalyvio rizikos profilis; </w:t>
      </w:r>
    </w:p>
    <w:p w:rsidR="009B386D" w:rsidRPr="00FB5F31" w:rsidRDefault="009B386D" w:rsidP="009B386D">
      <w:pPr>
        <w:spacing w:after="240"/>
        <w:ind w:left="567" w:hanging="567"/>
      </w:pPr>
      <w:r w:rsidRPr="00FB5F31">
        <w:t>31.</w:t>
      </w:r>
      <w:r w:rsidRPr="00FB5F31">
        <w:tab/>
        <w:t xml:space="preserve">pažymi, kad likę didžiausi paramos gavėjai buvo paraginti užpildyti trumpą įsivertinimo klausimyną, kuriame daugiausia dėmesio skiriama dažniausiai pasitaikančioms klaidoms, nustatytoms per ankstesnius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auditus, pavyzdžiui, pasirinkto personalo išlaidų apmokėjimo sudėtingumui, svarbioms subrangos sutartims, turto pirkimui, vidaus reikmenims, išlaidų ataskaitų teikimo metodui ir ankstesnių </w:t>
      </w:r>
      <w:proofErr w:type="spellStart"/>
      <w:r w:rsidRPr="00FB5F31">
        <w:rPr>
          <w:i/>
          <w:iCs/>
        </w:rPr>
        <w:t>ex</w:t>
      </w:r>
      <w:proofErr w:type="spellEnd"/>
      <w:r w:rsidRPr="00FB5F31">
        <w:rPr>
          <w:i/>
          <w:iCs/>
        </w:rPr>
        <w:t> </w:t>
      </w:r>
      <w:proofErr w:type="spellStart"/>
      <w:r w:rsidRPr="00FB5F31">
        <w:rPr>
          <w:i/>
          <w:iCs/>
        </w:rPr>
        <w:t>pos</w:t>
      </w:r>
      <w:r w:rsidRPr="00FB5F31">
        <w:t>t</w:t>
      </w:r>
      <w:proofErr w:type="spellEnd"/>
      <w:r w:rsidRPr="00FB5F31">
        <w:t xml:space="preserve"> auditų rezultatų įgyvendinimui; pažymi, kad, remdamasi jų atsakymais, Švariojo H2 bendroji įmonė nustatė tuos pagrindinius paramos gavėjus, kuriems būdinga didelė </w:t>
      </w:r>
      <w:proofErr w:type="spellStart"/>
      <w:r w:rsidRPr="00FB5F31">
        <w:rPr>
          <w:i/>
          <w:iCs/>
        </w:rPr>
        <w:t>ex</w:t>
      </w:r>
      <w:proofErr w:type="spellEnd"/>
      <w:r w:rsidRPr="00FB5F31">
        <w:rPr>
          <w:i/>
          <w:iCs/>
        </w:rPr>
        <w:t> ante</w:t>
      </w:r>
      <w:r w:rsidRPr="00FB5F31">
        <w:t xml:space="preserve"> kontrolės rizika, su jais surengė internetinius finansinius seminarus, kuriuose daugiausia dėmesio skirta pagrindinėms teisingos išlaidų deklaracijos, kurioje pateikiamos didelės išlaidos, ypatybėms; be to, pažymi, kad internetinių seminarų rezultatais naudojosi Švariojo H2 bendrosios įmonės projektų ir finansų pareigūnai, kad padidintų šių didžiausių paramos gavėjų būsimų išlaidų deklaracijų </w:t>
      </w:r>
      <w:proofErr w:type="spellStart"/>
      <w:r w:rsidRPr="00FB5F31">
        <w:rPr>
          <w:i/>
          <w:iCs/>
        </w:rPr>
        <w:t>ex</w:t>
      </w:r>
      <w:proofErr w:type="spellEnd"/>
      <w:r w:rsidRPr="00FB5F31">
        <w:rPr>
          <w:i/>
          <w:iCs/>
        </w:rPr>
        <w:t> ante</w:t>
      </w:r>
      <w:r w:rsidRPr="00FB5F31">
        <w:t xml:space="preserve"> kontrolės veiksmingumą (mokėjimo etapas);</w:t>
      </w:r>
    </w:p>
    <w:p w:rsidR="009B386D" w:rsidRPr="00FB5F31" w:rsidRDefault="009B386D" w:rsidP="009B386D">
      <w:pPr>
        <w:spacing w:after="240"/>
        <w:ind w:left="567" w:hanging="567"/>
      </w:pPr>
      <w:r w:rsidRPr="00FB5F31">
        <w:t>32.</w:t>
      </w:r>
      <w:r w:rsidRPr="00FB5F31">
        <w:tab/>
        <w:t xml:space="preserve">džiaugiasi, kad Švariojo H2 bendroji įmonė parengė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auditui taikomą rizika grindžiamą metodą, kad būtų sumažintas klaidų lygis geriau parinkus tikslinę imtį daugiausia klaidų linkusiems daryti gavėjams nustatyti ir taip sustiprinus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auditų klaidų mažinimo poveikį; mano, kad tai svarbus teigiamas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audito metodo pokytis, nes pagal Komisijos vidaus kontrolės sistemą, taikomą programos „Europos horizontas“ dotacijoms, neleidžiama sudaryti bendrosios įmonės konkrečių reprezentatyvių imčių ir atitinkamai apskaičiuoti bendrųjų įmonių konkrečių reprezentatyviojo ir likutinio klaidų lygių;</w:t>
      </w:r>
    </w:p>
    <w:p w:rsidR="009B386D" w:rsidRPr="00FB5F31" w:rsidRDefault="009B386D" w:rsidP="009B386D">
      <w:pPr>
        <w:spacing w:after="240"/>
        <w:ind w:left="567" w:hanging="567"/>
      </w:pPr>
      <w:r w:rsidRPr="00FB5F31">
        <w:t>33.</w:t>
      </w:r>
      <w:r w:rsidRPr="00FB5F31">
        <w:tab/>
        <w:t xml:space="preserve">pažymi, jog Europos Audito Rūmai nustatė, kad tinkamai parengtą rizika grindžiamą </w:t>
      </w:r>
      <w:proofErr w:type="spellStart"/>
      <w:r w:rsidRPr="00FB5F31">
        <w:rPr>
          <w:i/>
          <w:iCs/>
        </w:rPr>
        <w:t>ex</w:t>
      </w:r>
      <w:proofErr w:type="spellEnd"/>
      <w:r w:rsidRPr="00FB5F31">
        <w:rPr>
          <w:i/>
          <w:iCs/>
        </w:rPr>
        <w:t> </w:t>
      </w:r>
      <w:proofErr w:type="spellStart"/>
      <w:r w:rsidRPr="00FB5F31">
        <w:rPr>
          <w:i/>
          <w:iCs/>
        </w:rPr>
        <w:t>post</w:t>
      </w:r>
      <w:proofErr w:type="spellEnd"/>
      <w:r w:rsidRPr="00FB5F31">
        <w:t xml:space="preserve"> audito metodą taikančių bendrųjų įmonių likutinis klaidų lygis yra žemesnis už tokio metodo netaikančių bendrųjų įmonių vidurkį ir tai yra susiję su sistemingu rizikingiausių paramos gavėjų nustatymu ir jų auditu;</w:t>
      </w:r>
    </w:p>
    <w:p w:rsidR="009B386D" w:rsidRPr="00FB5F31" w:rsidRDefault="009B386D" w:rsidP="009B386D">
      <w:pPr>
        <w:spacing w:after="240"/>
        <w:rPr>
          <w:b/>
          <w:i/>
        </w:rPr>
      </w:pPr>
      <w:r w:rsidRPr="00FB5F31">
        <w:rPr>
          <w:b/>
          <w:i/>
        </w:rPr>
        <w:t>Atsižvelgimas į ankstesnių metų pastabas</w:t>
      </w:r>
    </w:p>
    <w:p w:rsidR="009B386D" w:rsidRPr="00FB5F31" w:rsidRDefault="009B386D" w:rsidP="009B386D">
      <w:pPr>
        <w:spacing w:after="240"/>
        <w:ind w:left="567" w:hanging="567"/>
      </w:pPr>
      <w:r w:rsidRPr="00FB5F31">
        <w:lastRenderedPageBreak/>
        <w:t>34.</w:t>
      </w:r>
      <w:r w:rsidRPr="00FB5F31">
        <w:tab/>
        <w:t>pažymi, kad Švariojo H2 bendrosios įmonės specialiosiose metinėse ataskaitose pateikiamos pastabos iš tiesų yra Audito Rūmų rekomendacijos be laiko nuorodos; pažymi, kad Audito Rūmai kasmet stebi, kaip reaguojama į tas pastabas, įvertindami jų statusą kaip „įgyvendinama“ arba „užbaigta“;</w:t>
      </w:r>
    </w:p>
    <w:p w:rsidR="00E365E1" w:rsidRPr="00FB5F31" w:rsidRDefault="009B386D" w:rsidP="00D86D98">
      <w:pPr>
        <w:spacing w:after="240"/>
        <w:ind w:left="567" w:hanging="567"/>
      </w:pPr>
      <w:r w:rsidRPr="00FB5F31">
        <w:t>35.</w:t>
      </w:r>
      <w:r w:rsidRPr="00FB5F31">
        <w:tab/>
        <w:t>pažymi, kad Švariojo H2 bendrosios įmonės atveju visos ankstesnių metų pastabos buvo įvykdytos dėl taisomųjų veiksmų, kurių Švariojo H2 bendroji įmonė ėmėsi 2022 m.</w:t>
      </w:r>
      <w:bookmarkStart w:id="9" w:name="TextBodyEnd"/>
      <w:bookmarkEnd w:id="9"/>
    </w:p>
    <w:sectPr w:rsidR="00E365E1" w:rsidRPr="00FB5F31" w:rsidSect="00FB5F31">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1E54" w:rsidRPr="00FB5F31" w:rsidRDefault="00CC1E54">
      <w:r w:rsidRPr="00FB5F31">
        <w:separator/>
      </w:r>
    </w:p>
  </w:endnote>
  <w:endnote w:type="continuationSeparator" w:id="0">
    <w:p w:rsidR="00CC1E54" w:rsidRPr="00FB5F31" w:rsidRDefault="00CC1E54">
      <w:r w:rsidRPr="00FB5F3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86D" w:rsidRPr="00FB5F31" w:rsidRDefault="009B386D" w:rsidP="00EE0226">
    <w:pPr>
      <w:pStyle w:val="EPFooter"/>
    </w:pPr>
    <w:r w:rsidRPr="00FB5F31">
      <w:t>PE</w:t>
    </w:r>
    <w:r w:rsidRPr="00FB5F31">
      <w:rPr>
        <w:rStyle w:val="HideTWBExt"/>
      </w:rPr>
      <w:t>&lt;</w:t>
    </w:r>
    <w:proofErr w:type="spellStart"/>
    <w:r w:rsidRPr="00FB5F31">
      <w:rPr>
        <w:rStyle w:val="HideTWBExt"/>
      </w:rPr>
      <w:t>NoPE</w:t>
    </w:r>
    <w:proofErr w:type="spellEnd"/>
    <w:r w:rsidRPr="00FB5F31">
      <w:rPr>
        <w:rStyle w:val="HideTWBExt"/>
      </w:rPr>
      <w:t>&gt;</w:t>
    </w:r>
    <w:r w:rsidRPr="00FB5F31">
      <w:t>753.490</w:t>
    </w:r>
    <w:r w:rsidRPr="00FB5F31">
      <w:rPr>
        <w:rStyle w:val="HideTWBExt"/>
      </w:rPr>
      <w:t>&lt;/</w:t>
    </w:r>
    <w:proofErr w:type="spellStart"/>
    <w:r w:rsidRPr="00FB5F31">
      <w:rPr>
        <w:rStyle w:val="HideTWBExt"/>
      </w:rPr>
      <w:t>NoPE</w:t>
    </w:r>
    <w:proofErr w:type="spellEnd"/>
    <w:r w:rsidRPr="00FB5F31">
      <w:rPr>
        <w:rStyle w:val="HideTWBExt"/>
      </w:rPr>
      <w:t>&gt;&lt;Version&gt;</w:t>
    </w:r>
    <w:r w:rsidRPr="00FB5F31">
      <w:t>v02-00</w:t>
    </w:r>
    <w:r w:rsidRPr="00FB5F31">
      <w:rPr>
        <w:rStyle w:val="HideTWBExt"/>
      </w:rPr>
      <w:t>&lt;/</w:t>
    </w:r>
    <w:proofErr w:type="spellStart"/>
    <w:r w:rsidRPr="00FB5F31">
      <w:rPr>
        <w:rStyle w:val="HideTWBExt"/>
      </w:rPr>
      <w:t>Version</w:t>
    </w:r>
    <w:proofErr w:type="spellEnd"/>
    <w:r w:rsidRPr="00FB5F31">
      <w:rPr>
        <w:rStyle w:val="HideTWBExt"/>
      </w:rPr>
      <w:t>&gt;</w:t>
    </w:r>
    <w:r w:rsidRPr="00FB5F31">
      <w:tab/>
    </w:r>
    <w:r w:rsidRPr="00FB5F31">
      <w:fldChar w:fldCharType="begin"/>
    </w:r>
    <w:r w:rsidRPr="00FB5F31">
      <w:instrText xml:space="preserve"> PAGE  \* MERGEFORMAT </w:instrText>
    </w:r>
    <w:r w:rsidRPr="00FB5F31">
      <w:fldChar w:fldCharType="separate"/>
    </w:r>
    <w:r w:rsidRPr="00FB5F31">
      <w:rPr>
        <w:noProof/>
      </w:rPr>
      <w:t>4</w:t>
    </w:r>
    <w:r w:rsidRPr="00FB5F31">
      <w:fldChar w:fldCharType="end"/>
    </w:r>
    <w:r w:rsidRPr="00FB5F31">
      <w:t>/</w:t>
    </w:r>
    <w:fldSimple w:instr=" NUMPAGES  \* MERGEFORMAT ">
      <w:r w:rsidRPr="00FB5F31">
        <w:rPr>
          <w:noProof/>
        </w:rPr>
        <w:t>4</w:t>
      </w:r>
    </w:fldSimple>
    <w:r w:rsidRPr="00FB5F31">
      <w:tab/>
    </w:r>
    <w:r w:rsidRPr="00FB5F31">
      <w:rPr>
        <w:rStyle w:val="HideTWBExt"/>
      </w:rPr>
      <w:t>&lt;PathFdR&gt;</w:t>
    </w:r>
    <w:r w:rsidRPr="00FB5F31">
      <w:t>RR\1298721LT.docx</w:t>
    </w:r>
    <w:r w:rsidRPr="00FB5F31">
      <w:rPr>
        <w:rStyle w:val="HideTWBExt"/>
      </w:rPr>
      <w:t>&lt;/</w:t>
    </w:r>
    <w:proofErr w:type="spellStart"/>
    <w:r w:rsidRPr="00FB5F31">
      <w:rPr>
        <w:rStyle w:val="HideTWBExt"/>
      </w:rPr>
      <w:t>PathFdR</w:t>
    </w:r>
    <w:proofErr w:type="spellEnd"/>
    <w:r w:rsidRPr="00FB5F31">
      <w:rPr>
        <w:rStyle w:val="HideTWBExt"/>
      </w:rPr>
      <w:t>&gt;</w:t>
    </w:r>
  </w:p>
  <w:p w:rsidR="009B386D" w:rsidRPr="00FB5F31" w:rsidRDefault="009B386D" w:rsidP="00EE0226">
    <w:pPr>
      <w:pStyle w:val="EPFooter2"/>
    </w:pPr>
    <w:r w:rsidRPr="00FB5F31">
      <w:t>LT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386D" w:rsidRPr="00FB5F31" w:rsidRDefault="009B386D" w:rsidP="00EE0226">
    <w:pPr>
      <w:pStyle w:val="EPFooter"/>
    </w:pPr>
    <w:r w:rsidRPr="00FB5F31">
      <w:rPr>
        <w:rStyle w:val="HideTWBExt"/>
      </w:rPr>
      <w:t>&lt;PathFdR&gt;</w:t>
    </w:r>
    <w:r w:rsidRPr="00FB5F31">
      <w:t>RR\1298721LT.docx</w:t>
    </w:r>
    <w:r w:rsidRPr="00FB5F31">
      <w:rPr>
        <w:rStyle w:val="HideTWBExt"/>
      </w:rPr>
      <w:t>&lt;/</w:t>
    </w:r>
    <w:proofErr w:type="spellStart"/>
    <w:r w:rsidRPr="00FB5F31">
      <w:rPr>
        <w:rStyle w:val="HideTWBExt"/>
      </w:rPr>
      <w:t>PathFdR</w:t>
    </w:r>
    <w:proofErr w:type="spellEnd"/>
    <w:r w:rsidRPr="00FB5F31">
      <w:rPr>
        <w:rStyle w:val="HideTWBExt"/>
      </w:rPr>
      <w:t>&gt;</w:t>
    </w:r>
    <w:r w:rsidRPr="00FB5F31">
      <w:tab/>
    </w:r>
    <w:r w:rsidRPr="00FB5F31">
      <w:tab/>
      <w:t>PE</w:t>
    </w:r>
    <w:r w:rsidRPr="00FB5F31">
      <w:rPr>
        <w:rStyle w:val="HideTWBExt"/>
      </w:rPr>
      <w:t>&lt;</w:t>
    </w:r>
    <w:proofErr w:type="spellStart"/>
    <w:r w:rsidRPr="00FB5F31">
      <w:rPr>
        <w:rStyle w:val="HideTWBExt"/>
      </w:rPr>
      <w:t>NoPE</w:t>
    </w:r>
    <w:proofErr w:type="spellEnd"/>
    <w:r w:rsidRPr="00FB5F31">
      <w:rPr>
        <w:rStyle w:val="HideTWBExt"/>
      </w:rPr>
      <w:t>&gt;</w:t>
    </w:r>
    <w:r w:rsidRPr="00FB5F31">
      <w:t>753.490</w:t>
    </w:r>
    <w:r w:rsidRPr="00FB5F31">
      <w:rPr>
        <w:rStyle w:val="HideTWBExt"/>
      </w:rPr>
      <w:t>&lt;/</w:t>
    </w:r>
    <w:proofErr w:type="spellStart"/>
    <w:r w:rsidRPr="00FB5F31">
      <w:rPr>
        <w:rStyle w:val="HideTWBExt"/>
      </w:rPr>
      <w:t>NoPE</w:t>
    </w:r>
    <w:proofErr w:type="spellEnd"/>
    <w:r w:rsidRPr="00FB5F31">
      <w:rPr>
        <w:rStyle w:val="HideTWBExt"/>
      </w:rPr>
      <w:t>&gt;&lt;Version&gt;</w:t>
    </w:r>
    <w:r w:rsidRPr="00FB5F31">
      <w:t>v02-00</w:t>
    </w:r>
    <w:r w:rsidRPr="00FB5F31">
      <w:rPr>
        <w:rStyle w:val="HideTWBExt"/>
      </w:rPr>
      <w:t>&lt;/</w:t>
    </w:r>
    <w:proofErr w:type="spellStart"/>
    <w:r w:rsidRPr="00FB5F31">
      <w:rPr>
        <w:rStyle w:val="HideTWBExt"/>
      </w:rPr>
      <w:t>Version</w:t>
    </w:r>
    <w:proofErr w:type="spellEnd"/>
    <w:r w:rsidRPr="00FB5F31">
      <w:rPr>
        <w:rStyle w:val="HideTWBExt"/>
      </w:rPr>
      <w:t>&gt;</w:t>
    </w:r>
  </w:p>
  <w:p w:rsidR="009B386D" w:rsidRPr="00FB5F31" w:rsidRDefault="009B386D" w:rsidP="00EE0226">
    <w:pPr>
      <w:pStyle w:val="EPFooter2"/>
    </w:pPr>
    <w:r w:rsidRPr="00FB5F31">
      <w:t>LT</w:t>
    </w:r>
    <w:r w:rsidRPr="00FB5F31">
      <w:tab/>
    </w:r>
    <w:r w:rsidRPr="00FB5F31">
      <w:rPr>
        <w:b w:val="0"/>
        <w:i/>
        <w:color w:val="C0C0C0"/>
        <w:sz w:val="22"/>
      </w:rPr>
      <w:t>Suvienijusi įvairovę</w:t>
    </w:r>
    <w:r w:rsidRPr="00FB5F31">
      <w:tab/>
      <w:t>LT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F31"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F31"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F3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1E54" w:rsidRPr="00FB5F31" w:rsidRDefault="00CC1E54">
      <w:r w:rsidRPr="00FB5F31">
        <w:separator/>
      </w:r>
    </w:p>
  </w:footnote>
  <w:footnote w:type="continuationSeparator" w:id="0">
    <w:p w:rsidR="00CC1E54" w:rsidRPr="00FB5F31" w:rsidRDefault="00CC1E54">
      <w:r w:rsidRPr="00FB5F31">
        <w:continuationSeparator/>
      </w:r>
    </w:p>
  </w:footnote>
  <w:footnote w:id="1">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OL C, C/2023/1025, 2023 11 16.</w:t>
      </w:r>
    </w:p>
  </w:footnote>
  <w:footnote w:id="2">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OL C, C/2023/112, 2023 10 12.</w:t>
      </w:r>
    </w:p>
  </w:footnote>
  <w:footnote w:id="3">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OL L 193, 2018 7 30, p. 1.</w:t>
      </w:r>
    </w:p>
  </w:footnote>
  <w:footnote w:id="4">
    <w:p w:rsidR="009B386D" w:rsidRPr="00FB5F31" w:rsidRDefault="009B386D" w:rsidP="00FB5F31">
      <w:pPr>
        <w:pStyle w:val="FootnoteText"/>
        <w:ind w:left="567" w:hanging="567"/>
        <w:rPr>
          <w:sz w:val="24"/>
          <w:szCs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OL L 427, 2021 11 30, p. 17.</w:t>
      </w:r>
    </w:p>
  </w:footnote>
  <w:footnote w:id="5">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OL L 142, 2019 5 29, p. 16.</w:t>
      </w:r>
    </w:p>
  </w:footnote>
  <w:footnote w:id="6">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OL C, C/2023/1025, 2023 11 16.</w:t>
      </w:r>
    </w:p>
  </w:footnote>
  <w:footnote w:id="7">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OL C, C/2023/112, 2023 10 12.</w:t>
      </w:r>
    </w:p>
  </w:footnote>
  <w:footnote w:id="8">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OL L 193, 2018 7 30, p. 1.</w:t>
      </w:r>
    </w:p>
  </w:footnote>
  <w:footnote w:id="9">
    <w:p w:rsidR="009B386D" w:rsidRPr="00FB5F31" w:rsidRDefault="009B386D" w:rsidP="00FB5F31">
      <w:pPr>
        <w:pStyle w:val="FootnoteText"/>
        <w:ind w:left="567" w:hanging="567"/>
        <w:rPr>
          <w:sz w:val="24"/>
          <w:szCs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OL L 427, 2021 11 30, p. 17.</w:t>
      </w:r>
    </w:p>
  </w:footnote>
  <w:footnote w:id="10">
    <w:p w:rsidR="009B386D" w:rsidRPr="00FB5F31" w:rsidRDefault="009B386D" w:rsidP="00FB5F31">
      <w:pPr>
        <w:pStyle w:val="FootnoteText"/>
        <w:ind w:left="567" w:hanging="567"/>
        <w:rPr>
          <w:sz w:val="24"/>
          <w:szCs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OL L 142, 2019 5 29, p. 16.</w:t>
      </w:r>
    </w:p>
  </w:footnote>
  <w:footnote w:id="11">
    <w:p w:rsidR="009B386D" w:rsidRPr="00FB5F31" w:rsidRDefault="009B386D" w:rsidP="00FB5F31">
      <w:pPr>
        <w:pStyle w:val="FootnoteText"/>
        <w:ind w:left="567" w:hanging="567"/>
        <w:rPr>
          <w:rFonts w:eastAsiaTheme="minorHAnsi"/>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2021 m. lapkričio 19 d. Tarybos reglamentas (ES) 2021/2085, kuriuo pagal programą „Europos horizontas“ steigiamos bendrosios įmonės ir panaikinami reglamentai (EB) Nr. 219/2007, (ES) Nr. 557/2014, (ES) Nr. 558/2014, (ES) Nr. 559/2014, (ES) Nr. 560/2014, (ES) Nr. 561/2014 bei (ES) Nr. 642/2014 (OL L 427, 2021 11 30, p. 17).</w:t>
      </w:r>
    </w:p>
  </w:footnote>
  <w:footnote w:id="12">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2008 m. gegužės 30 d. Tarybos reglamentas (EB) Nr. 521/2008, įsteigiantis Kuro elementų ir vandenilio bendrąją įmonę (OL L 153, 2008 6 12, p. 1).</w:t>
      </w:r>
    </w:p>
  </w:footnote>
  <w:footnote w:id="13">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2014 m. gegužės 6 d. Tarybos reglamentas (ES) Nr. 559/2014, kuriuo įsteigiama II kuro elementų ir vandenilio bendroji įmonė (OL L 169, 2014 6 7, p. 108).</w:t>
      </w:r>
    </w:p>
  </w:footnote>
  <w:footnote w:id="14">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Turimą biudžetą sudaro ankstesnių metų nepanaudoti asignavimai, kuriuos Švariojo H2 bendroji įmonė iš naujo įtraukė į einamųjų metų biudžetą, asignuotosios pajamos ir perskirstymai kitiems metams.</w:t>
      </w:r>
    </w:p>
  </w:footnote>
  <w:footnote w:id="15">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 xml:space="preserve">Patvirtinti įsipareigojimų asignavimai sudarė 8,4 mln. EUR, kurie vėliau buvo iš dalies pakeisti siekiant įtraukti pajamų ir išlaidų, susijusių su naująja programa pagal programą „Europos horizontas“, padidėjimą ir nepanaudotus ankstesnių metų </w:t>
      </w:r>
      <w:proofErr w:type="spellStart"/>
      <w:r w:rsidRPr="00FB5F31">
        <w:rPr>
          <w:sz w:val="24"/>
          <w:lang w:val="lt-LT"/>
        </w:rPr>
        <w:t>asignavimus</w:t>
      </w:r>
      <w:proofErr w:type="spellEnd"/>
      <w:r w:rsidRPr="00FB5F31">
        <w:rPr>
          <w:sz w:val="24"/>
          <w:lang w:val="lt-LT"/>
        </w:rPr>
        <w:t>.</w:t>
      </w:r>
    </w:p>
  </w:footnote>
  <w:footnote w:id="16">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Patvirtinti mokėjimų asignavimai sudarė 53,2 mln. EUR, o dėl naujos programos ir siekiant padengti planuojamą 2022 m. paskelbtą kvietimą teikti pasiūlymus, kuriuo siekiama įgyvendinti strateginę mokslinių tyrimų ir inovacijų darbotvarkę (SRIA), pakeitimu suma buvo padidinta.</w:t>
      </w:r>
    </w:p>
  </w:footnote>
  <w:footnote w:id="17">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Kaip teigiama Bendrosios įmonės patikslinime, „temų pašalinimas“ turi būti suprantamas kaip „temų aprėpties nebuvimas dėl sėkmingų paraiškų ir (arba) pasiūlymų trūkumo“.</w:t>
      </w:r>
    </w:p>
  </w:footnote>
  <w:footnote w:id="18">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 xml:space="preserve">OL L 56, 1968 3 4, p. 1, </w:t>
      </w:r>
      <w:hyperlink r:id="rId1" w:history="1">
        <w:r w:rsidRPr="00D86D98">
          <w:rPr>
            <w:rStyle w:val="Hyperlink"/>
            <w:sz w:val="24"/>
            <w:lang w:val="lt-LT"/>
          </w:rPr>
          <w:t>ELI: http://data.europa.eu/eli/reg/1968/259(1)/oj</w:t>
        </w:r>
      </w:hyperlink>
      <w:r w:rsidRPr="00FB5F31">
        <w:rPr>
          <w:sz w:val="24"/>
          <w:lang w:val="lt-LT"/>
        </w:rPr>
        <w:t>.</w:t>
      </w:r>
    </w:p>
  </w:footnote>
  <w:footnote w:id="19">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Švariojo H2 bendrosios įmonės 2022 m. konsoliduotosios metinės veiklos ataskaitos 4.1.1.1 skyrius.</w:t>
      </w:r>
    </w:p>
  </w:footnote>
  <w:footnote w:id="20">
    <w:p w:rsidR="009B386D" w:rsidRPr="00FB5F31" w:rsidRDefault="009B386D" w:rsidP="00FB5F31">
      <w:pPr>
        <w:pStyle w:val="FootnoteText"/>
        <w:ind w:left="567" w:hanging="567"/>
        <w:rPr>
          <w:sz w:val="24"/>
          <w:lang w:val="lt-LT"/>
        </w:rPr>
      </w:pPr>
      <w:r w:rsidRPr="00FB5F31">
        <w:rPr>
          <w:rStyle w:val="FootnoteReference"/>
          <w:sz w:val="24"/>
          <w:lang w:val="lt-LT"/>
        </w:rPr>
        <w:footnoteRef/>
      </w:r>
      <w:r w:rsidR="00FB5F31" w:rsidRPr="00FB5F31">
        <w:rPr>
          <w:sz w:val="24"/>
          <w:lang w:val="lt-LT"/>
        </w:rPr>
        <w:t xml:space="preserve"> </w:t>
      </w:r>
      <w:r w:rsidR="00FB5F31" w:rsidRPr="00FB5F31">
        <w:rPr>
          <w:sz w:val="24"/>
          <w:lang w:val="lt-LT"/>
        </w:rPr>
        <w:tab/>
      </w:r>
      <w:r w:rsidRPr="00FB5F31">
        <w:rPr>
          <w:sz w:val="24"/>
          <w:lang w:val="lt-LT"/>
        </w:rPr>
        <w:t>Kalbant apie dotacijų mokėjimo operacijas, patikrintas lankantis pas paramos gavėjus, pranešimo apie kiekybiškai įvertinamas klaidas riba yra 1 proc. audituotų išlaidų.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F3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F3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FB5F3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LT"/>
    <w:docVar w:name="dvnumam" w:val="0"/>
    <w:docVar w:name="dvpe" w:val="753.490"/>
    <w:docVar w:name="dvrapporteur" w:val="Pranešėjas: "/>
    <w:docVar w:name="dvtitre" w:val="Europos Parlamento sprendimas dėl Švariojo vandenilio bendrosios įmonės 2022 finansinių metų biudžeto įvykdymo patvirtinimo(2023/2175(DEC))"/>
  </w:docVars>
  <w:rsids>
    <w:rsidRoot w:val="00CC1E54"/>
    <w:rsid w:val="00002272"/>
    <w:rsid w:val="00064002"/>
    <w:rsid w:val="000677B9"/>
    <w:rsid w:val="000831BA"/>
    <w:rsid w:val="000A42CC"/>
    <w:rsid w:val="000E7DD9"/>
    <w:rsid w:val="0010095E"/>
    <w:rsid w:val="00125B37"/>
    <w:rsid w:val="00187494"/>
    <w:rsid w:val="001F32AE"/>
    <w:rsid w:val="00221F4A"/>
    <w:rsid w:val="002767FF"/>
    <w:rsid w:val="002B18FE"/>
    <w:rsid w:val="002B5493"/>
    <w:rsid w:val="00343214"/>
    <w:rsid w:val="00361C00"/>
    <w:rsid w:val="00395FA1"/>
    <w:rsid w:val="003E15D4"/>
    <w:rsid w:val="00411CCE"/>
    <w:rsid w:val="0041666E"/>
    <w:rsid w:val="00421060"/>
    <w:rsid w:val="0042141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B386D"/>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1E54"/>
    <w:rsid w:val="00CC2357"/>
    <w:rsid w:val="00CF071A"/>
    <w:rsid w:val="00D058B8"/>
    <w:rsid w:val="00D56C11"/>
    <w:rsid w:val="00D63F77"/>
    <w:rsid w:val="00D834A0"/>
    <w:rsid w:val="00D86D98"/>
    <w:rsid w:val="00D872DF"/>
    <w:rsid w:val="00D91E21"/>
    <w:rsid w:val="00DA7FCD"/>
    <w:rsid w:val="00E365E1"/>
    <w:rsid w:val="00E820A4"/>
    <w:rsid w:val="00EB006A"/>
    <w:rsid w:val="00EB4772"/>
    <w:rsid w:val="00ED169E"/>
    <w:rsid w:val="00ED4235"/>
    <w:rsid w:val="00F04346"/>
    <w:rsid w:val="00F075DC"/>
    <w:rsid w:val="00F149E9"/>
    <w:rsid w:val="00F453DF"/>
    <w:rsid w:val="00F5134D"/>
    <w:rsid w:val="00F53882"/>
    <w:rsid w:val="00F74202"/>
    <w:rsid w:val="00F87713"/>
    <w:rsid w:val="00FB4360"/>
    <w:rsid w:val="00FB5F31"/>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25BAF9"/>
  <w15:chartTrackingRefBased/>
  <w15:docId w15:val="{A483E2DC-5C4A-4C29-8F15-842CC04E80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B386D"/>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B386D"/>
    <w:pPr>
      <w:spacing w:before="480" w:after="240"/>
    </w:pPr>
  </w:style>
  <w:style w:type="paragraph" w:customStyle="1" w:styleId="PageHeading">
    <w:name w:val="PageHeading"/>
    <w:basedOn w:val="Normal"/>
    <w:rsid w:val="009B386D"/>
    <w:pPr>
      <w:keepNext/>
      <w:spacing w:after="480"/>
      <w:jc w:val="center"/>
    </w:pPr>
    <w:rPr>
      <w:rFonts w:ascii="Arial" w:hAnsi="Arial" w:cs="Arial"/>
      <w:b/>
    </w:rPr>
  </w:style>
  <w:style w:type="paragraph" w:customStyle="1" w:styleId="NormalBold">
    <w:name w:val="NormalBold"/>
    <w:basedOn w:val="Normal"/>
    <w:rsid w:val="009B386D"/>
    <w:rPr>
      <w:b/>
    </w:rPr>
  </w:style>
  <w:style w:type="paragraph" w:customStyle="1" w:styleId="NormalHanging12a">
    <w:name w:val="NormalHanging12a"/>
    <w:basedOn w:val="Normal"/>
    <w:link w:val="NormalHanging12aChar"/>
    <w:rsid w:val="009B386D"/>
    <w:pPr>
      <w:spacing w:after="240"/>
      <w:ind w:left="567" w:hanging="567"/>
    </w:pPr>
  </w:style>
  <w:style w:type="paragraph" w:styleId="Header">
    <w:name w:val="header"/>
    <w:basedOn w:val="Normal"/>
    <w:link w:val="HeaderChar"/>
    <w:rsid w:val="009B386D"/>
    <w:pPr>
      <w:tabs>
        <w:tab w:val="center" w:pos="4513"/>
        <w:tab w:val="right" w:pos="9026"/>
      </w:tabs>
    </w:pPr>
  </w:style>
  <w:style w:type="character" w:customStyle="1" w:styleId="HeaderChar">
    <w:name w:val="Header Char"/>
    <w:basedOn w:val="DefaultParagraphFont"/>
    <w:link w:val="Header"/>
    <w:rsid w:val="009B386D"/>
    <w:rPr>
      <w:sz w:val="24"/>
      <w:lang w:val="lt-LT"/>
    </w:rPr>
  </w:style>
  <w:style w:type="paragraph" w:customStyle="1" w:styleId="EPFooter">
    <w:name w:val="EPFooter"/>
    <w:basedOn w:val="Normal"/>
    <w:rsid w:val="009B386D"/>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9B386D"/>
    <w:rPr>
      <w:sz w:val="24"/>
      <w:lang w:val="lt-LT"/>
    </w:rPr>
  </w:style>
  <w:style w:type="paragraph" w:styleId="Footer">
    <w:name w:val="footer"/>
    <w:basedOn w:val="Normal"/>
    <w:link w:val="FooterChar"/>
    <w:rsid w:val="00D86D98"/>
    <w:pPr>
      <w:tabs>
        <w:tab w:val="center" w:pos="4513"/>
        <w:tab w:val="right" w:pos="9026"/>
      </w:tabs>
    </w:pPr>
  </w:style>
  <w:style w:type="character" w:customStyle="1" w:styleId="FooterChar">
    <w:name w:val="Footer Char"/>
    <w:basedOn w:val="DefaultParagraphFont"/>
    <w:link w:val="Footer"/>
    <w:rsid w:val="00D86D98"/>
    <w:rPr>
      <w:sz w:val="24"/>
      <w:lang w:val="lt-LT"/>
    </w:rPr>
  </w:style>
  <w:style w:type="character" w:styleId="Hyperlink">
    <w:name w:val="Hyperlink"/>
    <w:basedOn w:val="DefaultParagraphFont"/>
    <w:rsid w:val="00D86D98"/>
    <w:rPr>
      <w:color w:val="0563C1" w:themeColor="hyperlink"/>
      <w:u w:val="single"/>
    </w:rPr>
  </w:style>
  <w:style w:type="paragraph" w:styleId="BalloonText">
    <w:name w:val="Balloon Text"/>
    <w:basedOn w:val="Normal"/>
    <w:link w:val="BalloonTextChar"/>
    <w:rsid w:val="00F53882"/>
    <w:rPr>
      <w:rFonts w:ascii="Segoe UI" w:hAnsi="Segoe UI" w:cs="Segoe UI"/>
      <w:sz w:val="18"/>
      <w:szCs w:val="18"/>
    </w:rPr>
  </w:style>
  <w:style w:type="character" w:customStyle="1" w:styleId="BalloonTextChar">
    <w:name w:val="Balloon Text Char"/>
    <w:basedOn w:val="DefaultParagraphFont"/>
    <w:link w:val="BalloonText"/>
    <w:rsid w:val="00F53882"/>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1" Type="http://schemas.openxmlformats.org/officeDocument/2006/relationships/hyperlink" Target="ELI:%20http://data.europa.eu/eli/reg/1968/259(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80816B-B758-4DE4-94F5-F9CD52ECE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3031</Words>
  <Characters>20230</Characters>
  <Application>Microsoft Office Word</Application>
  <DocSecurity>0</DocSecurity>
  <Lines>168</Lines>
  <Paragraphs>46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2</cp:revision>
  <cp:lastPrinted>2004-11-19T15:42:00Z</cp:lastPrinted>
  <dcterms:created xsi:type="dcterms:W3CDTF">2024-05-14T21:02:00Z</dcterms:created>
  <dcterms:modified xsi:type="dcterms:W3CDTF">2024-05-14T21:02:00Z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P9_TA(2024)0275_</vt:lpwstr>
  </property>
  <property fmtid="{D5CDD505-2E9C-101B-9397-08002B2CF9AE}" pid="4" name="&lt;Type&gt;">
    <vt:lpwstr>RR</vt:lpwstr>
  </property>
</Properties>
</file>