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77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7755" w:rsidRDefault="008538C7" w:rsidP="0010095E">
            <w:pPr>
              <w:pStyle w:val="EPName"/>
            </w:pPr>
            <w:r w:rsidRPr="00C37755">
              <w:t>Parlament Europejski</w:t>
            </w:r>
          </w:p>
          <w:p w:rsidR="00751A4A" w:rsidRPr="00C377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77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37755" w:rsidRDefault="00187494" w:rsidP="0010095E">
            <w:pPr>
              <w:pStyle w:val="EPLogo"/>
            </w:pPr>
            <w:r w:rsidRPr="00C377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7755" w:rsidRDefault="00D058B8" w:rsidP="004C5D52">
      <w:pPr>
        <w:pStyle w:val="LineTop"/>
      </w:pPr>
    </w:p>
    <w:p w:rsidR="00680577" w:rsidRPr="00C37755" w:rsidRDefault="008538C7" w:rsidP="00680577">
      <w:pPr>
        <w:pStyle w:val="EPBodyTA1"/>
      </w:pPr>
      <w:r w:rsidRPr="00C37755">
        <w:t>TEKSTY PRZYJĘTE</w:t>
      </w:r>
    </w:p>
    <w:p w:rsidR="00D058B8" w:rsidRPr="00C37755" w:rsidRDefault="00D058B8" w:rsidP="00D058B8">
      <w:pPr>
        <w:pStyle w:val="LineBottom"/>
      </w:pPr>
    </w:p>
    <w:p w:rsidR="008538C7" w:rsidRPr="00C37755" w:rsidRDefault="008538C7" w:rsidP="008538C7">
      <w:pPr>
        <w:pStyle w:val="ATHeading1"/>
      </w:pPr>
      <w:bookmarkStart w:id="0" w:name="TANumber"/>
      <w:r w:rsidRPr="00C37755">
        <w:t>P9_TA(2024)0</w:t>
      </w:r>
      <w:bookmarkEnd w:id="0"/>
      <w:r w:rsidR="00F23006">
        <w:t>275</w:t>
      </w:r>
    </w:p>
    <w:p w:rsidR="008538C7" w:rsidRPr="00C37755" w:rsidRDefault="008538C7" w:rsidP="008538C7">
      <w:pPr>
        <w:pStyle w:val="ATHeading2"/>
      </w:pPr>
      <w:bookmarkStart w:id="1" w:name="title"/>
      <w:r w:rsidRPr="00C37755">
        <w:t>Absolutorium za rok 2022: Wspólne Przedsięwzięcie na rzecz Czystego Wodoru</w:t>
      </w:r>
      <w:bookmarkEnd w:id="1"/>
    </w:p>
    <w:p w:rsidR="008538C7" w:rsidRPr="00C37755" w:rsidRDefault="008538C7" w:rsidP="008538C7">
      <w:pPr>
        <w:rPr>
          <w:i/>
          <w:vanish/>
        </w:rPr>
      </w:pPr>
      <w:r w:rsidRPr="00C37755">
        <w:rPr>
          <w:i/>
        </w:rPr>
        <w:fldChar w:fldCharType="begin"/>
      </w:r>
      <w:r w:rsidRPr="00C37755">
        <w:rPr>
          <w:i/>
        </w:rPr>
        <w:instrText xml:space="preserve"> TC"(</w:instrText>
      </w:r>
      <w:bookmarkStart w:id="2" w:name="DocNumber"/>
      <w:r w:rsidRPr="00C37755">
        <w:rPr>
          <w:i/>
        </w:rPr>
        <w:instrText>A9-0089/2024</w:instrText>
      </w:r>
      <w:bookmarkEnd w:id="2"/>
      <w:r w:rsidRPr="00C37755">
        <w:rPr>
          <w:i/>
        </w:rPr>
        <w:instrText xml:space="preserve"> - Sprawozdawca: Michal </w:instrText>
      </w:r>
      <w:proofErr w:type="spellStart"/>
      <w:r w:rsidRPr="00C37755">
        <w:rPr>
          <w:i/>
        </w:rPr>
        <w:instrText>Wiezik</w:instrText>
      </w:r>
      <w:proofErr w:type="spellEnd"/>
      <w:proofErr w:type="gramStart"/>
      <w:r w:rsidRPr="00C37755">
        <w:rPr>
          <w:i/>
        </w:rPr>
        <w:instrText>)"\l</w:instrText>
      </w:r>
      <w:proofErr w:type="gramEnd"/>
      <w:r w:rsidRPr="00C37755">
        <w:rPr>
          <w:i/>
        </w:rPr>
        <w:instrText xml:space="preserve">3 \n&gt; \* MERGEFORMAT </w:instrText>
      </w:r>
      <w:r w:rsidRPr="00C37755">
        <w:rPr>
          <w:i/>
        </w:rPr>
        <w:fldChar w:fldCharType="end"/>
      </w:r>
    </w:p>
    <w:p w:rsidR="008538C7" w:rsidRPr="00C37755" w:rsidRDefault="008538C7" w:rsidP="008538C7">
      <w:pPr>
        <w:rPr>
          <w:vanish/>
        </w:rPr>
      </w:pPr>
      <w:bookmarkStart w:id="3" w:name="Commission"/>
      <w:r w:rsidRPr="00C37755">
        <w:rPr>
          <w:vanish/>
        </w:rPr>
        <w:t>Komisja Kontroli Budżetowej</w:t>
      </w:r>
      <w:bookmarkEnd w:id="3"/>
    </w:p>
    <w:p w:rsidR="008538C7" w:rsidRPr="00C37755" w:rsidRDefault="008538C7" w:rsidP="008538C7">
      <w:pPr>
        <w:rPr>
          <w:vanish/>
        </w:rPr>
      </w:pPr>
      <w:bookmarkStart w:id="4" w:name="PE"/>
      <w:r w:rsidRPr="00C37755">
        <w:rPr>
          <w:vanish/>
        </w:rPr>
        <w:t>PE753.490</w:t>
      </w:r>
      <w:bookmarkEnd w:id="4"/>
    </w:p>
    <w:p w:rsidR="008538C7" w:rsidRPr="00C37755" w:rsidRDefault="00C30116" w:rsidP="008538C7">
      <w:pPr>
        <w:pStyle w:val="ATHeading3"/>
      </w:pPr>
      <w:bookmarkStart w:id="5" w:name="Sujet"/>
      <w:r>
        <w:t xml:space="preserve">1. </w:t>
      </w:r>
      <w:r w:rsidR="008538C7" w:rsidRPr="00C37755">
        <w:t xml:space="preserve">Decyzja Parlamentu Europejskiego z dnia </w:t>
      </w:r>
      <w:r>
        <w:t>11 kwietnia</w:t>
      </w:r>
      <w:r w:rsidR="008538C7" w:rsidRPr="00C37755">
        <w:t xml:space="preserve"> 2024 r. w sprawie absolutorium z wykonania budżetu Wspólnego Przedsięwzięcia na rzecz Czystego Wodoru za rok budżetowy 2022</w:t>
      </w:r>
      <w:bookmarkEnd w:id="5"/>
      <w:r w:rsidR="008538C7" w:rsidRPr="00C37755">
        <w:t xml:space="preserve"> </w:t>
      </w:r>
      <w:bookmarkStart w:id="6" w:name="References"/>
      <w:r w:rsidR="008538C7" w:rsidRPr="00C37755">
        <w:t>(2023/2175(DEC))</w:t>
      </w:r>
      <w:bookmarkEnd w:id="6"/>
    </w:p>
    <w:p w:rsidR="0070287D" w:rsidRPr="00C37755" w:rsidRDefault="0070287D" w:rsidP="0070287D">
      <w:pPr>
        <w:pStyle w:val="EPComma"/>
      </w:pPr>
      <w:bookmarkStart w:id="7" w:name="TextBodyBegin"/>
      <w:bookmarkEnd w:id="7"/>
      <w:r w:rsidRPr="00C37755">
        <w:rPr>
          <w:i/>
        </w:rPr>
        <w:t>Parlament Europejski</w:t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końcowe roczne sprawozdanie finansowe Wspólnego Przedsięwzięcia na rzecz Czystego Wodoru za rok budżetowy 2022,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sprawozdanie roczne Trybunału Obrachunkowego dotyczące wspólnych przedsięwzięć UE za rok budżetowy 2022 wraz z odpowiedziami wspólnych przedsięwzięć</w:t>
      </w:r>
      <w:r w:rsidRPr="00C37755">
        <w:rPr>
          <w:rStyle w:val="FootnoteReference"/>
        </w:rPr>
        <w:footnoteReference w:id="1"/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poświadczenie wiarygodności rachunków</w:t>
      </w:r>
      <w:r w:rsidRPr="00C37755">
        <w:rPr>
          <w:rStyle w:val="FootnoteReference"/>
        </w:rPr>
        <w:footnoteReference w:id="2"/>
      </w:r>
      <w:r w:rsidRPr="00C37755">
        <w:t>, jak również legalności i prawidłowości operacji leżących u ich podstaw przedłożone przez Trybunał Obrachunkowy za rok budżetowy 2022 zgodnie z art. 287 Traktatu o funkcjonowaniu Unii Europejskiej,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zalecenie Rady z dnia 22 lutego 2024 r. w sprawie udzielenia Wspólnemu Przedsięwzięciu absolutorium z wykonania budżetu za rok budżetowy </w:t>
      </w:r>
      <w:r w:rsidRPr="002C1582">
        <w:t>2022 (</w:t>
      </w:r>
      <w:r w:rsidR="002C1582" w:rsidRPr="002C1582">
        <w:t>06182/2024 – C9</w:t>
      </w:r>
      <w:r w:rsidR="002C1582" w:rsidRPr="002C1582">
        <w:noBreakHyphen/>
        <w:t>0113/2024</w:t>
      </w:r>
      <w:r w:rsidRPr="002C1582">
        <w:t>),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art. 319 Traktatu o funkcjonowaniu Unii Europejskiej,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rozporządzenie Parlamentu Europejskiego i Rady (UE, </w:t>
      </w:r>
      <w:proofErr w:type="spellStart"/>
      <w:r w:rsidRPr="00C37755">
        <w:t>Euratom</w:t>
      </w:r>
      <w:proofErr w:type="spellEnd"/>
      <w:r w:rsidRPr="00C37755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C37755">
        <w:lastRenderedPageBreak/>
        <w:t xml:space="preserve">uchylające rozporządzenie (UE, </w:t>
      </w:r>
      <w:proofErr w:type="spellStart"/>
      <w:r w:rsidRPr="00C37755">
        <w:t>Euratom</w:t>
      </w:r>
      <w:proofErr w:type="spellEnd"/>
      <w:r w:rsidRPr="00C37755">
        <w:t>) nr 966/2012</w:t>
      </w:r>
      <w:r w:rsidRPr="00C37755">
        <w:rPr>
          <w:rStyle w:val="FootnoteReference"/>
        </w:rPr>
        <w:footnoteReference w:id="3"/>
      </w:r>
      <w:r w:rsidRPr="00C37755">
        <w:t>, w szczególności jego art. 71,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rozporządzenie Rady (UE) 2021/2085 z dnia 19 listopada 2021 r. ustanawiające wspólne przedsięwzięcia w ramach programu „Horyzont Europa” i uchylające rozporządzenia (WE) nr 219/2007, (UE) nr 557/2014, (UE) nr 558/2014, (UE) nr 559/2014, (UE) nr 560/2014, (UE) nr 561/2014 i (UE) nr 642/2014</w:t>
      </w:r>
      <w:r w:rsidRPr="00C37755">
        <w:rPr>
          <w:rStyle w:val="FootnoteReference"/>
        </w:rPr>
        <w:footnoteReference w:id="4"/>
      </w:r>
      <w:r w:rsidRPr="00C37755">
        <w:t>, w szczególności jego art. 26,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rozporządzenie delegowane Komisji (UE) 2019/887 z dnia 13 marca 2019 r. w sprawie modelowego rozporządzenia finansowego dla organów realizujących partnerstwa publiczno-prywatne, o których mowa w art. 71 rozporządzenia Parlamentu Europejskiego i Rady (UE, </w:t>
      </w:r>
      <w:proofErr w:type="spellStart"/>
      <w:r w:rsidRPr="00C37755">
        <w:t>Euratom</w:t>
      </w:r>
      <w:proofErr w:type="spellEnd"/>
      <w:r w:rsidRPr="00C37755">
        <w:t>) 2018/1046</w:t>
      </w:r>
      <w:r w:rsidRPr="00C37755">
        <w:rPr>
          <w:rStyle w:val="FootnoteReference"/>
        </w:rPr>
        <w:footnoteReference w:id="5"/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art. 100 Regulaminu i załącznik V do Regulaminu,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sprawozdanie Komisji Kontroli Budżetowej (A9-0089/2024),</w:t>
      </w:r>
    </w:p>
    <w:p w:rsidR="0070287D" w:rsidRPr="00C37755" w:rsidRDefault="0070287D" w:rsidP="0070287D">
      <w:pPr>
        <w:pStyle w:val="NormalHanging12a"/>
      </w:pPr>
      <w:r w:rsidRPr="00C37755">
        <w:t>1.</w:t>
      </w:r>
      <w:r w:rsidRPr="00C37755">
        <w:tab/>
      </w:r>
      <w:proofErr w:type="gramStart"/>
      <w:r w:rsidRPr="00C37755">
        <w:t>udziela</w:t>
      </w:r>
      <w:proofErr w:type="gramEnd"/>
      <w:r w:rsidRPr="00C37755">
        <w:t xml:space="preserve"> tymczasowej dyrektor wykonawczej Wspólnego Przedsięwzięcia na rzecz Czystego Wodoru absolutorium z wykonania budżetu Wspólnego Przedsięwzięcia za rok budżetowy 2022;</w:t>
      </w:r>
    </w:p>
    <w:p w:rsidR="0070287D" w:rsidRPr="00C37755" w:rsidRDefault="0070287D" w:rsidP="0070287D">
      <w:pPr>
        <w:pStyle w:val="NormalHanging12a"/>
      </w:pPr>
      <w:r w:rsidRPr="00C37755">
        <w:t>2.</w:t>
      </w:r>
      <w:r w:rsidRPr="00C37755">
        <w:tab/>
      </w:r>
      <w:proofErr w:type="gramStart"/>
      <w:r w:rsidRPr="00C37755">
        <w:t>przedstawia</w:t>
      </w:r>
      <w:proofErr w:type="gramEnd"/>
      <w:r w:rsidRPr="00C37755">
        <w:t xml:space="preserve"> swoje uwagi w poniższej rezolucji;</w:t>
      </w:r>
    </w:p>
    <w:p w:rsidR="0070287D" w:rsidRPr="00C37755" w:rsidRDefault="0070287D" w:rsidP="0070287D">
      <w:pPr>
        <w:pStyle w:val="NormalHanging12a"/>
      </w:pPr>
      <w:r w:rsidRPr="00C37755">
        <w:t>3.</w:t>
      </w:r>
      <w:r w:rsidRPr="00C37755">
        <w:tab/>
      </w:r>
      <w:proofErr w:type="gramStart"/>
      <w:r w:rsidRPr="00C37755">
        <w:t>zobowiązuje</w:t>
      </w:r>
      <w:proofErr w:type="gramEnd"/>
      <w:r w:rsidRPr="00C37755">
        <w:t xml:space="preserve"> swoją przewodniczącą do przekazania niniejszej decyzji wraz z rezolucją, która stanowi jej integralną część, tymczasowej dyrektor wykonawczej Wspólnego Przedsięwzięcia na rzecz Czystego Wodoru, Radzie, Komisji i Trybunałowi Obrachunkowemu oraz do zarządzenia jej publikacji w </w:t>
      </w:r>
      <w:r w:rsidRPr="00C37755">
        <w:rPr>
          <w:i/>
        </w:rPr>
        <w:t>Dzienniku Urzędowym Unii Europejskiej</w:t>
      </w:r>
      <w:r w:rsidRPr="00C37755">
        <w:t xml:space="preserve"> (seria L).</w:t>
      </w:r>
    </w:p>
    <w:p w:rsidR="0070287D" w:rsidRPr="00C37755" w:rsidRDefault="0070287D" w:rsidP="0070287D"/>
    <w:p w:rsidR="0070287D" w:rsidRPr="00C37755" w:rsidRDefault="0070287D" w:rsidP="0070287D">
      <w:pPr>
        <w:pStyle w:val="PageHeading"/>
        <w:sectPr w:rsidR="0070287D" w:rsidRPr="00C37755" w:rsidSect="00C377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0287D" w:rsidRPr="00C37755" w:rsidRDefault="00C30116" w:rsidP="00C30116">
      <w:pPr>
        <w:pStyle w:val="ATHeading3"/>
      </w:pPr>
      <w:bookmarkStart w:id="8" w:name="_Toc161836641"/>
      <w:r>
        <w:lastRenderedPageBreak/>
        <w:t>2. Decyzja</w:t>
      </w:r>
      <w:r w:rsidR="0070287D" w:rsidRPr="00C37755">
        <w:t xml:space="preserve"> P</w:t>
      </w:r>
      <w:r>
        <w:t>arlamentu</w:t>
      </w:r>
      <w:r w:rsidR="0070287D" w:rsidRPr="00C37755">
        <w:t xml:space="preserve"> E</w:t>
      </w:r>
      <w:bookmarkEnd w:id="8"/>
      <w:r>
        <w:t xml:space="preserve">uropejskiego z dnia 11 kwietnia 2024 r. </w:t>
      </w:r>
      <w:r w:rsidR="0070287D" w:rsidRPr="00C37755">
        <w:t>w sprawie zamknięcia ksiąg dochodów i wydatków Wspólnego Przedsięwzięcia na rzecz Czystego Wodoru za rok budżetowy 2022</w:t>
      </w:r>
      <w:r>
        <w:t xml:space="preserve"> </w:t>
      </w:r>
      <w:r w:rsidR="0070287D" w:rsidRPr="00C37755">
        <w:t>(2023/2175(DEC))</w:t>
      </w:r>
    </w:p>
    <w:p w:rsidR="0070287D" w:rsidRPr="00C37755" w:rsidRDefault="0070287D" w:rsidP="0070287D">
      <w:pPr>
        <w:pStyle w:val="EPComma"/>
      </w:pPr>
      <w:r w:rsidRPr="00C37755">
        <w:rPr>
          <w:i/>
        </w:rPr>
        <w:t>Parlament Europejski</w:t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końcowe roczne sprawozdanie finansowe Wspólnego Przedsięwzięcia na rzecz Czystego Wodoru za rok budżetowy 2022,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sprawozdanie roczne Trybunału Obrachunkowego dotyczące wspólnych przedsięwzięć UE za rok budżetowy 2022 wraz z odpowiedziami wspólnych przedsięwzięć</w:t>
      </w:r>
      <w:r w:rsidRPr="00C37755">
        <w:rPr>
          <w:rStyle w:val="FootnoteReference"/>
        </w:rPr>
        <w:footnoteReference w:id="6"/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poświadczenie wiarygodności rachunków</w:t>
      </w:r>
      <w:r w:rsidRPr="00C37755">
        <w:rPr>
          <w:rStyle w:val="FootnoteReference"/>
        </w:rPr>
        <w:footnoteReference w:id="7"/>
      </w:r>
      <w:r w:rsidRPr="00C37755">
        <w:t>, jak również legalności i prawidłowości operacji leżących u ich podstaw przedłożone przez Trybunał Obrachunkowy za rok budżetowy 2022 zgodnie z art. 287 Traktatu o funkcjonowaniu Unii Europejskiej,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zalecenie Rady z dnia 22 lutego 2024 r. w sprawie udzielenia Wspólnemu Przedsięwzięciu absolutorium z wykonania budżetu za rok budżetowy </w:t>
      </w:r>
      <w:r w:rsidRPr="002C1582">
        <w:t>2022 (</w:t>
      </w:r>
      <w:r w:rsidR="002C1582" w:rsidRPr="002C1582">
        <w:t>06182/2024 – C9</w:t>
      </w:r>
      <w:r w:rsidR="002C1582" w:rsidRPr="002C1582">
        <w:noBreakHyphen/>
        <w:t>0113/2024</w:t>
      </w:r>
      <w:r w:rsidRPr="002C1582">
        <w:t>),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art. 319 Traktatu o funkcjonowaniu Unii Europejskiej,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rozporządzenie Parlamentu Europejskiego i Rady (UE, </w:t>
      </w:r>
      <w:proofErr w:type="spellStart"/>
      <w:r w:rsidRPr="00C37755">
        <w:t>Euratom</w:t>
      </w:r>
      <w:proofErr w:type="spellEnd"/>
      <w:r w:rsidRPr="00C37755">
        <w:t xml:space="preserve">) 2018/1046 z dnia 18 lipca 2018 r. w sprawie zasad finansowych mających zastosowanie do budżetu ogólnego Unii, zmieniające rozporządzenia (UE) nr 1296/2013, (UE) nr 1301/2013, (UE) nr 1303/2013, (UE) nr 1304/2013, (UE) nr 1309/2013, (UE) nr 1316/2013, (UE) nr 223/2014 i (UE) nr 283/2014 oraz decyzję nr 541/2014/UE, a także uchylające rozporządzenie (UE, </w:t>
      </w:r>
      <w:proofErr w:type="spellStart"/>
      <w:r w:rsidRPr="00C37755">
        <w:t>Euratom</w:t>
      </w:r>
      <w:proofErr w:type="spellEnd"/>
      <w:r w:rsidRPr="00C37755">
        <w:t>) nr 966/2012</w:t>
      </w:r>
      <w:r w:rsidRPr="00C37755">
        <w:rPr>
          <w:rStyle w:val="FootnoteReference"/>
        </w:rPr>
        <w:footnoteReference w:id="8"/>
      </w:r>
      <w:r w:rsidRPr="00C37755">
        <w:t>, w szczególności jego art. 71,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rozporządzenie Rady (UE) 2021/2085 z dnia 19 listopada 2021 r. ustanawiające wspólne przedsięwzięcia w ramach programu „Horyzont Europa” i uchylające rozporządzenia (WE) nr 219/2007, (UE) nr 557/2014, (UE) nr 558/2014, (UE) nr 559/2014, (UE) nr 560/2014, (UE) nr 561/2014 i (UE) nr 642/2014</w:t>
      </w:r>
      <w:r w:rsidRPr="00C37755">
        <w:rPr>
          <w:rStyle w:val="FootnoteReference"/>
        </w:rPr>
        <w:footnoteReference w:id="9"/>
      </w:r>
      <w:r w:rsidRPr="00C37755">
        <w:t>, w szczególności jego art. 26,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 xml:space="preserve">uwzględniając rozporządzenie delegowane Komisji (UE) 2019/887 z dnia 13 marca 2019 r. w sprawie modelowego rozporządzenia finansowego dla organów realizujących partnerstwa publiczno-prywatne, o których mowa w art. 71 rozporządzenia Parlamentu Europejskiego i Rady (UE, </w:t>
      </w:r>
      <w:proofErr w:type="spellStart"/>
      <w:r w:rsidRPr="00C37755">
        <w:t>Euratom</w:t>
      </w:r>
      <w:proofErr w:type="spellEnd"/>
      <w:r w:rsidRPr="00C37755">
        <w:t>) 2018/1046</w:t>
      </w:r>
      <w:r w:rsidRPr="00C37755">
        <w:rPr>
          <w:rStyle w:val="FootnoteReference"/>
        </w:rPr>
        <w:footnoteReference w:id="10"/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art. 100 Regulaminu i załącznik V do Regulaminu,</w:t>
      </w:r>
    </w:p>
    <w:p w:rsidR="0070287D" w:rsidRPr="00C37755" w:rsidRDefault="0070287D" w:rsidP="0070287D">
      <w:pPr>
        <w:pStyle w:val="NormalHanging12a"/>
      </w:pPr>
      <w:r w:rsidRPr="00C37755">
        <w:lastRenderedPageBreak/>
        <w:t>–</w:t>
      </w:r>
      <w:r w:rsidRPr="00C37755">
        <w:tab/>
        <w:t>uwzględniając sprawozdanie Komisji Kontroli Budżetowej (A9-0089/2024),</w:t>
      </w:r>
    </w:p>
    <w:p w:rsidR="0070287D" w:rsidRPr="00C37755" w:rsidRDefault="0070287D" w:rsidP="0070287D">
      <w:pPr>
        <w:pStyle w:val="NormalHanging12a"/>
      </w:pPr>
      <w:r w:rsidRPr="00C37755">
        <w:t>1.</w:t>
      </w:r>
      <w:r w:rsidRPr="00C37755">
        <w:tab/>
      </w:r>
      <w:proofErr w:type="gramStart"/>
      <w:r w:rsidRPr="00C37755">
        <w:t>zatwierdza</w:t>
      </w:r>
      <w:proofErr w:type="gramEnd"/>
      <w:r w:rsidRPr="00C37755">
        <w:t xml:space="preserve"> zamknięcie ksiąg dochodów i wydatków Wspólnego Przedsięwzięcia na rzecz Czystego Wodoru za rok budżetowy 2022;</w:t>
      </w:r>
    </w:p>
    <w:p w:rsidR="0070287D" w:rsidRPr="00C37755" w:rsidRDefault="0070287D" w:rsidP="0070287D">
      <w:pPr>
        <w:pStyle w:val="NormalHanging12a"/>
      </w:pPr>
      <w:r w:rsidRPr="00C37755">
        <w:t>2.</w:t>
      </w:r>
      <w:r w:rsidRPr="00C37755">
        <w:tab/>
      </w:r>
      <w:proofErr w:type="gramStart"/>
      <w:r w:rsidRPr="00C37755">
        <w:t>zobowiązuje</w:t>
      </w:r>
      <w:proofErr w:type="gramEnd"/>
      <w:r w:rsidRPr="00C37755">
        <w:t xml:space="preserve"> swoją przewodniczącą do przekazania niniejszej decyzji tymczasowej dyrektor wykonawczej Wspólnego Przedsięwzięcia na rzecz Czystego Wodoru, Radzie, Komisji i Trybunałowi Obrachunkowemu oraz do zarządzenia jej publikacji w </w:t>
      </w:r>
      <w:r w:rsidRPr="00C37755">
        <w:rPr>
          <w:i/>
        </w:rPr>
        <w:t>Dzienniku Urzędowym Unii Europejskiej</w:t>
      </w:r>
      <w:r w:rsidRPr="00C37755">
        <w:t xml:space="preserve"> (seria L).</w:t>
      </w:r>
    </w:p>
    <w:p w:rsidR="0070287D" w:rsidRPr="00C37755" w:rsidRDefault="0070287D" w:rsidP="0070287D"/>
    <w:p w:rsidR="0070287D" w:rsidRPr="00C37755" w:rsidRDefault="0070287D" w:rsidP="0070287D">
      <w:pPr>
        <w:pStyle w:val="PageHeading"/>
        <w:sectPr w:rsidR="0070287D" w:rsidRPr="00C37755" w:rsidSect="00C3775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0287D" w:rsidRPr="00C37755" w:rsidRDefault="00C30116" w:rsidP="00C30116">
      <w:pPr>
        <w:pStyle w:val="ATHeading3"/>
      </w:pPr>
      <w:bookmarkStart w:id="9" w:name="_Toc161836642"/>
      <w:r>
        <w:lastRenderedPageBreak/>
        <w:t>3. Rezolucja Parlamentu</w:t>
      </w:r>
      <w:r w:rsidR="0070287D" w:rsidRPr="00C37755">
        <w:t xml:space="preserve"> E</w:t>
      </w:r>
      <w:bookmarkEnd w:id="9"/>
      <w:r>
        <w:t>uropejskiego z dnia 11 kwietnia 2024 r. zawierająca</w:t>
      </w:r>
      <w:r w:rsidR="0070287D" w:rsidRPr="00C37755">
        <w:t xml:space="preserve"> uwagi stanowiące integralną część decyzji w sprawie absolutorium z wykonania budżetu Wspólnego Przedsięwzięcia na rzecz Czystego Wodoru za rok budżetowy 2022</w:t>
      </w:r>
      <w:r>
        <w:t xml:space="preserve"> </w:t>
      </w:r>
      <w:r w:rsidR="0070287D" w:rsidRPr="00C37755">
        <w:t>(2023/2175(DEC))</w:t>
      </w:r>
    </w:p>
    <w:p w:rsidR="0070287D" w:rsidRPr="00C37755" w:rsidRDefault="0070287D" w:rsidP="0070287D">
      <w:pPr>
        <w:pStyle w:val="EPComma"/>
      </w:pPr>
      <w:r w:rsidRPr="00C37755">
        <w:rPr>
          <w:i/>
        </w:rPr>
        <w:t>Parlament Europejski</w:t>
      </w:r>
      <w:r w:rsidRPr="00C37755">
        <w:t>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swoją decyzję w sprawie absolutorium z wykonania budżetu Wspólnego Przedsięwzięcia na rzecz Czystego Wodoru za rok budżetowy 2022,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art. 100 Regulaminu i załącznik V do Regulaminu,</w:t>
      </w:r>
    </w:p>
    <w:p w:rsidR="0070287D" w:rsidRPr="00C37755" w:rsidRDefault="0070287D" w:rsidP="0070287D">
      <w:pPr>
        <w:pStyle w:val="NormalHanging12a"/>
      </w:pPr>
      <w:r w:rsidRPr="00C37755">
        <w:t>–</w:t>
      </w:r>
      <w:r w:rsidRPr="00C37755">
        <w:tab/>
        <w:t>uwzględniając sprawozdanie Komisji Kontroli Budżetowej (A9-0089/2024),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A.</w:t>
      </w:r>
      <w:r w:rsidRPr="00C37755">
        <w:tab/>
      </w:r>
      <w:proofErr w:type="gramStart"/>
      <w:r w:rsidRPr="00C37755">
        <w:t>mając</w:t>
      </w:r>
      <w:proofErr w:type="gramEnd"/>
      <w:r w:rsidRPr="00C37755">
        <w:t xml:space="preserve"> na uwadze, że Wspólne Przedsięwzięcie na rzecz Czystego Wodoru (zwane dalej „Wspólnym Przedsięwzięciem </w:t>
      </w:r>
      <w:proofErr w:type="spellStart"/>
      <w:r w:rsidRPr="00C37755">
        <w:t>Clean</w:t>
      </w:r>
      <w:proofErr w:type="spellEnd"/>
      <w:r w:rsidRPr="00C37755">
        <w:t xml:space="preserve"> H2”) z siedzibą w Brukseli ustanowiono w listopadzie 2021 r. na okres kończący się 31 grudnia 2031 r. w ramach programu „Horyzont Europa” na mocy rozporządzenia Rady (UE) 2021/2085</w:t>
      </w:r>
      <w:r w:rsidRPr="00C37755">
        <w:rPr>
          <w:rStyle w:val="FootnoteReference"/>
        </w:rPr>
        <w:footnoteReference w:id="11"/>
      </w:r>
      <w:r w:rsidRPr="00C37755">
        <w:t xml:space="preserve">; mając na uwadze, że Wspólne Przedsięwzięcie </w:t>
      </w:r>
      <w:proofErr w:type="spellStart"/>
      <w:r w:rsidRPr="00C37755">
        <w:t>Clean</w:t>
      </w:r>
      <w:proofErr w:type="spellEnd"/>
      <w:r w:rsidRPr="00C37755">
        <w:t xml:space="preserve"> H2 zastąpiło Wspólne Przedsięwzięcie na rzecz Technologii Ogniw Paliwowych i Technologii Wodorowych (zwane dalej „Wspólnym Przedsięwzięciem FCH”), które ustanowiono w maju 2008 r. na okres do 31 grudnia 2017 r. w ramach siódmego ramowego programu badań na mocy rozporządzenia Rady (WE) nr 521/2008</w:t>
      </w:r>
      <w:r w:rsidRPr="00C37755">
        <w:rPr>
          <w:rStyle w:val="FootnoteReference"/>
        </w:rPr>
        <w:footnoteReference w:id="12"/>
      </w:r>
      <w:r w:rsidRPr="00C37755">
        <w:t xml:space="preserve"> i przedłużono w maju 2014 r. na okres do 31 grudnia 2024 r. w ramach programu „Horyzont 2020” </w:t>
      </w:r>
      <w:proofErr w:type="gramStart"/>
      <w:r w:rsidRPr="00C37755">
        <w:t>na</w:t>
      </w:r>
      <w:proofErr w:type="gramEnd"/>
      <w:r w:rsidRPr="00C37755">
        <w:t xml:space="preserve"> mocy rozporządzenia Rady (UE) nr 559/2014</w:t>
      </w:r>
      <w:r w:rsidRPr="00C37755">
        <w:rPr>
          <w:rStyle w:val="FootnoteReference"/>
        </w:rPr>
        <w:footnoteReference w:id="13"/>
      </w:r>
      <w:r w:rsidRPr="00C37755">
        <w:t xml:space="preserve"> („Wspólne Przedsięwzięcie FCH 2”);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B.</w:t>
      </w:r>
      <w:r w:rsidRPr="00C37755">
        <w:tab/>
        <w:t xml:space="preserve">mając na uwadze, że Wspólne Przedsięwzięcie </w:t>
      </w:r>
      <w:proofErr w:type="spellStart"/>
      <w:r w:rsidRPr="00C37755">
        <w:t>Clean</w:t>
      </w:r>
      <w:proofErr w:type="spellEnd"/>
      <w:r w:rsidRPr="00C37755">
        <w:t xml:space="preserve"> H2 jest partnerstwem publiczno-prywatnym działającym w zakresie badań i innowacji w dziedzinie technologii ogniw paliwowych i technologii wodorowych; mając na uwadze, że jego członkami założycielami są Unia, reprezentowana przez Komisję, zrzeszenie branżowe (</w:t>
      </w:r>
      <w:proofErr w:type="spellStart"/>
      <w:r w:rsidRPr="00C37755">
        <w:t>Hydrogen</w:t>
      </w:r>
      <w:proofErr w:type="spellEnd"/>
      <w:r w:rsidRPr="00C37755">
        <w:t xml:space="preserve"> Europe) oraz zrzeszenie podmiotów badawczych (</w:t>
      </w:r>
      <w:proofErr w:type="spellStart"/>
      <w:r w:rsidRPr="00C37755">
        <w:t>Hydrogen</w:t>
      </w:r>
      <w:proofErr w:type="spellEnd"/>
      <w:r w:rsidRPr="00C37755">
        <w:t xml:space="preserve"> Europe </w:t>
      </w:r>
      <w:proofErr w:type="spellStart"/>
      <w:r w:rsidRPr="00C37755">
        <w:t>Research</w:t>
      </w:r>
      <w:proofErr w:type="spellEnd"/>
      <w:r w:rsidRPr="00C37755">
        <w:t>);</w:t>
      </w:r>
    </w:p>
    <w:p w:rsidR="0070287D" w:rsidRPr="00C37755" w:rsidRDefault="0070287D" w:rsidP="0070287D">
      <w:pPr>
        <w:pStyle w:val="NormalHanging12a"/>
      </w:pPr>
      <w:r w:rsidRPr="00C37755">
        <w:t>C.</w:t>
      </w:r>
      <w:r w:rsidRPr="00C37755">
        <w:tab/>
      </w:r>
      <w:proofErr w:type="gramStart"/>
      <w:r w:rsidRPr="00C37755">
        <w:t>mając</w:t>
      </w:r>
      <w:proofErr w:type="gramEnd"/>
      <w:r w:rsidRPr="00C37755">
        <w:t xml:space="preserve"> na uwadze, że aby zwiększyć przejrzystość, Wspólne Przedsięwzięcie </w:t>
      </w:r>
      <w:proofErr w:type="spellStart"/>
      <w:r w:rsidRPr="00C37755">
        <w:t>Clean</w:t>
      </w:r>
      <w:proofErr w:type="spellEnd"/>
      <w:r w:rsidRPr="00C37755">
        <w:t xml:space="preserve"> H2 powinno ujawniać w swoich rocznych sprawozdaniach finansowych istotne informacje dotyczące wkładów członków na poziomie programu; mając na uwadze, że w odniesieniu do każdego programu, w którym uczestniczy, Wspólne Przedsięwzięcie </w:t>
      </w:r>
      <w:proofErr w:type="spellStart"/>
      <w:r w:rsidRPr="00C37755">
        <w:t>Clean</w:t>
      </w:r>
      <w:proofErr w:type="spellEnd"/>
      <w:r w:rsidRPr="00C37755">
        <w:t xml:space="preserve"> H2 powinno przedstawiać do końca roku w podziale na kategorie członków wszystkie istotne informacje, w tym obowiązujące wartości docelowe dotyczące wkładów ustalone dla danego programu, wysokość otrzymanych wkładów oraz </w:t>
      </w:r>
      <w:r w:rsidRPr="00C37755">
        <w:lastRenderedPageBreak/>
        <w:t xml:space="preserve">wysokość zobowiązań prawnych w tym zakresie; sugeruje, aby Wspólne Przedsięwzięcie </w:t>
      </w:r>
      <w:proofErr w:type="spellStart"/>
      <w:r w:rsidRPr="00C37755">
        <w:t>Clean</w:t>
      </w:r>
      <w:proofErr w:type="spellEnd"/>
      <w:r w:rsidRPr="00C37755">
        <w:t xml:space="preserve"> H2 dalej pracowało nad poprawą przejrzystości;</w:t>
      </w:r>
    </w:p>
    <w:p w:rsidR="0070287D" w:rsidRPr="00C37755" w:rsidRDefault="0070287D" w:rsidP="0070287D">
      <w:pPr>
        <w:spacing w:after="240"/>
        <w:ind w:left="567" w:hanging="567"/>
        <w:rPr>
          <w:b/>
          <w:i/>
        </w:rPr>
      </w:pPr>
      <w:r w:rsidRPr="00C37755">
        <w:rPr>
          <w:b/>
          <w:i/>
        </w:rPr>
        <w:t>Zarządzanie budżetem i finansami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sprawozdaniu Trybunału Obrachunkowego dotyczącym rocznego sprawozdania finansowego Wspólnego Przedsięwzięcia </w:t>
      </w:r>
      <w:proofErr w:type="spellStart"/>
      <w:r w:rsidRPr="00C37755">
        <w:t>Clean</w:t>
      </w:r>
      <w:proofErr w:type="spellEnd"/>
      <w:r w:rsidRPr="00C37755">
        <w:t xml:space="preserve"> H2 (zwanego dalej „sprawozdaniem Trybunału”) stwierdzono, że roczne sprawozdanie finansowe za 2022 r. rzetelnie przedstawia we wszystkich istotnych aspektach sytuację finansową Wspólnego Przedsięwzięcia </w:t>
      </w:r>
      <w:proofErr w:type="spellStart"/>
      <w:r w:rsidRPr="00C37755">
        <w:t>Clean</w:t>
      </w:r>
      <w:proofErr w:type="spellEnd"/>
      <w:r w:rsidRPr="00C37755">
        <w:t xml:space="preserve"> H2 na 31 grudnia 2022 r. oraz wyniki transakcji, przepływy pieniężne i zmiany w aktywach netto za zakończony w tym dniu rok budżetowy, zgodnie z jego regulaminem finansowym oraz z zasadami rachunkowości przyjętymi przez księgowego Komisji; na podstawie sprawozdania Trybunału zauważa ponadto, że transakcje leżące u podstaw rozliczeń są legalne i prawidłowe we wszystkich istotnych aspektach;</w:t>
      </w:r>
    </w:p>
    <w:p w:rsidR="0070287D" w:rsidRPr="00C37755" w:rsidRDefault="0070287D" w:rsidP="0070287D">
      <w:pPr>
        <w:pStyle w:val="NormalHanging12a"/>
      </w:pPr>
      <w:r w:rsidRPr="00C37755">
        <w:t>2.</w:t>
      </w:r>
      <w:r w:rsidRPr="00C37755">
        <w:tab/>
      </w:r>
      <w:proofErr w:type="gramStart"/>
      <w:r w:rsidRPr="00C37755">
        <w:t>z</w:t>
      </w:r>
      <w:proofErr w:type="gramEnd"/>
      <w:r w:rsidRPr="00C37755">
        <w:t xml:space="preserve"> zadowoleniem przyjmuje rolę Wspólnego Przedsięwzięcia </w:t>
      </w:r>
      <w:proofErr w:type="spellStart"/>
      <w:r w:rsidRPr="00C37755">
        <w:t>Clean</w:t>
      </w:r>
      <w:proofErr w:type="spellEnd"/>
      <w:r w:rsidRPr="00C37755">
        <w:t xml:space="preserve"> H2 we wspieraniu działań w zakresie badań naukowych i innowacji w dziedzinie technologii wodorowych w Europie;</w:t>
      </w:r>
    </w:p>
    <w:p w:rsidR="0070287D" w:rsidRPr="00C37755" w:rsidRDefault="0070287D" w:rsidP="0070287D">
      <w:pPr>
        <w:spacing w:after="240"/>
        <w:ind w:left="567" w:hanging="567"/>
        <w:rPr>
          <w:rFonts w:eastAsiaTheme="minorHAnsi"/>
          <w:szCs w:val="24"/>
        </w:rPr>
      </w:pPr>
      <w:r w:rsidRPr="00C37755">
        <w:t>3.</w:t>
      </w:r>
      <w:r w:rsidRPr="00C37755">
        <w:tab/>
      </w:r>
      <w:proofErr w:type="gramStart"/>
      <w:r w:rsidRPr="00C37755">
        <w:t>zauważa</w:t>
      </w:r>
      <w:proofErr w:type="gramEnd"/>
      <w:r w:rsidRPr="00C37755">
        <w:t>, że dostępny budżet na rok 2022 r.</w:t>
      </w:r>
      <w:r w:rsidRPr="00C37755">
        <w:rPr>
          <w:rStyle w:val="FootnoteReference"/>
        </w:rPr>
        <w:footnoteReference w:id="14"/>
      </w:r>
      <w:r w:rsidRPr="00C37755">
        <w:t xml:space="preserve"> w środkach na zobowiązania</w:t>
      </w:r>
      <w:r w:rsidRPr="00C37755">
        <w:rPr>
          <w:rStyle w:val="FootnoteReference"/>
        </w:rPr>
        <w:footnoteReference w:id="15"/>
      </w:r>
      <w:r w:rsidRPr="00C37755">
        <w:t xml:space="preserve"> wyniósł 314,3 mln EUR (w porównaniu do 15,8 mln EUR w 2021 r.), z czego 305,8 mln EUR na działania operacyjne i 8 mln EUR na wydatki administracyjne, a w środkach na płatności</w:t>
      </w:r>
      <w:r w:rsidRPr="00C37755">
        <w:rPr>
          <w:rStyle w:val="FootnoteReference"/>
        </w:rPr>
        <w:footnoteReference w:id="16"/>
      </w:r>
      <w:r w:rsidRPr="00C37755">
        <w:t xml:space="preserve"> wyniósł 118,3 mln EUR (w porównaniu do 56,2 mln EUR w 2021 r.), z czego 109,7 mln EUR na działalność operacyjną i 8,1 mln EUR na wydatki administracyjne;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4.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zmiany w wysokości budżetu Wspólnego Przedsięwzięcia </w:t>
      </w:r>
      <w:proofErr w:type="spellStart"/>
      <w:r w:rsidRPr="00C37755">
        <w:t>Clean</w:t>
      </w:r>
      <w:proofErr w:type="spellEnd"/>
      <w:r w:rsidRPr="00C37755">
        <w:t xml:space="preserve"> H2 wynikają w dużej mierze z tego, na jakim etapie wdrażania są w danym roku wieloletnie programy w dziedzinie badań naukowych i innowacji; zauważa, że w 2022 r. Wspólne Przedsięwzięcie </w:t>
      </w:r>
      <w:proofErr w:type="spellStart"/>
      <w:r w:rsidRPr="00C37755">
        <w:t>Clean</w:t>
      </w:r>
      <w:proofErr w:type="spellEnd"/>
      <w:r w:rsidRPr="00C37755">
        <w:t xml:space="preserve"> H2 rozpoczęło realizację programu „Horyzont Europa” i że w związku z tym budżet na 2022 r. obejmuje budżet na zobowiązania na potrzeby pierwszych zaproszeń do składania wniosków w ramach programu „Horyzont Europa” zaplanowanych na 2022 r. oraz budżet na płatności z tytułu powiązanych płatności zaliczkowych;</w:t>
      </w:r>
    </w:p>
    <w:p w:rsidR="0070287D" w:rsidRPr="00C37755" w:rsidRDefault="0070287D" w:rsidP="0070287D">
      <w:pPr>
        <w:pStyle w:val="NormalHanging12a"/>
      </w:pPr>
      <w:r w:rsidRPr="00C37755">
        <w:t>5.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jak stwierdza Trybunał Obrachunkowy (zwany dalej „Trybunałem”), informacje na temat wkładu członków na poziomie programu są niewystarczające; z zadowoleniem przyjmuje zobowiązanie Wspólnego Przedsięwzięcia </w:t>
      </w:r>
      <w:proofErr w:type="spellStart"/>
      <w:r w:rsidRPr="00C37755">
        <w:t>Clean</w:t>
      </w:r>
      <w:proofErr w:type="spellEnd"/>
      <w:r w:rsidRPr="00C37755">
        <w:t xml:space="preserve"> H2 do </w:t>
      </w:r>
      <w:r w:rsidRPr="00C37755">
        <w:lastRenderedPageBreak/>
        <w:t>zajęcia się tą kwestią;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6.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sprawozdaniu finansowym Wspólnego Przedsięwzięcia </w:t>
      </w:r>
      <w:proofErr w:type="spellStart"/>
      <w:r w:rsidRPr="00C37755">
        <w:t>Clean</w:t>
      </w:r>
      <w:proofErr w:type="spellEnd"/>
      <w:r w:rsidRPr="00C37755">
        <w:t xml:space="preserve"> H2 za 2022 r. występują znaczne różnice, jeśli chodzi o kwoty wkładów uznanych w przypadku poszczególnych kategorii członków (UE, członkowie prywatni); zauważa, że różnice te wynikają z faktu, że wkłady pieniężne wnoszone przez Unię są zatwierdzane i uznawane w momencie wypłacenia środków Wspólnemu Przedsięwzięciu </w:t>
      </w:r>
      <w:proofErr w:type="spellStart"/>
      <w:r w:rsidRPr="00C37755">
        <w:t>Clean</w:t>
      </w:r>
      <w:proofErr w:type="spellEnd"/>
      <w:r w:rsidRPr="00C37755">
        <w:t xml:space="preserve"> H2 na początku wdrażania projektu, natomiast wkłady rzeczowe uczestników są uznawane dopiero po zatwierdzeniu kosztów poniesionych i zgłoszonych w ramach realizacji projektu;</w:t>
      </w:r>
    </w:p>
    <w:p w:rsidR="0070287D" w:rsidRPr="00C37755" w:rsidRDefault="0070287D" w:rsidP="0070287D">
      <w:pPr>
        <w:pStyle w:val="NormalHanging12a"/>
      </w:pPr>
      <w:r w:rsidRPr="00C37755">
        <w:t>7.</w:t>
      </w:r>
      <w:r w:rsidRPr="00C37755">
        <w:tab/>
      </w:r>
      <w:proofErr w:type="gramStart"/>
      <w:r w:rsidRPr="00C37755">
        <w:t>wzywa</w:t>
      </w:r>
      <w:proofErr w:type="gramEnd"/>
      <w:r w:rsidRPr="00C37755">
        <w:t xml:space="preserve"> Wspólne Przedsięwzięcie </w:t>
      </w:r>
      <w:proofErr w:type="spellStart"/>
      <w:r w:rsidRPr="00C37755">
        <w:t>Clean</w:t>
      </w:r>
      <w:proofErr w:type="spellEnd"/>
      <w:r w:rsidRPr="00C37755">
        <w:t xml:space="preserve"> H2 do wyeliminowania rozbieżności między uznaną kwotą wkładów pieniężnych a kwotą wkładów rzeczowych przez dostarczanie informacji na temat zobowiązań prawnych członków Wspólnego Przedsięwzięcia </w:t>
      </w:r>
      <w:proofErr w:type="spellStart"/>
      <w:r w:rsidRPr="00C37755">
        <w:t>Clean</w:t>
      </w:r>
      <w:proofErr w:type="spellEnd"/>
      <w:r w:rsidRPr="00C37755">
        <w:t xml:space="preserve"> H2 na koniec roku w odniesieniu do podpisanych umów o udzielenie dotacji i udzielonych zamówień;</w:t>
      </w:r>
    </w:p>
    <w:p w:rsidR="0070287D" w:rsidRPr="00C37755" w:rsidRDefault="0070287D" w:rsidP="0070287D">
      <w:pPr>
        <w:pStyle w:val="NormalHanging12a"/>
      </w:pPr>
      <w:r w:rsidRPr="00C37755">
        <w:t>8.</w:t>
      </w:r>
      <w:r w:rsidRPr="00C37755">
        <w:tab/>
      </w:r>
      <w:proofErr w:type="gramStart"/>
      <w:r w:rsidRPr="00C37755">
        <w:t>z</w:t>
      </w:r>
      <w:proofErr w:type="gramEnd"/>
      <w:r w:rsidRPr="00C37755">
        <w:t xml:space="preserve"> zadowoleniem przyjmuje, że jeśli chodzi o realizację siódmego ramowego programu badań, Wspólne Przedsięwzięcie </w:t>
      </w:r>
      <w:proofErr w:type="spellStart"/>
      <w:r w:rsidRPr="00C37755">
        <w:t>Clean</w:t>
      </w:r>
      <w:proofErr w:type="spellEnd"/>
      <w:r w:rsidRPr="00C37755">
        <w:t xml:space="preserve"> H2 osiągnęło docelowe wkłady członków;</w:t>
      </w:r>
    </w:p>
    <w:p w:rsidR="0070287D" w:rsidRPr="00C37755" w:rsidRDefault="0070287D" w:rsidP="0070287D">
      <w:pPr>
        <w:spacing w:after="240"/>
        <w:ind w:left="567" w:hanging="567"/>
        <w:rPr>
          <w:rFonts w:eastAsiaTheme="minorHAnsi"/>
          <w:szCs w:val="24"/>
        </w:rPr>
      </w:pPr>
      <w:r w:rsidRPr="00C37755">
        <w:t>9.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według stanu na koniec 2022 r. Wspólne Przedsięwzięcie </w:t>
      </w:r>
      <w:proofErr w:type="spellStart"/>
      <w:r w:rsidRPr="00C37755">
        <w:t>Clean</w:t>
      </w:r>
      <w:proofErr w:type="spellEnd"/>
      <w:r w:rsidRPr="00C37755">
        <w:t xml:space="preserve"> H2 zaciągnęło zobowiązania w wysokości 425,8 mln EUR na poczet podpisanych umów o udzielenie dotacji w ramach siódmego ramowego programu badań; tym samym wykorzystało ono 95 % maksymalnej kwoty wkładu UE na rzecz działalności operacyjnej w wysokości 450 mln EUR; stwierdza, że około 3 mln EUR z tej kwoty objętej zobowiązaniami (tj. 0,7 %) pozostaje do wypłaty w 2023 r. w momencie zamknięcia ostatniego projektu z siódmego ramowego programu badań będącego w toku; zauważa ponadto, że na koniec 2022 r. członkowie prywatni zobowiązali się przekazać wkłady rzeczowe na poziomie minimalnej wartości docelowej w kwocie 450 mln EUR, która została w </w:t>
      </w:r>
      <w:proofErr w:type="gramStart"/>
      <w:r w:rsidRPr="00C37755">
        <w:t>pełni</w:t>
      </w:r>
      <w:proofErr w:type="gramEnd"/>
      <w:r w:rsidRPr="00C37755">
        <w:t xml:space="preserve"> zatwierdzona przez Wspólne Przedsięwzięcie </w:t>
      </w:r>
      <w:proofErr w:type="spellStart"/>
      <w:r w:rsidRPr="00C37755">
        <w:t>Clean</w:t>
      </w:r>
      <w:proofErr w:type="spellEnd"/>
      <w:r w:rsidRPr="00C37755">
        <w:t xml:space="preserve"> H2;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10.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odniesieniu do programu „Horyzont 2020” niski poziom zatwierdzonych wkładów rzeczowych członków prywatnych na działania operacyjne wynoszący 51,7 mln EUR (w 2021 r. 38,6 mln EUR) wynika z faktu, że Wspólne Przedsięwzięcie </w:t>
      </w:r>
      <w:proofErr w:type="spellStart"/>
      <w:r w:rsidRPr="00C37755">
        <w:t>Clean</w:t>
      </w:r>
      <w:proofErr w:type="spellEnd"/>
      <w:r w:rsidRPr="00C37755">
        <w:t xml:space="preserve"> H2 certyfikuje je później, kiedy dokonywane są płatności końcowe za projekty w ramach programu „Horyzont 2020” i zapada termin wymagalności zaświadczeń o sprawozdaniach finansowych;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11.</w:t>
      </w:r>
      <w:r w:rsidRPr="00C37755">
        <w:tab/>
      </w:r>
      <w:proofErr w:type="gramStart"/>
      <w:r w:rsidRPr="00C37755">
        <w:t>na</w:t>
      </w:r>
      <w:proofErr w:type="gramEnd"/>
      <w:r w:rsidRPr="00C37755">
        <w:t xml:space="preserve"> podstawie sprawozdania Trybunału zauważa, że zobowiązania prawne członków kształtują się na poziomie docelowych wkładów;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12.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jeśli chodzi o osiągnięcia Wspólnego Przedsięwzięcia </w:t>
      </w:r>
      <w:proofErr w:type="spellStart"/>
      <w:r w:rsidRPr="00C37755">
        <w:t>Clean</w:t>
      </w:r>
      <w:proofErr w:type="spellEnd"/>
      <w:r w:rsidRPr="00C37755">
        <w:t xml:space="preserve"> H2 w ramach programu „Horyzont 2020” pod względem podpisanych umów i kontraktów w sprawie dotacji, na koniec 2022 r. Wspólne Przedsięwzięcie </w:t>
      </w:r>
      <w:proofErr w:type="spellStart"/>
      <w:r w:rsidRPr="00C37755">
        <w:t>Clean</w:t>
      </w:r>
      <w:proofErr w:type="spellEnd"/>
      <w:r w:rsidRPr="00C37755">
        <w:t xml:space="preserve"> H2 w pełni wykorzystało maksymalny wkład operacyjny Unii w wysokości 646 mln EUR na podpisane umowy o dotację i kontrakty w ramach tego programu; wskazuje ponadto, że z tej kwoty zaciągniętych zobowiązań do wypłaty w nadchodzących latach pozostaje ok. 88,5 mln EUR (tj. 13,7 %) na projekty i zamówienia, które nie zostały jeszcze ukończone;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lastRenderedPageBreak/>
        <w:t>13.</w:t>
      </w:r>
      <w:r w:rsidRPr="00C37755">
        <w:tab/>
      </w:r>
      <w:proofErr w:type="gramStart"/>
      <w:r w:rsidRPr="00C37755">
        <w:t>stwierdza</w:t>
      </w:r>
      <w:proofErr w:type="gramEnd"/>
      <w:r w:rsidRPr="00C37755">
        <w:t xml:space="preserve"> ponadto, że członkowie prywatni zobowiązali się przekazać wkłady rzeczowe z tytułu działalności operacyjnej Wspólnego Przedsięwzięcia </w:t>
      </w:r>
      <w:proofErr w:type="spellStart"/>
      <w:r w:rsidRPr="00C37755">
        <w:t>Clean</w:t>
      </w:r>
      <w:proofErr w:type="spellEnd"/>
      <w:r w:rsidRPr="00C37755">
        <w:t xml:space="preserve"> H2 na poziomie 190,5 mln EUR oraz wkłady rzeczowe z tytułu działalności dodatkowej na poziomie 1,039 mld EUR, co odpowiada 340,6 % minimalnej wartości docelowej w wysokości 361 mln EUR; zauważa, że powyższe kwoty objęte zobowiązaniami zostały w całości zgłoszone na koniec 2022 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14.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jeśli chodzi o działania w ramach programu „Horyzont 2020”, Wspólne Przedsięwzięcie </w:t>
      </w:r>
      <w:proofErr w:type="spellStart"/>
      <w:r w:rsidRPr="00C37755">
        <w:t>Clean</w:t>
      </w:r>
      <w:proofErr w:type="spellEnd"/>
      <w:r w:rsidRPr="00C37755">
        <w:t xml:space="preserve"> H2 nie uzyskało żadnych nowych środków na zobowiązania z tytułu działalności operacyjnej, ponieważ ostatnie ogłoszone przez nie zaproszenie do składania wniosków zamknięto z końcem 2020 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15.</w:t>
      </w:r>
      <w:r w:rsidRPr="00C37755">
        <w:tab/>
      </w:r>
      <w:proofErr w:type="gramStart"/>
      <w:r w:rsidRPr="00C37755">
        <w:t>na</w:t>
      </w:r>
      <w:proofErr w:type="gramEnd"/>
      <w:r w:rsidRPr="00C37755">
        <w:t xml:space="preserve"> podstawie sprawozdania Trybunału zauważa, że wykonanie płatności operacyjnych z budżetu na 2022 r. na działania w ramach programu „Horyzont 2020” spadło (81 % w 2022 r. w porównaniu z 88 % w 2021 r.), co wynikało z rosnących kosztów i problemów z dostawami, z jakimi borykali się beneficjenci w związku z kryzysem spowodowanym pandemią COVID-19 i wojną napastniczą w Ukrainie, w związku z czym czas trwania większości projektów w ramach programu „Horyzont 2020” musiał zostać przedłużony, a płatności końcowe przesunięte na 2023 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16.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odniesieniu do programu „Horyzont Europa” w 2022 r. Komisja przekazała wkłady pieniężne w wysokości 80 mln EUR, z czego Wspólne Przedsięwzięcie </w:t>
      </w:r>
      <w:proofErr w:type="spellStart"/>
      <w:r w:rsidRPr="00C37755">
        <w:t>Clean</w:t>
      </w:r>
      <w:proofErr w:type="spellEnd"/>
      <w:r w:rsidRPr="00C37755">
        <w:t xml:space="preserve"> H2 wykorzystało 47 mln EUR (tj. 59 %) na płatności zaliczkowe związane z pierwszymi umowami o udzielenie dotacji zawartymi w ramach programu „Horyzont Europa”;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17.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Wspólne Przedsięwzięcie </w:t>
      </w:r>
      <w:proofErr w:type="spellStart"/>
      <w:r w:rsidRPr="00C37755">
        <w:t>Clean</w:t>
      </w:r>
      <w:proofErr w:type="spellEnd"/>
      <w:r w:rsidRPr="00C37755">
        <w:t xml:space="preserve"> H2 ogłosiło pierwsze zaproszenie do składania wniosków dotyczących wodoru w ramach programu „Horyzont Europa” o łącznej wartości 300 mln EUR; zauważa, że etap oceny w ramach naboru w 2022 r. zakończył się wycofaniem czterech tematów, dla których nie złożono odpowiednich wniosków</w:t>
      </w:r>
      <w:r w:rsidRPr="00C37755">
        <w:rPr>
          <w:rStyle w:val="FootnoteReference"/>
        </w:rPr>
        <w:footnoteReference w:id="17"/>
      </w:r>
      <w:r w:rsidRPr="00C37755">
        <w:t xml:space="preserve">; zauważa, że Wspólne Przedsięwzięcie </w:t>
      </w:r>
      <w:proofErr w:type="spellStart"/>
      <w:r w:rsidRPr="00C37755">
        <w:t>Clean</w:t>
      </w:r>
      <w:proofErr w:type="spellEnd"/>
      <w:r w:rsidRPr="00C37755">
        <w:t xml:space="preserve"> H2 przeniosło niewykorzystany budżet na płatności w wysokości 33 mln EUR na 2023 r. z przeznaczeniem na płatności zaliczkowe związane z nowymi umowami o udzielenie dotacji, które miały zostać podpisane na początku 2023 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18.</w:t>
      </w:r>
      <w:r w:rsidRPr="00C37755">
        <w:tab/>
      </w:r>
      <w:proofErr w:type="gramStart"/>
      <w:r w:rsidRPr="00C37755">
        <w:t>na</w:t>
      </w:r>
      <w:proofErr w:type="gramEnd"/>
      <w:r w:rsidRPr="00C37755">
        <w:t xml:space="preserve"> podstawie sprawozdania Trybunału zauważa, że na koniec 2022 r. wskaźniki wykonania budżetu administracyjnego (tytuł 2) były niskie i wynosiły 62 % w przypadku środków na zobowiązania i 51 % w przypadku środków na płatności; zauważa, że jak wyjaśniło Wspólne Przedsięwzięcie </w:t>
      </w:r>
      <w:proofErr w:type="spellStart"/>
      <w:r w:rsidRPr="00C37755">
        <w:t>Clean</w:t>
      </w:r>
      <w:proofErr w:type="spellEnd"/>
      <w:r w:rsidRPr="00C37755">
        <w:t xml:space="preserve"> H2, ten niski poziom wykonania budżetu administracyjnego był spowodowany zawieszeniem płatności w związku z organizacją Tygodnia Wodoru, przełożonym zamówieniem na remont budynku biurowego oraz opóźnionym zawarciem ważnej umowy ramowej o świadczenie usług;</w:t>
      </w:r>
    </w:p>
    <w:p w:rsidR="0070287D" w:rsidRPr="00C37755" w:rsidRDefault="0070287D" w:rsidP="0070287D">
      <w:pPr>
        <w:spacing w:after="240"/>
        <w:ind w:left="720" w:hanging="720"/>
        <w:rPr>
          <w:b/>
          <w:i/>
        </w:rPr>
      </w:pPr>
      <w:r w:rsidRPr="00C37755">
        <w:rPr>
          <w:b/>
          <w:i/>
        </w:rPr>
        <w:t>Zamówienia i personel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19.</w:t>
      </w:r>
      <w:r w:rsidRPr="00C37755">
        <w:tab/>
      </w:r>
      <w:proofErr w:type="gramStart"/>
      <w:r w:rsidRPr="00C37755">
        <w:t>na</w:t>
      </w:r>
      <w:proofErr w:type="gramEnd"/>
      <w:r w:rsidRPr="00C37755">
        <w:t xml:space="preserve"> podstawie skonsolidowanego rocznego sprawozdania z działalności zauważa, że w </w:t>
      </w:r>
      <w:r w:rsidRPr="00C37755">
        <w:lastRenderedPageBreak/>
        <w:t xml:space="preserve">2022 r., zgodnie z praktyką Wspólnego Przedsięwzięcia </w:t>
      </w:r>
      <w:proofErr w:type="spellStart"/>
      <w:r w:rsidRPr="00C37755">
        <w:t>Clean</w:t>
      </w:r>
      <w:proofErr w:type="spellEnd"/>
      <w:r w:rsidRPr="00C37755">
        <w:t xml:space="preserve"> H2 z poprzednich lat, zarządzanie przetargami i umowami uwzględniło międzyinstytucjonalne procedury udzielania zamówień wszczynane przez Komisję lub inne organy UE oraz wynikające z nich wieloletnie umowy ramowe; zauważa również, że Wspólne Przedsięwzięcie </w:t>
      </w:r>
      <w:proofErr w:type="spellStart"/>
      <w:r w:rsidRPr="00C37755">
        <w:t>Clean</w:t>
      </w:r>
      <w:proofErr w:type="spellEnd"/>
      <w:r w:rsidRPr="00C37755">
        <w:t xml:space="preserve"> H2 współpracuje z innymi wspólnymi przedsięwzięciami w kwestii zapotrzebowania na przetargi, by odciążyć administrację;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20.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Wspólne Przedsięwzięcie </w:t>
      </w:r>
      <w:proofErr w:type="spellStart"/>
      <w:r w:rsidRPr="00C37755">
        <w:t>Clean</w:t>
      </w:r>
      <w:proofErr w:type="spellEnd"/>
      <w:r w:rsidRPr="00C37755">
        <w:t xml:space="preserve"> H2 intensywnie korzystało z modułów </w:t>
      </w:r>
      <w:proofErr w:type="spellStart"/>
      <w:r w:rsidRPr="00C37755">
        <w:t>eTendering</w:t>
      </w:r>
      <w:proofErr w:type="spellEnd"/>
      <w:r w:rsidRPr="00C37755">
        <w:t xml:space="preserve">, </w:t>
      </w:r>
      <w:proofErr w:type="spellStart"/>
      <w:r w:rsidRPr="00C37755">
        <w:t>eNotices</w:t>
      </w:r>
      <w:proofErr w:type="spellEnd"/>
      <w:r w:rsidRPr="00C37755">
        <w:t xml:space="preserve"> i </w:t>
      </w:r>
      <w:proofErr w:type="spellStart"/>
      <w:r w:rsidRPr="00C37755">
        <w:t>eSubmission</w:t>
      </w:r>
      <w:proofErr w:type="spellEnd"/>
      <w:r w:rsidRPr="00C37755">
        <w:t xml:space="preserve"> oraz rozpoczęło proces integracji narzędzia do zarządzania zamówieniami publicznymi (PPMT), które zacznie działać w 2023 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21.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zespół pracowników etatowych Wspólnego Przedsięwzięcia </w:t>
      </w:r>
      <w:proofErr w:type="spellStart"/>
      <w:r w:rsidRPr="00C37755">
        <w:t>Clean</w:t>
      </w:r>
      <w:proofErr w:type="spellEnd"/>
      <w:r w:rsidRPr="00C37755">
        <w:t xml:space="preserve"> H2 zajmuje 29 stanowisk (27 pracowników zatrudnionych na czas określony i 2 pracowników kontraktowych); zauważa ponadto, że zasoby kadrowe obejmują dwóch oddelegowanych ekspertów krajowych;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22.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na podstawie skonsolidowanego rocznego sprawozdania z działalności za rok 2022, że cyfrowe stanowisko pracy każdego pracownika jest stale unowocześniane: pracownikom Wspólnego Przedsięwzięcia </w:t>
      </w:r>
      <w:proofErr w:type="spellStart"/>
      <w:r w:rsidRPr="00C37755">
        <w:t>Clean</w:t>
      </w:r>
      <w:proofErr w:type="spellEnd"/>
      <w:r w:rsidRPr="00C37755">
        <w:t xml:space="preserve"> H2 zapewniono odpowiedni dostęp do pełnego zestawu aplikacji Komisji do zarządzania dotacjami; wymiana sprzętu komputerowego odbyła się zgodnie z planem wraz z niezbędnym odnowieniem licencji na podstawowe aplikacje, takie jak </w:t>
      </w:r>
      <w:proofErr w:type="spellStart"/>
      <w:r w:rsidRPr="00C37755">
        <w:t>Slido</w:t>
      </w:r>
      <w:proofErr w:type="spellEnd"/>
      <w:r w:rsidRPr="00C37755">
        <w:t xml:space="preserve">, </w:t>
      </w:r>
      <w:proofErr w:type="spellStart"/>
      <w:r w:rsidRPr="00C37755">
        <w:t>Webex</w:t>
      </w:r>
      <w:proofErr w:type="spellEnd"/>
      <w:r w:rsidRPr="00C37755">
        <w:t>, Business Object, Adobe czy telefonia komórkowa, co zapewniło każdemu pracownikowi większą elastyczność w ramach nowego schematu pracy zdalnej;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23.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zgodnie z regulaminem pracowniczym urzędników Unii Europejskiej i warunkami zatrudnienia innych pracowników Unii Europejskiej określonymi w rozporządzeniu Rady (EWG, </w:t>
      </w:r>
      <w:proofErr w:type="spellStart"/>
      <w:r w:rsidRPr="00C37755">
        <w:t>Euratom</w:t>
      </w:r>
      <w:proofErr w:type="spellEnd"/>
      <w:r w:rsidRPr="00C37755">
        <w:t xml:space="preserve">, </w:t>
      </w:r>
      <w:proofErr w:type="spellStart"/>
      <w:r w:rsidRPr="00C37755">
        <w:t>EWWiS</w:t>
      </w:r>
      <w:proofErr w:type="spellEnd"/>
      <w:r w:rsidRPr="00C37755">
        <w:t>) nr 259/68</w:t>
      </w:r>
      <w:r w:rsidRPr="00C37755">
        <w:rPr>
          <w:rStyle w:val="FootnoteReference"/>
        </w:rPr>
        <w:footnoteReference w:id="18"/>
      </w:r>
      <w:r w:rsidRPr="00C37755">
        <w:t xml:space="preserve"> oraz z wytycznymi Wspólnego Przedsięwzięcia </w:t>
      </w:r>
      <w:proofErr w:type="spellStart"/>
      <w:r w:rsidRPr="00C37755">
        <w:t>Clean</w:t>
      </w:r>
      <w:proofErr w:type="spellEnd"/>
      <w:r w:rsidRPr="00C37755">
        <w:t xml:space="preserve"> H2, komitet pracowniczy powinien wyznaczyć co najmniej jednego członka komisji rekrutacyjnej przeprowadzającej nabór zewnętrzny; zauważa, że jak stwierdził Trybunał, w komisji rekrutacyjnej na potrzeby skontrolowanej procedury rekrutacyjnej nie znalazł się członek wyznaczony przez komitet pracowniczy, ponieważ Wspólne Przedsięwzięcie </w:t>
      </w:r>
      <w:proofErr w:type="spellStart"/>
      <w:r w:rsidRPr="00C37755">
        <w:t>Clean</w:t>
      </w:r>
      <w:proofErr w:type="spellEnd"/>
      <w:r w:rsidRPr="00C37755">
        <w:t xml:space="preserve"> H2 nie mogło utworzyć komitetu pracowniczego z powodu braku zainteresowania wśród pracowników, których kilkakrotnie proszono o wyrażenie zainteresowania;</w:t>
      </w:r>
    </w:p>
    <w:p w:rsidR="0070287D" w:rsidRPr="00C37755" w:rsidRDefault="0070287D" w:rsidP="0070287D">
      <w:pPr>
        <w:spacing w:after="240"/>
        <w:ind w:left="720" w:hanging="720"/>
        <w:rPr>
          <w:b/>
          <w:i/>
        </w:rPr>
      </w:pPr>
      <w:r w:rsidRPr="00C37755">
        <w:rPr>
          <w:b/>
          <w:i/>
        </w:rPr>
        <w:t>Systemy zarządzania i kontroli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24.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przypadku wydatków z siódmego ramowego programu badań Wspólne Przedsięwzięcie </w:t>
      </w:r>
      <w:proofErr w:type="spellStart"/>
      <w:r w:rsidRPr="00C37755">
        <w:t>Clean</w:t>
      </w:r>
      <w:proofErr w:type="spellEnd"/>
      <w:r w:rsidRPr="00C37755">
        <w:t xml:space="preserve"> H2 przeprowadziło audyty </w:t>
      </w:r>
      <w:r w:rsidRPr="00C37755">
        <w:rPr>
          <w:i/>
          <w:iCs/>
        </w:rPr>
        <w:t>ex post</w:t>
      </w:r>
      <w:r w:rsidRPr="00C37755">
        <w:t xml:space="preserve">, podczas gdy Wspólna Służba Audytu Dyrekcji Generalnej Komisji ds. Badań Naukowych i Innowacji była odpowiedzialna za audyty </w:t>
      </w:r>
      <w:r w:rsidRPr="00C37755">
        <w:rPr>
          <w:i/>
          <w:iCs/>
        </w:rPr>
        <w:t>ex post</w:t>
      </w:r>
      <w:r w:rsidRPr="00C37755">
        <w:t xml:space="preserve"> wydatków z programów „Horyzont 2020” i „Horyzont Europa”; zauważa ponadto, że w przypadku końcowych wydatków z siódmego ramowego programu badań poniesionych w 2022 r. Wspólne Przedsięwzięcie </w:t>
      </w:r>
      <w:proofErr w:type="spellStart"/>
      <w:r w:rsidRPr="00C37755">
        <w:t>Clean</w:t>
      </w:r>
      <w:proofErr w:type="spellEnd"/>
      <w:r w:rsidRPr="00C37755">
        <w:t xml:space="preserve"> H2 nie przeprowadziło kontroli </w:t>
      </w:r>
      <w:r w:rsidRPr="00C37755">
        <w:rPr>
          <w:i/>
          <w:iCs/>
        </w:rPr>
        <w:t>ex post</w:t>
      </w:r>
      <w:r w:rsidRPr="00C37755">
        <w:t xml:space="preserve"> ze względu na nieznaczne kwoty i w związku z tym opublikowało jako ostateczne poziomy błędu dla wydatków w ramach siódmego ramowego programu badań reprezentatywny poziom błędu w wysokości 2,0 % i poziom błędu rezydualnego </w:t>
      </w:r>
      <w:proofErr w:type="gramStart"/>
      <w:r w:rsidRPr="00C37755">
        <w:t>w</w:t>
      </w:r>
      <w:proofErr w:type="gramEnd"/>
      <w:r w:rsidRPr="00C37755">
        <w:t xml:space="preserve"> wysokości 1,1 %, które osiągnęło na koniec </w:t>
      </w:r>
      <w:r w:rsidRPr="00C37755">
        <w:lastRenderedPageBreak/>
        <w:t>2021 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25.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Wspólne Przedsięwzięcie </w:t>
      </w:r>
      <w:proofErr w:type="spellStart"/>
      <w:r w:rsidRPr="00C37755">
        <w:t>Clean</w:t>
      </w:r>
      <w:proofErr w:type="spellEnd"/>
      <w:r w:rsidRPr="00C37755">
        <w:t xml:space="preserve"> H2 poinformowało o reprezentatywnym poziomie błędu wynoszącym 2,9 % i poziomie błędu rezydualnego sięgającym 0,9 %</w:t>
      </w:r>
      <w:r w:rsidRPr="00C37755">
        <w:rPr>
          <w:rStyle w:val="FootnoteReference"/>
        </w:rPr>
        <w:footnoteReference w:id="19"/>
      </w:r>
      <w:r w:rsidRPr="00C37755">
        <w:t xml:space="preserve"> w wydatkach z programu „Horyzont 2020” (rozliczenia i płatności końcowe); zauważa ponadto, że jeśli chodzi o program „Horyzont Europa”, nie przeprowadzono dotychczas audytów </w:t>
      </w:r>
      <w:r w:rsidRPr="00C37755">
        <w:rPr>
          <w:i/>
          <w:iCs/>
        </w:rPr>
        <w:t>ex post</w:t>
      </w:r>
      <w:r w:rsidRPr="00C37755">
        <w:t>, ponieważ pierwsze płatności okresowe są planowane dopiero na 2024 r.;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26.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ramach oceny mechanizmów kontroli mających zastosowanie do płatności z tytułu działalności operacyjnej Wspólnego Przedsięwzięcia </w:t>
      </w:r>
      <w:proofErr w:type="spellStart"/>
      <w:r w:rsidRPr="00C37755">
        <w:t>Clean</w:t>
      </w:r>
      <w:proofErr w:type="spellEnd"/>
      <w:r w:rsidRPr="00C37755">
        <w:t xml:space="preserve"> H2 Trybunał zbadał losowo dobraną próbę płatności z programu „Horyzont 2020” dokonanych w 2022 r. na poziomie beneficjentów końcowych</w:t>
      </w:r>
      <w:r w:rsidRPr="00C37755">
        <w:rPr>
          <w:rStyle w:val="FootnoteReference"/>
        </w:rPr>
        <w:footnoteReference w:id="20"/>
      </w:r>
      <w:r w:rsidRPr="00C37755">
        <w:t>; zauważa, że w jednej sprawie Trybunał wykrył i skwantyfikował poważny błąd wynikający z kosztów kadrowych, ponieważ beneficjent zadeklarował godziny przepracowane w okresach urlopowych i uwzględnił w zadeklarowanych kosztach niekwalifikowalne koszty dodatkowego wynagrodzenia, a w innej sprawie Trybunał wykrył i skwantyfikował poważny błąd wynikający z zadeklarowanych kosztów sprzętu, z którego beneficjent nie korzystał w okresie sprawozdawczym, oraz z nieprawidłowo obliczonych kosztów kadrowych;</w:t>
      </w:r>
    </w:p>
    <w:p w:rsidR="0070287D" w:rsidRPr="00C37755" w:rsidRDefault="0070287D" w:rsidP="0070287D">
      <w:pPr>
        <w:pStyle w:val="NormalHanging12a"/>
      </w:pPr>
      <w:r w:rsidRPr="00C37755">
        <w:t>27.</w:t>
      </w:r>
      <w:r w:rsidRPr="00C37755">
        <w:tab/>
      </w:r>
      <w:proofErr w:type="gramStart"/>
      <w:r w:rsidRPr="00C37755">
        <w:t>z</w:t>
      </w:r>
      <w:proofErr w:type="gramEnd"/>
      <w:r w:rsidRPr="00C37755">
        <w:t xml:space="preserve"> zadowoleniem stwierdza, że na koniec 2022 r. Wspólne Przedsięwzięcie </w:t>
      </w:r>
      <w:proofErr w:type="spellStart"/>
      <w:r w:rsidRPr="00C37755">
        <w:t>Clean</w:t>
      </w:r>
      <w:proofErr w:type="spellEnd"/>
      <w:r w:rsidRPr="00C37755">
        <w:t xml:space="preserve"> H2 opracowało i wdrożyło całościowe podejście do kontroli </w:t>
      </w:r>
      <w:r w:rsidRPr="00C37755">
        <w:rPr>
          <w:i/>
          <w:iCs/>
        </w:rPr>
        <w:t xml:space="preserve">ex </w:t>
      </w:r>
      <w:proofErr w:type="spellStart"/>
      <w:r w:rsidRPr="00C37755">
        <w:rPr>
          <w:i/>
          <w:iCs/>
        </w:rPr>
        <w:t>ante</w:t>
      </w:r>
      <w:proofErr w:type="spellEnd"/>
      <w:r w:rsidRPr="00C37755">
        <w:t xml:space="preserve"> oparte na analizie ryzyka zgodnie z wytycznymi Wspólnej Służby Audytu Komisji, z uwzględnieniem ryzyka szczególnego Wspólnego Przedsięwzięcia </w:t>
      </w:r>
      <w:proofErr w:type="spellStart"/>
      <w:r w:rsidRPr="00C37755">
        <w:t>Clean</w:t>
      </w:r>
      <w:proofErr w:type="spellEnd"/>
      <w:r w:rsidRPr="00C37755">
        <w:t xml:space="preserve"> H2; zauważa, że w tym celu Wspólne Przedsięwzięcie </w:t>
      </w:r>
      <w:proofErr w:type="spellStart"/>
      <w:r w:rsidRPr="00C37755">
        <w:t>Clean</w:t>
      </w:r>
      <w:proofErr w:type="spellEnd"/>
      <w:r w:rsidRPr="00C37755">
        <w:t xml:space="preserve"> H2 określiło najistotniejsze kryteria ryzyka i na ich podstawie opracowało podejście do monitorowania oparte na analizie ryzyka;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28.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podejście to umożliwiło Wspólnemu Przedsięwzięciu </w:t>
      </w:r>
      <w:proofErr w:type="spellStart"/>
      <w:r w:rsidRPr="00C37755">
        <w:t>Clean</w:t>
      </w:r>
      <w:proofErr w:type="spellEnd"/>
      <w:r w:rsidRPr="00C37755">
        <w:t xml:space="preserve"> H2 ocenę poziomu ryzyka dla każdego projektu i każdego beneficjenta na głównych etapach realizacji projektu, takich jak przygotowanie umowy o udzielenie dotacji, aktualizacja umowy o udzielenie dotacji, sporządzanie sprawozdań i płatność; zauważa, że w tej kwestii Wspólne Przedsięwzięcie </w:t>
      </w:r>
      <w:proofErr w:type="spellStart"/>
      <w:r w:rsidRPr="00C37755">
        <w:t>Clean</w:t>
      </w:r>
      <w:proofErr w:type="spellEnd"/>
      <w:r w:rsidRPr="00C37755">
        <w:t xml:space="preserve"> H2 opracowało również wewnętrzne wytyczne oraz przeszkoliło swoich pracowników i przygotowało dla nich wytyczne dotyczące właściwego stosowania i spójnego wdrażania podejścia;</w:t>
      </w:r>
    </w:p>
    <w:p w:rsidR="0070287D" w:rsidRPr="00C37755" w:rsidRDefault="0070287D" w:rsidP="0070287D">
      <w:pPr>
        <w:pStyle w:val="NormalHanging12a"/>
      </w:pPr>
      <w:r w:rsidRPr="00C37755">
        <w:t>29.</w:t>
      </w:r>
      <w:r w:rsidRPr="00C37755">
        <w:tab/>
      </w:r>
      <w:proofErr w:type="gramStart"/>
      <w:r w:rsidRPr="00C37755">
        <w:t>z</w:t>
      </w:r>
      <w:proofErr w:type="gramEnd"/>
      <w:r w:rsidRPr="00C37755">
        <w:t xml:space="preserve"> zadowoleniem stwierdza, że Wspólne Przedsięwzięcie </w:t>
      </w:r>
      <w:proofErr w:type="spellStart"/>
      <w:r w:rsidRPr="00C37755">
        <w:t>Clean</w:t>
      </w:r>
      <w:proofErr w:type="spellEnd"/>
      <w:r w:rsidRPr="00C37755">
        <w:t xml:space="preserve"> H2 opracowało podejście do kontroli </w:t>
      </w:r>
      <w:r w:rsidRPr="00C37755">
        <w:rPr>
          <w:i/>
          <w:iCs/>
        </w:rPr>
        <w:t>ex post</w:t>
      </w:r>
      <w:r w:rsidRPr="00C37755">
        <w:t xml:space="preserve"> oparte na analizie ryzyka, aby zmniejszyć poziom błędu dzięki wzmocnieniu efektu korygującego w toku audytów ex post;</w:t>
      </w:r>
    </w:p>
    <w:p w:rsidR="0070287D" w:rsidRPr="00C37755" w:rsidRDefault="0070287D" w:rsidP="0070287D">
      <w:pPr>
        <w:pStyle w:val="NormalHanging12a"/>
      </w:pPr>
      <w:r w:rsidRPr="00C37755">
        <w:t>30.</w:t>
      </w:r>
      <w:r w:rsidRPr="00C37755">
        <w:tab/>
      </w:r>
      <w:proofErr w:type="gramStart"/>
      <w:r w:rsidRPr="00C37755">
        <w:t>na</w:t>
      </w:r>
      <w:proofErr w:type="gramEnd"/>
      <w:r w:rsidRPr="00C37755">
        <w:t xml:space="preserve"> podstawie sprawozdania Trybunału zauważa, że Wspólne Przedsięwzięcie </w:t>
      </w:r>
      <w:proofErr w:type="spellStart"/>
      <w:r w:rsidRPr="00C37755">
        <w:t>Clean</w:t>
      </w:r>
      <w:proofErr w:type="spellEnd"/>
      <w:r w:rsidRPr="00C37755">
        <w:t xml:space="preserve"> H2 opracowało dostosowane do potrzeb podejście oparte na ryzyku, aby zwiększyć pewność, jaką uzyskuje na podstawie kontroli</w:t>
      </w:r>
      <w:r w:rsidRPr="00C37755">
        <w:rPr>
          <w:i/>
          <w:iCs/>
        </w:rPr>
        <w:t xml:space="preserve"> ex </w:t>
      </w:r>
      <w:proofErr w:type="spellStart"/>
      <w:r w:rsidRPr="00C37755">
        <w:rPr>
          <w:i/>
          <w:iCs/>
        </w:rPr>
        <w:t>ante</w:t>
      </w:r>
      <w:proofErr w:type="spellEnd"/>
      <w:r w:rsidRPr="00C37755">
        <w:t xml:space="preserve"> i audytów </w:t>
      </w:r>
      <w:r w:rsidRPr="00C37755">
        <w:rPr>
          <w:i/>
          <w:iCs/>
        </w:rPr>
        <w:t>ex post</w:t>
      </w:r>
      <w:r w:rsidRPr="00C37755">
        <w:t xml:space="preserve">: na początku 2022 r. Wspólne Przedsięwzięcie </w:t>
      </w:r>
      <w:proofErr w:type="spellStart"/>
      <w:r w:rsidRPr="00C37755">
        <w:t>Clean</w:t>
      </w:r>
      <w:proofErr w:type="spellEnd"/>
      <w:r w:rsidRPr="00C37755">
        <w:t xml:space="preserve"> H2 przeanalizowało całą populację beneficjentów programu „Horyzont 2020” i zidentyfikowało beneficjentów </w:t>
      </w:r>
      <w:r w:rsidRPr="00C37755">
        <w:lastRenderedPageBreak/>
        <w:t xml:space="preserve">obarczonych najwyższym ryzykiem, by objąć ich audytami </w:t>
      </w:r>
      <w:r w:rsidRPr="00C37755">
        <w:rPr>
          <w:i/>
          <w:iCs/>
        </w:rPr>
        <w:t>ex post</w:t>
      </w:r>
      <w:r w:rsidRPr="00C37755">
        <w:t xml:space="preserve"> opartymi na analizie ryzyka; zauważa, że za beneficjentów obarczonych najwyższym ryzykiem uznano wszystkich głównych beneficjentów, którzy otrzymali kwotę wkładu Wspólnego Przedsięwzięcia </w:t>
      </w:r>
      <w:proofErr w:type="spellStart"/>
      <w:r w:rsidRPr="00C37755">
        <w:t>Clean</w:t>
      </w:r>
      <w:proofErr w:type="spellEnd"/>
      <w:r w:rsidRPr="00C37755">
        <w:t xml:space="preserve"> H2 przekraczającą 1 mln EUR (w odniesieniu do wszystkich projektów realizowanych przez Wspólne Przedsięwzięcie </w:t>
      </w:r>
      <w:proofErr w:type="spellStart"/>
      <w:r w:rsidRPr="00C37755">
        <w:t>Clean</w:t>
      </w:r>
      <w:proofErr w:type="spellEnd"/>
      <w:r w:rsidRPr="00C37755">
        <w:t xml:space="preserve"> H2 w ramach programu „Horyzont 2020”) i nigdy </w:t>
      </w:r>
      <w:proofErr w:type="gramStart"/>
      <w:r w:rsidRPr="00C37755">
        <w:t>nie</w:t>
      </w:r>
      <w:proofErr w:type="gramEnd"/>
      <w:r w:rsidRPr="00C37755">
        <w:t xml:space="preserve"> zostali objęci kontrolą </w:t>
      </w:r>
      <w:r w:rsidRPr="00C37755">
        <w:rPr>
          <w:i/>
          <w:iCs/>
        </w:rPr>
        <w:t>ex post</w:t>
      </w:r>
      <w:r w:rsidRPr="00C37755">
        <w:t xml:space="preserve">, a także beneficjentów mających profil ryzyka odpowiadający małym i średnim przedsiębiorstwom lub nowym podmiotom; 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31.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pozostałych głównych beneficjentów poproszono o wypełnienie krótkiego kwestionariusza samooceny, który koncentrował się na błędach, jakie najczęściej wykrywano w toku wcześniejszych audytów </w:t>
      </w:r>
      <w:r w:rsidRPr="00C37755">
        <w:rPr>
          <w:i/>
          <w:iCs/>
        </w:rPr>
        <w:t>ex post</w:t>
      </w:r>
      <w:r w:rsidRPr="00C37755">
        <w:t xml:space="preserve">, takich jak złożoność wybranej metody rozliczania kosztów personelu, wysoki udział podwykonawstwa, zakup aktywów, dostawy wewnętrzne, metoda ujmowania kosztów oraz wdrożenie wyników wcześniejszych audytów </w:t>
      </w:r>
      <w:r w:rsidRPr="00C37755">
        <w:rPr>
          <w:i/>
          <w:iCs/>
        </w:rPr>
        <w:t>ex post</w:t>
      </w:r>
      <w:r w:rsidRPr="00C37755">
        <w:t xml:space="preserve">; zauważa, że na podstawie ich odpowiedzi Wspólne Przedsięwzięcie </w:t>
      </w:r>
      <w:proofErr w:type="spellStart"/>
      <w:r w:rsidRPr="00C37755">
        <w:t>Clean</w:t>
      </w:r>
      <w:proofErr w:type="spellEnd"/>
      <w:r w:rsidRPr="00C37755">
        <w:t xml:space="preserve"> H2 zidentyfikowało głównych beneficjentów o wysokim ryzyku związanym z kontrolą </w:t>
      </w:r>
      <w:r w:rsidRPr="00C37755">
        <w:rPr>
          <w:i/>
          <w:iCs/>
        </w:rPr>
        <w:t xml:space="preserve">ex </w:t>
      </w:r>
      <w:proofErr w:type="spellStart"/>
      <w:r w:rsidRPr="00C37755">
        <w:rPr>
          <w:i/>
          <w:iCs/>
        </w:rPr>
        <w:t>ante</w:t>
      </w:r>
      <w:proofErr w:type="spellEnd"/>
      <w:r w:rsidRPr="00C37755">
        <w:t xml:space="preserve"> i zorganizowało z nimi seminaria internetowe dotyczące finansów, koncentrując się na kluczowych cechach prawidłowej deklaracji kosztów zawierającej istotne pozycje kosztów; zauważa ponadto, że wyniki webinariów zostały wykorzystane przez urzędników </w:t>
      </w:r>
      <w:proofErr w:type="gramStart"/>
      <w:r w:rsidRPr="00C37755">
        <w:t>ds</w:t>
      </w:r>
      <w:proofErr w:type="gramEnd"/>
      <w:r w:rsidRPr="00C37755">
        <w:t xml:space="preserve">. projektów i ds. finansów Wspólnego Przedsięwzięcia </w:t>
      </w:r>
      <w:proofErr w:type="spellStart"/>
      <w:r w:rsidRPr="00C37755">
        <w:t>Clean</w:t>
      </w:r>
      <w:proofErr w:type="spellEnd"/>
      <w:r w:rsidRPr="00C37755">
        <w:t xml:space="preserve"> H2 do poprawy skuteczności kontroli </w:t>
      </w:r>
      <w:r w:rsidRPr="00C37755">
        <w:rPr>
          <w:i/>
          <w:iCs/>
        </w:rPr>
        <w:t xml:space="preserve">ex </w:t>
      </w:r>
      <w:proofErr w:type="spellStart"/>
      <w:r w:rsidRPr="00C37755">
        <w:rPr>
          <w:i/>
          <w:iCs/>
        </w:rPr>
        <w:t>ante</w:t>
      </w:r>
      <w:proofErr w:type="spellEnd"/>
      <w:r w:rsidRPr="00C37755">
        <w:t xml:space="preserve"> deklaracji kosztów, które mieli złożyć ci główni beneficjenci w kolejnym okresie (etap płatności);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32.</w:t>
      </w:r>
      <w:r w:rsidRPr="00C37755">
        <w:tab/>
      </w:r>
      <w:proofErr w:type="gramStart"/>
      <w:r w:rsidRPr="00C37755">
        <w:t>docenia</w:t>
      </w:r>
      <w:proofErr w:type="gramEnd"/>
      <w:r w:rsidRPr="00C37755">
        <w:t xml:space="preserve"> fakt, że w ramach Wspólnego Przedsięwzięcia </w:t>
      </w:r>
      <w:proofErr w:type="spellStart"/>
      <w:r w:rsidRPr="00C37755">
        <w:t>Clean</w:t>
      </w:r>
      <w:proofErr w:type="spellEnd"/>
      <w:r w:rsidRPr="00C37755">
        <w:t xml:space="preserve"> H2 opracowano podejście do kontroli </w:t>
      </w:r>
      <w:r w:rsidRPr="00C37755">
        <w:rPr>
          <w:i/>
          <w:iCs/>
        </w:rPr>
        <w:t>ex post</w:t>
      </w:r>
      <w:r w:rsidRPr="00C37755">
        <w:t xml:space="preserve"> oparte na analizie ryzyka, aby zmniejszyć poziom błędu dzięki lepszemu ukierunkowaniu próby w celu wykrycia najbardziej podatnych na błędy beneficjentów, a tym samym wzmocnienia efektu korygującego w toku audytów </w:t>
      </w:r>
      <w:r w:rsidRPr="00C37755">
        <w:rPr>
          <w:i/>
          <w:iCs/>
        </w:rPr>
        <w:t>ex post</w:t>
      </w:r>
      <w:r w:rsidRPr="00C37755">
        <w:t xml:space="preserve">; uważa to za istotną pozytywną zmianę w podejściu do kontroli </w:t>
      </w:r>
      <w:r w:rsidRPr="00C37755">
        <w:rPr>
          <w:i/>
          <w:iCs/>
        </w:rPr>
        <w:t>ex post</w:t>
      </w:r>
      <w:r w:rsidRPr="00C37755">
        <w:t>, ponieważ ramy kontroli wewnętrznej Komisji dotyczące dotacji z programu „Horyzont Europa” nie pozwalają na ustalenie konkretnych reprezentatywnych prób Wspólnego Przedsięwzięcia, a w konsekwencji na obliczenie konkretnych reprezentatywnych i rezydualnych poziomów błędu dla wspólnych przedsięwzięć;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33.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Trybunał stwierdził, iż wspólne przedsięwzięcia stosujące właściwie opracowane podejście kontrolne </w:t>
      </w:r>
      <w:r w:rsidRPr="00C37755">
        <w:rPr>
          <w:i/>
        </w:rPr>
        <w:t>ex post</w:t>
      </w:r>
      <w:r w:rsidRPr="00C37755">
        <w:t xml:space="preserve"> oparte na analizie ryzyka zgłosiły poziom błędu rezydualnego poniżej średniej obliczonej dla wspólnych przedsięwzięć niestosujących takiego podejścia, dzięki temu, że systematycznie wykrywały beneficjentów obarczonych najwyższym ryzykiem i obejmowały ich audytem;</w:t>
      </w:r>
    </w:p>
    <w:p w:rsidR="0070287D" w:rsidRPr="00C37755" w:rsidRDefault="0070287D" w:rsidP="0070287D">
      <w:pPr>
        <w:spacing w:after="240"/>
        <w:rPr>
          <w:b/>
          <w:i/>
        </w:rPr>
      </w:pPr>
      <w:r w:rsidRPr="00C37755">
        <w:rPr>
          <w:b/>
          <w:i/>
        </w:rPr>
        <w:t>Monitorowanie działań podjętych w związku z uwagami z ubiegłych lat</w:t>
      </w:r>
    </w:p>
    <w:p w:rsidR="0070287D" w:rsidRPr="00C37755" w:rsidRDefault="0070287D" w:rsidP="0070287D">
      <w:pPr>
        <w:spacing w:after="240"/>
        <w:ind w:left="567" w:hanging="567"/>
      </w:pPr>
      <w:r w:rsidRPr="00C37755">
        <w:t>34.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uwagi zawarte w specjalnych sprawozdaniach rocznych dotyczących Wspólnego Przedsięwzięcia </w:t>
      </w:r>
      <w:proofErr w:type="spellStart"/>
      <w:r w:rsidRPr="00C37755">
        <w:t>Clean</w:t>
      </w:r>
      <w:proofErr w:type="spellEnd"/>
      <w:r w:rsidRPr="00C37755">
        <w:t xml:space="preserve"> H2 są w rzeczywistości zaleceniami Trybunału bez sprecyzowanego terminu; zauważa, że Trybunał co roku kontroluje działania podjęte w związku z tymi uwagami, oceniając ich status jako „otwarty” lub „zamknięty”;</w:t>
      </w:r>
      <w:bookmarkStart w:id="10" w:name="_GoBack"/>
      <w:bookmarkEnd w:id="10"/>
    </w:p>
    <w:p w:rsidR="0070287D" w:rsidRPr="00C37755" w:rsidRDefault="0070287D" w:rsidP="0070287D">
      <w:pPr>
        <w:spacing w:after="240"/>
        <w:ind w:left="567" w:hanging="567"/>
      </w:pPr>
      <w:r w:rsidRPr="00C37755">
        <w:t>35.</w:t>
      </w:r>
      <w:r w:rsidRPr="00C37755">
        <w:tab/>
      </w:r>
      <w:proofErr w:type="gramStart"/>
      <w:r w:rsidRPr="00C37755">
        <w:t>zauważa</w:t>
      </w:r>
      <w:proofErr w:type="gramEnd"/>
      <w:r w:rsidRPr="00C37755">
        <w:t xml:space="preserve">, że w 2022 r. Wspólne Przedsięwzięcie </w:t>
      </w:r>
      <w:proofErr w:type="spellStart"/>
      <w:r w:rsidRPr="00C37755">
        <w:t>Clean</w:t>
      </w:r>
      <w:proofErr w:type="spellEnd"/>
      <w:r w:rsidRPr="00C37755">
        <w:t xml:space="preserve"> H2 podjęło działania naprawcze w odniesieniu do wszystkich uwag Trybunału z poprzednich lat, wobec czego uwagi te zostały zamknięte.</w:t>
      </w:r>
    </w:p>
    <w:p w:rsidR="00E365E1" w:rsidRPr="00C37755" w:rsidRDefault="00E365E1" w:rsidP="008538C7">
      <w:bookmarkStart w:id="11" w:name="TextBodyEnd"/>
      <w:bookmarkEnd w:id="11"/>
    </w:p>
    <w:sectPr w:rsidR="00E365E1" w:rsidRPr="00C37755" w:rsidSect="00C3775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8C7" w:rsidRPr="00C37755" w:rsidRDefault="008538C7">
      <w:r w:rsidRPr="00C37755">
        <w:separator/>
      </w:r>
    </w:p>
  </w:endnote>
  <w:endnote w:type="continuationSeparator" w:id="0">
    <w:p w:rsidR="008538C7" w:rsidRPr="00C37755" w:rsidRDefault="008538C7">
      <w:r w:rsidRPr="00C377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 w:rsidP="00A03C10">
    <w:pPr>
      <w:pStyle w:val="EPFooter"/>
    </w:pPr>
    <w:r w:rsidRPr="00C37755">
      <w:t>PE</w:t>
    </w:r>
    <w:r w:rsidRPr="00C37755">
      <w:rPr>
        <w:rStyle w:val="HideTWBExt"/>
      </w:rPr>
      <w:t>&lt;</w:t>
    </w:r>
    <w:proofErr w:type="spellStart"/>
    <w:r w:rsidRPr="00C37755">
      <w:rPr>
        <w:rStyle w:val="HideTWBExt"/>
      </w:rPr>
      <w:t>NoPE</w:t>
    </w:r>
    <w:proofErr w:type="spellEnd"/>
    <w:r w:rsidRPr="00C37755">
      <w:rPr>
        <w:rStyle w:val="HideTWBExt"/>
      </w:rPr>
      <w:t>&gt;</w:t>
    </w:r>
    <w:r w:rsidRPr="00C37755">
      <w:t>753.490</w:t>
    </w:r>
    <w:r w:rsidRPr="00C37755">
      <w:rPr>
        <w:rStyle w:val="HideTWBExt"/>
      </w:rPr>
      <w:t>&lt;/</w:t>
    </w:r>
    <w:proofErr w:type="spellStart"/>
    <w:r w:rsidRPr="00C37755">
      <w:rPr>
        <w:rStyle w:val="HideTWBExt"/>
      </w:rPr>
      <w:t>NoPE</w:t>
    </w:r>
    <w:proofErr w:type="spellEnd"/>
    <w:r w:rsidRPr="00C37755">
      <w:rPr>
        <w:rStyle w:val="HideTWBExt"/>
      </w:rPr>
      <w:t>&gt;&lt;Version&gt;</w:t>
    </w:r>
    <w:r w:rsidRPr="00C37755">
      <w:t>v02-00</w:t>
    </w:r>
    <w:r w:rsidRPr="00C37755">
      <w:rPr>
        <w:rStyle w:val="HideTWBExt"/>
      </w:rPr>
      <w:t>&lt;/Version&gt;</w:t>
    </w:r>
    <w:r w:rsidRPr="00C37755">
      <w:tab/>
    </w:r>
    <w:r w:rsidRPr="00C37755">
      <w:fldChar w:fldCharType="begin"/>
    </w:r>
    <w:r w:rsidRPr="00C37755">
      <w:instrText xml:space="preserve"> PAGE  \* MERGEFORMAT </w:instrText>
    </w:r>
    <w:r w:rsidRPr="00C37755">
      <w:fldChar w:fldCharType="separate"/>
    </w:r>
    <w:r w:rsidRPr="00C37755">
      <w:rPr>
        <w:noProof/>
      </w:rPr>
      <w:t>12</w:t>
    </w:r>
    <w:r w:rsidRPr="00C37755">
      <w:fldChar w:fldCharType="end"/>
    </w:r>
    <w:r w:rsidRPr="00C37755">
      <w:t>/</w:t>
    </w:r>
    <w:r w:rsidR="00F23006">
      <w:fldChar w:fldCharType="begin"/>
    </w:r>
    <w:r w:rsidR="00F23006">
      <w:instrText xml:space="preserve"> NUMPAGES  \* MERGEFORMAT </w:instrText>
    </w:r>
    <w:r w:rsidR="00F23006">
      <w:fldChar w:fldCharType="separate"/>
    </w:r>
    <w:r w:rsidRPr="00C37755">
      <w:rPr>
        <w:noProof/>
      </w:rPr>
      <w:t>12</w:t>
    </w:r>
    <w:r w:rsidR="00F23006">
      <w:rPr>
        <w:noProof/>
      </w:rPr>
      <w:fldChar w:fldCharType="end"/>
    </w:r>
    <w:r w:rsidRPr="00C37755">
      <w:tab/>
    </w:r>
    <w:r w:rsidRPr="00C37755">
      <w:rPr>
        <w:rStyle w:val="HideTWBExt"/>
      </w:rPr>
      <w:t>&lt;PathFdR&gt;</w:t>
    </w:r>
    <w:r w:rsidRPr="00C37755">
      <w:t>RR\1298721PL.docx</w:t>
    </w:r>
    <w:r w:rsidRPr="00C37755">
      <w:rPr>
        <w:rStyle w:val="HideTWBExt"/>
      </w:rPr>
      <w:t>&lt;/</w:t>
    </w:r>
    <w:proofErr w:type="spellStart"/>
    <w:r w:rsidRPr="00C37755">
      <w:rPr>
        <w:rStyle w:val="HideTWBExt"/>
      </w:rPr>
      <w:t>PathFdR</w:t>
    </w:r>
    <w:proofErr w:type="spellEnd"/>
    <w:r w:rsidRPr="00C37755">
      <w:rPr>
        <w:rStyle w:val="HideTWBExt"/>
      </w:rPr>
      <w:t>&gt;</w:t>
    </w:r>
  </w:p>
  <w:p w:rsidR="0070287D" w:rsidRPr="00C37755" w:rsidRDefault="0070287D" w:rsidP="00A03C10">
    <w:pPr>
      <w:pStyle w:val="EPFooter2"/>
    </w:pPr>
    <w:r w:rsidRPr="00C3775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 w:rsidP="00A03C1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 w:rsidP="00A03C10">
    <w:pPr>
      <w:pStyle w:val="EPFooter"/>
    </w:pPr>
    <w:r w:rsidRPr="00C37755">
      <w:rPr>
        <w:rStyle w:val="HideTWBExt"/>
      </w:rPr>
      <w:t>&lt;PathFdR&gt;</w:t>
    </w:r>
    <w:r w:rsidRPr="00C37755">
      <w:t>RR\1298721PL.docx</w:t>
    </w:r>
    <w:r w:rsidRPr="00C37755">
      <w:rPr>
        <w:rStyle w:val="HideTWBExt"/>
      </w:rPr>
      <w:t>&lt;/</w:t>
    </w:r>
    <w:proofErr w:type="spellStart"/>
    <w:r w:rsidRPr="00C37755">
      <w:rPr>
        <w:rStyle w:val="HideTWBExt"/>
      </w:rPr>
      <w:t>PathFdR</w:t>
    </w:r>
    <w:proofErr w:type="spellEnd"/>
    <w:r w:rsidRPr="00C37755">
      <w:rPr>
        <w:rStyle w:val="HideTWBExt"/>
      </w:rPr>
      <w:t>&gt;</w:t>
    </w:r>
    <w:r w:rsidRPr="00C37755">
      <w:tab/>
    </w:r>
    <w:r w:rsidRPr="00C37755">
      <w:tab/>
      <w:t>PE</w:t>
    </w:r>
    <w:r w:rsidRPr="00C37755">
      <w:rPr>
        <w:rStyle w:val="HideTWBExt"/>
      </w:rPr>
      <w:t>&lt;</w:t>
    </w:r>
    <w:proofErr w:type="spellStart"/>
    <w:r w:rsidRPr="00C37755">
      <w:rPr>
        <w:rStyle w:val="HideTWBExt"/>
      </w:rPr>
      <w:t>NoPE</w:t>
    </w:r>
    <w:proofErr w:type="spellEnd"/>
    <w:r w:rsidRPr="00C37755">
      <w:rPr>
        <w:rStyle w:val="HideTWBExt"/>
      </w:rPr>
      <w:t>&gt;</w:t>
    </w:r>
    <w:r w:rsidRPr="00C37755">
      <w:t>753.490</w:t>
    </w:r>
    <w:r w:rsidRPr="00C37755">
      <w:rPr>
        <w:rStyle w:val="HideTWBExt"/>
      </w:rPr>
      <w:t>&lt;/</w:t>
    </w:r>
    <w:proofErr w:type="spellStart"/>
    <w:r w:rsidRPr="00C37755">
      <w:rPr>
        <w:rStyle w:val="HideTWBExt"/>
      </w:rPr>
      <w:t>NoPE</w:t>
    </w:r>
    <w:proofErr w:type="spellEnd"/>
    <w:r w:rsidRPr="00C37755">
      <w:rPr>
        <w:rStyle w:val="HideTWBExt"/>
      </w:rPr>
      <w:t>&gt;&lt;Version&gt;</w:t>
    </w:r>
    <w:r w:rsidRPr="00C37755">
      <w:t>v02-00</w:t>
    </w:r>
    <w:r w:rsidRPr="00C37755">
      <w:rPr>
        <w:rStyle w:val="HideTWBExt"/>
      </w:rPr>
      <w:t>&lt;/Version&gt;</w:t>
    </w:r>
  </w:p>
  <w:p w:rsidR="0070287D" w:rsidRPr="00C37755" w:rsidRDefault="0070287D" w:rsidP="00A03C10">
    <w:pPr>
      <w:pStyle w:val="EPFooter2"/>
    </w:pPr>
    <w:r w:rsidRPr="00C37755">
      <w:t>PL</w:t>
    </w:r>
    <w:r w:rsidRPr="00C37755">
      <w:tab/>
    </w:r>
    <w:r w:rsidRPr="00C37755">
      <w:rPr>
        <w:b w:val="0"/>
        <w:i/>
        <w:color w:val="C0C0C0"/>
        <w:sz w:val="22"/>
      </w:rPr>
      <w:t>Zjednoczona w różnorodności</w:t>
    </w:r>
    <w:r w:rsidRPr="00C37755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8C7" w:rsidRPr="00C37755" w:rsidRDefault="008538C7">
      <w:r w:rsidRPr="00C37755">
        <w:separator/>
      </w:r>
    </w:p>
  </w:footnote>
  <w:footnote w:type="continuationSeparator" w:id="0">
    <w:p w:rsidR="008538C7" w:rsidRPr="00C37755" w:rsidRDefault="008538C7">
      <w:r w:rsidRPr="00C37755">
        <w:continuationSeparator/>
      </w:r>
    </w:p>
  </w:footnote>
  <w:footnote w:id="1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Dz.U. C, C/2023/1025, 16.11.2023.</w:t>
      </w:r>
    </w:p>
  </w:footnote>
  <w:footnote w:id="2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Dz.U. C, C/2023/112 z 12.10.2023.</w:t>
      </w:r>
    </w:p>
  </w:footnote>
  <w:footnote w:id="3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193 z 30.7.2018,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1.</w:t>
      </w:r>
    </w:p>
  </w:footnote>
  <w:footnote w:id="4">
    <w:p w:rsidR="0070287D" w:rsidRPr="00C37755" w:rsidRDefault="0070287D" w:rsidP="00C37755">
      <w:pPr>
        <w:pStyle w:val="FootnoteText"/>
        <w:ind w:left="567" w:hanging="567"/>
        <w:rPr>
          <w:sz w:val="24"/>
          <w:szCs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427 z 30.11.2021,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17.</w:t>
      </w:r>
    </w:p>
  </w:footnote>
  <w:footnote w:id="5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142 z 29.5.2019,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16.</w:t>
      </w:r>
    </w:p>
  </w:footnote>
  <w:footnote w:id="6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Dz.U. C, C/2023/1025, 16.11.2023.</w:t>
      </w:r>
    </w:p>
  </w:footnote>
  <w:footnote w:id="7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Dz.U. C, C/2023/112 z 12.10.2023.</w:t>
      </w:r>
    </w:p>
  </w:footnote>
  <w:footnote w:id="8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193 z 30.7.2018,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1.</w:t>
      </w:r>
    </w:p>
  </w:footnote>
  <w:footnote w:id="9">
    <w:p w:rsidR="0070287D" w:rsidRPr="00C37755" w:rsidRDefault="0070287D" w:rsidP="00C37755">
      <w:pPr>
        <w:pStyle w:val="FootnoteText"/>
        <w:ind w:left="567" w:hanging="567"/>
        <w:rPr>
          <w:sz w:val="24"/>
          <w:szCs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427 z 30.11.2021,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17.</w:t>
      </w:r>
    </w:p>
  </w:footnote>
  <w:footnote w:id="10">
    <w:p w:rsidR="0070287D" w:rsidRPr="00C37755" w:rsidRDefault="0070287D" w:rsidP="00C37755">
      <w:pPr>
        <w:pStyle w:val="FootnoteText"/>
        <w:ind w:left="567" w:hanging="567"/>
        <w:rPr>
          <w:sz w:val="24"/>
          <w:szCs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Dz.U. L 142 z 29.5.2019,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16.</w:t>
      </w:r>
    </w:p>
  </w:footnote>
  <w:footnote w:id="11">
    <w:p w:rsidR="0070287D" w:rsidRPr="00C37755" w:rsidRDefault="0070287D" w:rsidP="00C37755">
      <w:pPr>
        <w:pStyle w:val="FootnoteText"/>
        <w:ind w:left="567" w:hanging="567"/>
        <w:rPr>
          <w:rFonts w:eastAsiaTheme="minorHAnsi"/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Rozporządzenie Rady (UE) 2021/2085 z dnia 19 listopada 2021 r. ustanawiające wspólne przedsięwzięcia w ramach programu „Horyzont Europa” oraz uchylające rozporządzenia (WE) nr 219/2007, (UE) nr 557/2014, (UE) nr 558/2014, (UE) nr 559/2014, (UE) nr 560/2014, (UE) nr 561/2014 i (UE) nr 642/2014 (Dz.U. L 427 z 30.11.2021,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17).</w:t>
      </w:r>
    </w:p>
  </w:footnote>
  <w:footnote w:id="12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Rozporządzenie Rady (WE) nr 521/2008 z dnia 30 maja 2008 r. ustanawiające wspólne przedsiębiorstwo na rzecz technologii ogniw paliwowych i technologii wodorowych (Dz.U. L 153 z 12.6.2008,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1).</w:t>
      </w:r>
    </w:p>
  </w:footnote>
  <w:footnote w:id="13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Rozporządzenie Rady (UE) nr 559/2014 z dnia 6 maja 2014 r. w sprawie ustanowienia Wspólnego Przedsięwzięcia na rzecz Technologii Ogniw Paliwowych i Technologii Wodorowych 2 (Dz.U. L 169 z 7.6.2014, </w:t>
      </w:r>
      <w:proofErr w:type="gramStart"/>
      <w:r w:rsidRPr="00C37755">
        <w:rPr>
          <w:sz w:val="24"/>
          <w:lang w:val="pl-PL"/>
        </w:rPr>
        <w:t>s</w:t>
      </w:r>
      <w:proofErr w:type="gramEnd"/>
      <w:r w:rsidRPr="00C37755">
        <w:rPr>
          <w:sz w:val="24"/>
          <w:lang w:val="pl-PL"/>
        </w:rPr>
        <w:t>. 108).</w:t>
      </w:r>
    </w:p>
  </w:footnote>
  <w:footnote w:id="14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Dostępny budżet obejmuje niewykorzystane środki z poprzednich lat, które zostały ponownie ujęte w budżecie Wspólnego Przedsięwzięcia </w:t>
      </w:r>
      <w:proofErr w:type="spellStart"/>
      <w:r w:rsidRPr="00C37755">
        <w:rPr>
          <w:sz w:val="24"/>
          <w:lang w:val="pl-PL"/>
        </w:rPr>
        <w:t>Clean</w:t>
      </w:r>
      <w:proofErr w:type="spellEnd"/>
      <w:r w:rsidRPr="00C37755">
        <w:rPr>
          <w:sz w:val="24"/>
          <w:lang w:val="pl-PL"/>
        </w:rPr>
        <w:t xml:space="preserve"> H2 na bieżący rok, dochody przeznaczone na określony cel i środki przydzielone na następny rok.</w:t>
      </w:r>
    </w:p>
  </w:footnote>
  <w:footnote w:id="15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Przegłosowane środki na zobowiązania wyniosły 8,4 mln EUR i zostały następnie zmienione, aby uwzględnić zwiększenie dochodów i wydatków związanych z nowym programem w ramach „Horyzont Europa” oraz niewykorzystanych środków z poprzednich lat.</w:t>
      </w:r>
    </w:p>
  </w:footnote>
  <w:footnote w:id="16">
    <w:p w:rsidR="0070287D" w:rsidRPr="00C37755" w:rsidRDefault="0070287D" w:rsidP="00C3775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Przegłosowane środki na płatności wyniosły 53,2 mln EUR, a potem zwiększono tę kwotę – w wyniku realizacji nowego Programu i – w celu uwzględnienia planowanego zaproszenia do składania wniosków ogłoszonego w 2022 r., mającego na celu realizację SRIA.</w:t>
      </w:r>
    </w:p>
    <w:p w:rsidR="0070287D" w:rsidRPr="00C37755" w:rsidRDefault="00C37755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sz w:val="24"/>
          <w:lang w:val="pl-PL"/>
        </w:rPr>
        <w:t xml:space="preserve"> </w:t>
      </w:r>
      <w:r w:rsidRPr="00C37755">
        <w:rPr>
          <w:sz w:val="24"/>
          <w:lang w:val="pl-PL"/>
        </w:rPr>
        <w:tab/>
      </w:r>
    </w:p>
  </w:footnote>
  <w:footnote w:id="17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Zgodnie z wyjaśnieniami Wspólnego Przedsięwzięcia „wycofanie tematów” należy rozumieć jako „brak omówienia tematów ze względu na brak pozytywnie przyjętych wniosków/propozycji”.</w:t>
      </w:r>
    </w:p>
  </w:footnote>
  <w:footnote w:id="18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Dz.U. L 56 z 4.3.1968, s. 1, ELI: http</w:t>
      </w:r>
      <w:proofErr w:type="gramStart"/>
      <w:r w:rsidRPr="00C37755">
        <w:rPr>
          <w:sz w:val="24"/>
          <w:lang w:val="pl-PL"/>
        </w:rPr>
        <w:t>://data</w:t>
      </w:r>
      <w:proofErr w:type="gramEnd"/>
      <w:r w:rsidRPr="00C37755">
        <w:rPr>
          <w:sz w:val="24"/>
          <w:lang w:val="pl-PL"/>
        </w:rPr>
        <w:t>.</w:t>
      </w:r>
      <w:proofErr w:type="gramStart"/>
      <w:r w:rsidRPr="00C37755">
        <w:rPr>
          <w:sz w:val="24"/>
          <w:lang w:val="pl-PL"/>
        </w:rPr>
        <w:t>europa</w:t>
      </w:r>
      <w:proofErr w:type="gramEnd"/>
      <w:r w:rsidRPr="00C37755">
        <w:rPr>
          <w:sz w:val="24"/>
          <w:lang w:val="pl-PL"/>
        </w:rPr>
        <w:t>.eu/eli/reg</w:t>
      </w:r>
      <w:proofErr w:type="gramStart"/>
      <w:r w:rsidRPr="00C37755">
        <w:rPr>
          <w:sz w:val="24"/>
          <w:lang w:val="pl-PL"/>
        </w:rPr>
        <w:t>/1968/259(1)/oj</w:t>
      </w:r>
      <w:proofErr w:type="gramEnd"/>
      <w:r w:rsidRPr="00C37755">
        <w:rPr>
          <w:sz w:val="24"/>
          <w:lang w:val="pl-PL"/>
        </w:rPr>
        <w:t>.</w:t>
      </w:r>
    </w:p>
  </w:footnote>
  <w:footnote w:id="19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 xml:space="preserve">Skonsolidowane roczne sprawozdanie z działalności Wspólnego Przedsięwzięcia </w:t>
      </w:r>
      <w:proofErr w:type="spellStart"/>
      <w:r w:rsidRPr="00C37755">
        <w:rPr>
          <w:sz w:val="24"/>
          <w:lang w:val="pl-PL"/>
        </w:rPr>
        <w:t>Clean</w:t>
      </w:r>
      <w:proofErr w:type="spellEnd"/>
      <w:r w:rsidRPr="00C37755">
        <w:rPr>
          <w:sz w:val="24"/>
          <w:lang w:val="pl-PL"/>
        </w:rPr>
        <w:t xml:space="preserve"> H2 za 2022 r., rozdział 4.1.1.1.</w:t>
      </w:r>
    </w:p>
  </w:footnote>
  <w:footnote w:id="20">
    <w:p w:rsidR="0070287D" w:rsidRPr="00C37755" w:rsidRDefault="0070287D" w:rsidP="00C37755">
      <w:pPr>
        <w:pStyle w:val="FootnoteText"/>
        <w:ind w:left="567" w:hanging="567"/>
        <w:rPr>
          <w:sz w:val="24"/>
          <w:lang w:val="pl-PL"/>
        </w:rPr>
      </w:pPr>
      <w:r w:rsidRPr="00C37755">
        <w:rPr>
          <w:rStyle w:val="FootnoteReference"/>
          <w:sz w:val="24"/>
          <w:lang w:val="pl-PL"/>
        </w:rPr>
        <w:footnoteRef/>
      </w:r>
      <w:r w:rsidR="00C37755" w:rsidRPr="00C37755">
        <w:rPr>
          <w:sz w:val="24"/>
          <w:lang w:val="pl-PL"/>
        </w:rPr>
        <w:t xml:space="preserve"> </w:t>
      </w:r>
      <w:r w:rsidR="00C37755" w:rsidRPr="00C37755">
        <w:rPr>
          <w:sz w:val="24"/>
          <w:lang w:val="pl-PL"/>
        </w:rPr>
        <w:tab/>
      </w:r>
      <w:r w:rsidRPr="00C37755">
        <w:rPr>
          <w:sz w:val="24"/>
          <w:lang w:val="pl-PL"/>
        </w:rPr>
        <w:t>W przypadku transakcji płatniczych z tytułu umów o udzielenie dotacji skontrolowanych u beneficjentów próg, powyżej którego zgłasza się błędy kwantyfikowalne, wynosi 1 % kosztów objętych kontrolą.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7D" w:rsidRPr="00C37755" w:rsidRDefault="0070287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7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9/2024"/>
    <w:docVar w:name="dvlangue" w:val="PL"/>
    <w:docVar w:name="dvnumam" w:val="0"/>
    <w:docVar w:name="dvpe" w:val="753.490"/>
    <w:docVar w:name="dvrapporteur" w:val="Sprawozdawca: "/>
    <w:docVar w:name="dvtitre" w:val="Decyzja Parlamentu Europejskiego z dnia  2024 r. w sprawie absolutorium z wykonania budżetu Wspólnego Przedsięwzięcia na rzecz Czystego Wodoru za rok budżetowy 2022(2023/2175(DEC))"/>
  </w:docVars>
  <w:rsids>
    <w:rsidRoot w:val="008538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58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287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8C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116"/>
    <w:rsid w:val="00C3775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00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4A7BE"/>
  <w15:chartTrackingRefBased/>
  <w15:docId w15:val="{1A2F06FC-F58B-452D-9EE5-48760DE2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028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287D"/>
    <w:pPr>
      <w:spacing w:before="480" w:after="240"/>
    </w:pPr>
  </w:style>
  <w:style w:type="paragraph" w:customStyle="1" w:styleId="PageHeading">
    <w:name w:val="PageHeading"/>
    <w:basedOn w:val="Normal"/>
    <w:rsid w:val="007028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0287D"/>
    <w:rPr>
      <w:b/>
    </w:rPr>
  </w:style>
  <w:style w:type="paragraph" w:customStyle="1" w:styleId="NormalHanging12a">
    <w:name w:val="NormalHanging12a"/>
    <w:basedOn w:val="Normal"/>
    <w:link w:val="NormalHanging12aChar"/>
    <w:rsid w:val="0070287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028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287D"/>
    <w:rPr>
      <w:sz w:val="24"/>
      <w:lang w:val="pl-PL"/>
    </w:rPr>
  </w:style>
  <w:style w:type="paragraph" w:customStyle="1" w:styleId="EPFooter">
    <w:name w:val="EPFooter"/>
    <w:basedOn w:val="Normal"/>
    <w:rsid w:val="007028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70287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DDCB5-41F7-4894-9ED0-35A07D8B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3416</Words>
  <Characters>22058</Characters>
  <Application>Microsoft Office Word</Application>
  <DocSecurity>0</DocSecurity>
  <Lines>183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2024-04-11T13:50:00Z</dcterms:created>
  <dcterms:modified xsi:type="dcterms:W3CDTF">2024-04-11T13:50:00Z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A9-0089/2024</vt:lpwstr>
  </property>
  <property fmtid="{D5CDD505-2E9C-101B-9397-08002B2CF9AE}" pid="4" name="&lt;Type&gt;">
    <vt:lpwstr>RR</vt:lpwstr>
  </property>
</Properties>
</file>