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A17B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A17BD" w:rsidRDefault="00DF2B99" w:rsidP="0010095E">
            <w:pPr>
              <w:pStyle w:val="EPName"/>
            </w:pPr>
            <w:bookmarkStart w:id="0" w:name="_GoBack"/>
            <w:bookmarkEnd w:id="0"/>
            <w:r w:rsidRPr="00EA17BD">
              <w:t>Európsky parlament</w:t>
            </w:r>
          </w:p>
          <w:p w:rsidR="00751A4A" w:rsidRPr="00EA17B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A17B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A17BD" w:rsidRDefault="00187494" w:rsidP="0010095E">
            <w:pPr>
              <w:pStyle w:val="EPLogo"/>
            </w:pPr>
            <w:r w:rsidRPr="00EA17B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A17BD" w:rsidRDefault="00D058B8" w:rsidP="004C5D52">
      <w:pPr>
        <w:pStyle w:val="LineTop"/>
      </w:pPr>
    </w:p>
    <w:p w:rsidR="00680577" w:rsidRPr="00EA17BD" w:rsidRDefault="00DF2B99" w:rsidP="00680577">
      <w:pPr>
        <w:pStyle w:val="EPBodyTA1"/>
      </w:pPr>
      <w:r w:rsidRPr="00EA17BD">
        <w:t>PRIJATÉ TEXTY</w:t>
      </w:r>
    </w:p>
    <w:p w:rsidR="00D058B8" w:rsidRPr="00EA17BD" w:rsidRDefault="00D058B8" w:rsidP="00D058B8">
      <w:pPr>
        <w:pStyle w:val="LineBottom"/>
      </w:pPr>
    </w:p>
    <w:p w:rsidR="00DF2B99" w:rsidRPr="00EA17BD" w:rsidRDefault="00DF2B99" w:rsidP="00DF2B99">
      <w:pPr>
        <w:pStyle w:val="ATHeading1"/>
      </w:pPr>
      <w:bookmarkStart w:id="1" w:name="TANumber"/>
      <w:r w:rsidRPr="00EA17BD">
        <w:t>P9_TA(2024)0</w:t>
      </w:r>
      <w:r w:rsidR="00EA17BD" w:rsidRPr="00EA17BD">
        <w:t>275</w:t>
      </w:r>
      <w:bookmarkEnd w:id="1"/>
    </w:p>
    <w:p w:rsidR="00DF2B99" w:rsidRPr="00EA17BD" w:rsidRDefault="00DF2B99" w:rsidP="00DF2B99">
      <w:pPr>
        <w:pStyle w:val="ATHeading2"/>
      </w:pPr>
      <w:bookmarkStart w:id="2" w:name="title"/>
      <w:r w:rsidRPr="00EA17BD">
        <w:t>Absolutórium za rok 2022: spoločný podnik pre čistý vodík</w:t>
      </w:r>
      <w:bookmarkEnd w:id="2"/>
    </w:p>
    <w:p w:rsidR="00DF2B99" w:rsidRPr="00EA17BD" w:rsidRDefault="00DF2B99" w:rsidP="00DF2B99">
      <w:pPr>
        <w:rPr>
          <w:i/>
          <w:vanish/>
        </w:rPr>
      </w:pPr>
      <w:r w:rsidRPr="00EA17BD">
        <w:rPr>
          <w:i/>
        </w:rPr>
        <w:fldChar w:fldCharType="begin"/>
      </w:r>
      <w:r w:rsidRPr="00EA17BD">
        <w:rPr>
          <w:i/>
        </w:rPr>
        <w:instrText xml:space="preserve"> TC"(</w:instrText>
      </w:r>
      <w:bookmarkStart w:id="3" w:name="DocNumber"/>
      <w:r w:rsidRPr="00EA17BD">
        <w:rPr>
          <w:i/>
        </w:rPr>
        <w:instrText>A9-0089/2024</w:instrText>
      </w:r>
      <w:bookmarkEnd w:id="3"/>
      <w:r w:rsidRPr="00EA17BD">
        <w:rPr>
          <w:i/>
        </w:rPr>
        <w:instrText xml:space="preserve"> - Spravodajca: Michal Wiezik)"\l3 \n&gt; \* MERGEFORMAT </w:instrText>
      </w:r>
      <w:r w:rsidRPr="00EA17BD">
        <w:rPr>
          <w:i/>
        </w:rPr>
        <w:fldChar w:fldCharType="end"/>
      </w:r>
    </w:p>
    <w:p w:rsidR="00DF2B99" w:rsidRPr="00EA17BD" w:rsidRDefault="00DF2B99" w:rsidP="00DF2B99">
      <w:pPr>
        <w:rPr>
          <w:vanish/>
        </w:rPr>
      </w:pPr>
      <w:bookmarkStart w:id="4" w:name="Commission"/>
      <w:r w:rsidRPr="00EA17BD">
        <w:rPr>
          <w:vanish/>
        </w:rPr>
        <w:t>Výbor pre kontrolu rozpočtu</w:t>
      </w:r>
      <w:bookmarkEnd w:id="4"/>
    </w:p>
    <w:p w:rsidR="00DF2B99" w:rsidRPr="00EA17BD" w:rsidRDefault="00DF2B99" w:rsidP="00DF2B99">
      <w:pPr>
        <w:rPr>
          <w:vanish/>
        </w:rPr>
      </w:pPr>
      <w:bookmarkStart w:id="5" w:name="PE"/>
      <w:r w:rsidRPr="00EA17BD">
        <w:rPr>
          <w:vanish/>
        </w:rPr>
        <w:t>PE753.490</w:t>
      </w:r>
      <w:bookmarkEnd w:id="5"/>
    </w:p>
    <w:p w:rsidR="00DF2B99" w:rsidRPr="00EA17BD" w:rsidRDefault="001A531C" w:rsidP="00DF2B99">
      <w:pPr>
        <w:pStyle w:val="ATHeading3"/>
      </w:pPr>
      <w:bookmarkStart w:id="6" w:name="Sujet"/>
      <w:r w:rsidRPr="00EA17BD">
        <w:t>1. R</w:t>
      </w:r>
      <w:r w:rsidR="00DF2B99" w:rsidRPr="00EA17BD">
        <w:t>ozhodnutie Európskeho parlamentu z</w:t>
      </w:r>
      <w:r w:rsidR="00A613A0" w:rsidRPr="00EA17BD">
        <w:t> 11</w:t>
      </w:r>
      <w:r w:rsidR="00DF2B99" w:rsidRPr="00EA17BD">
        <w:t>. apríla 2024 o absolutóriu za plnenie rozpočtu spoločného podniku pre čistý vodík za rozpočtový rok 2022</w:t>
      </w:r>
      <w:bookmarkEnd w:id="6"/>
      <w:r w:rsidR="00DF2B99" w:rsidRPr="00EA17BD">
        <w:t xml:space="preserve"> </w:t>
      </w:r>
      <w:bookmarkStart w:id="7" w:name="References"/>
      <w:r w:rsidR="00DF2B99" w:rsidRPr="00EA17BD">
        <w:t>(2023/2175(DEC))</w:t>
      </w:r>
      <w:bookmarkEnd w:id="7"/>
    </w:p>
    <w:p w:rsidR="001A646C" w:rsidRPr="00EA17BD" w:rsidRDefault="001A646C" w:rsidP="001A646C">
      <w:pPr>
        <w:pStyle w:val="EPComma"/>
      </w:pPr>
      <w:bookmarkStart w:id="8" w:name="TextBodyBegin"/>
      <w:bookmarkEnd w:id="8"/>
      <w:r w:rsidRPr="00EA17BD">
        <w:rPr>
          <w:i/>
        </w:rPr>
        <w:t>Európsky parlament</w:t>
      </w:r>
      <w:r w:rsidRPr="00EA17BD">
        <w:t>,</w:t>
      </w:r>
    </w:p>
    <w:p w:rsidR="001A646C" w:rsidRPr="00EA17BD" w:rsidRDefault="001A646C" w:rsidP="001A646C">
      <w:pPr>
        <w:pStyle w:val="NormalHanging12a"/>
      </w:pPr>
      <w:r w:rsidRPr="00EA17BD">
        <w:t>–</w:t>
      </w:r>
      <w:r w:rsidRPr="00EA17BD">
        <w:tab/>
        <w:t>so zreteľom na konečnú ročnú účtovnú závierku spoločného podniku pre čistý vodík za rozpočtový rok 2022,</w:t>
      </w:r>
    </w:p>
    <w:p w:rsidR="001A646C" w:rsidRPr="00EA17BD" w:rsidRDefault="001A646C" w:rsidP="001A646C">
      <w:pPr>
        <w:pStyle w:val="NormalHanging12a"/>
      </w:pPr>
      <w:r w:rsidRPr="00EA17BD">
        <w:t>–</w:t>
      </w:r>
      <w:r w:rsidRPr="00EA17BD">
        <w:tab/>
        <w:t>so zreteľom na výročnú správu Dvora audítorov o spoločných podnikoch EÚ za rozpočtový rok 2022 spolu s odpoveďami spoločných podnikov</w:t>
      </w:r>
      <w:r w:rsidRPr="00EA17BD">
        <w:rPr>
          <w:rStyle w:val="FootnoteReference"/>
        </w:rPr>
        <w:footnoteReference w:id="1"/>
      </w:r>
      <w:r w:rsidRPr="00EA17BD">
        <w:t>,</w:t>
      </w:r>
    </w:p>
    <w:p w:rsidR="001A646C" w:rsidRPr="00EA17BD" w:rsidRDefault="001A646C" w:rsidP="001A646C">
      <w:pPr>
        <w:pStyle w:val="NormalHanging12a"/>
      </w:pPr>
      <w:r w:rsidRPr="00EA17BD">
        <w:t>–</w:t>
      </w:r>
      <w:r w:rsidRPr="00EA17BD">
        <w:tab/>
        <w:t>so zreteľom na vyhlásenie o vierohodnosti</w:t>
      </w:r>
      <w:r w:rsidRPr="00EA17BD">
        <w:rPr>
          <w:rStyle w:val="FootnoteReference"/>
        </w:rPr>
        <w:footnoteReference w:id="2"/>
      </w:r>
      <w:r w:rsidRPr="00EA17BD">
        <w:t xml:space="preserve"> vedenia účtov a zákonnosti a správnosti príslušných operácií, ktoré poskytol Dvor audítorov za rozpočtový rok 2022 v súlade s článkom 287 Zmluvy o fungovaní Európskej únie,</w:t>
      </w:r>
    </w:p>
    <w:p w:rsidR="001A646C" w:rsidRPr="00EA17BD" w:rsidRDefault="001A646C" w:rsidP="001A646C">
      <w:pPr>
        <w:pStyle w:val="NormalHanging12a"/>
      </w:pPr>
      <w:r w:rsidRPr="00EA17BD">
        <w:t>–</w:t>
      </w:r>
      <w:r w:rsidRPr="00EA17BD">
        <w:tab/>
        <w:t>so zreteľom na odporúčanie Rady z 22. februára 2024 o udelení absolutória spoločnému podniku za plnenie rozpočtu za rozpočtový rok 2022 (</w:t>
      </w:r>
      <w:r w:rsidR="00A613A0" w:rsidRPr="00EA17BD">
        <w:t>06182</w:t>
      </w:r>
      <w:r w:rsidRPr="00EA17BD">
        <w:t>/2024 – C9</w:t>
      </w:r>
      <w:r w:rsidRPr="00EA17BD">
        <w:noBreakHyphen/>
      </w:r>
      <w:r w:rsidR="00A613A0" w:rsidRPr="00EA17BD">
        <w:t>0113</w:t>
      </w:r>
      <w:r w:rsidRPr="00EA17BD">
        <w:t>/2024),</w:t>
      </w:r>
    </w:p>
    <w:p w:rsidR="001A646C" w:rsidRPr="00EA17BD" w:rsidRDefault="001A646C" w:rsidP="001A646C">
      <w:pPr>
        <w:pStyle w:val="NormalHanging12a"/>
      </w:pPr>
      <w:r w:rsidRPr="00EA17BD">
        <w:t>–</w:t>
      </w:r>
      <w:r w:rsidRPr="00EA17BD">
        <w:tab/>
        <w:t>so zreteľom na článok 319 Zmluvy o fungovaní Európskej únie,</w:t>
      </w:r>
    </w:p>
    <w:p w:rsidR="001A646C" w:rsidRPr="00EA17BD" w:rsidRDefault="001A646C" w:rsidP="001A646C">
      <w:pPr>
        <w:pStyle w:val="NormalHanging12a"/>
      </w:pPr>
      <w:r w:rsidRPr="00EA17BD">
        <w:t>–</w:t>
      </w:r>
      <w:r w:rsidRPr="00EA17BD">
        <w:tab/>
        <w:t xml:space="preserve">so zreteľom na nariadenie Európskeho parlamentu a Rady (EÚ, </w:t>
      </w:r>
      <w:proofErr w:type="spellStart"/>
      <w:r w:rsidRPr="00EA17BD">
        <w:t>Euratom</w:t>
      </w:r>
      <w:proofErr w:type="spellEnd"/>
      <w:r w:rsidRPr="00EA17BD">
        <w:t xml:space="preserve">) 2018/1046 z 18. júla 2018 o rozpočtových pravidlách, ktoré sa vzťahujú na všeobecný rozpočet Únie, o zmene nariadení (EÚ) č. 1296/2013, (EÚ) č. 1301/2013, (EÚ) č. 1303/2013, (EÚ) č. 1304/2013, (EÚ) č. 1309/2013, (EÚ) č. 1316/2013, (EÚ) č. 223/2014, (EÚ) č. 283/2014 a rozhodnutia č. 541/2014/EÚ a o zrušení nariadenia (EÚ, </w:t>
      </w:r>
      <w:proofErr w:type="spellStart"/>
      <w:r w:rsidRPr="00EA17BD">
        <w:t>Euratom</w:t>
      </w:r>
      <w:proofErr w:type="spellEnd"/>
      <w:r w:rsidRPr="00EA17BD">
        <w:t>) č. 966/2012</w:t>
      </w:r>
      <w:r w:rsidRPr="00EA17BD">
        <w:rPr>
          <w:rStyle w:val="FootnoteReference"/>
        </w:rPr>
        <w:footnoteReference w:id="3"/>
      </w:r>
      <w:r w:rsidRPr="00EA17BD">
        <w:t>, a najmä na jeho článok 71,</w:t>
      </w:r>
    </w:p>
    <w:p w:rsidR="001A646C" w:rsidRPr="00EA17BD" w:rsidRDefault="001A646C" w:rsidP="001A646C">
      <w:pPr>
        <w:pStyle w:val="NormalHanging12a"/>
      </w:pPr>
      <w:r w:rsidRPr="00EA17BD">
        <w:t>–</w:t>
      </w:r>
      <w:r w:rsidRPr="00EA17BD">
        <w:tab/>
        <w:t>so zreteľom na nariadenie Rady (EÚ) 2021/2085 z 19. novembra 2021, ktorým sa zakladajú spoločné podniky v rámci programu Horizont Európa a zrušujú nariadenia (ES) č. 219/2007, (EÚ) č. 557/2014, (EÚ) č. 558/2014, (EÚ) č. 559/2014, (EÚ) č. 560/2014, (EÚ) č. 561/2014 a (EÚ) č. 642/2014</w:t>
      </w:r>
      <w:r w:rsidRPr="00EA17BD">
        <w:rPr>
          <w:rStyle w:val="FootnoteReference"/>
        </w:rPr>
        <w:footnoteReference w:id="4"/>
      </w:r>
      <w:r w:rsidRPr="00EA17BD">
        <w:t>, a najmä jeho článok 26,</w:t>
      </w:r>
    </w:p>
    <w:p w:rsidR="001A646C" w:rsidRPr="00EA17BD" w:rsidRDefault="001A646C" w:rsidP="001A646C">
      <w:pPr>
        <w:pStyle w:val="NormalHanging12a"/>
      </w:pPr>
      <w:r w:rsidRPr="00EA17BD">
        <w:t>–</w:t>
      </w:r>
      <w:r w:rsidRPr="00EA17BD">
        <w:tab/>
        <w:t xml:space="preserve">so zreteľom na delegované nariadenie Komisie (EÚ) 2019/887 z 13. marca 2019 </w:t>
      </w:r>
      <w:r w:rsidRPr="00EA17BD">
        <w:lastRenderedPageBreak/>
        <w:t xml:space="preserve">o vzorovom nariadení o rozpočtových pravidlách pre subjekty verejno-súkromného partnerstva uvedené v článku 71 nariadenia Európskeho parlamentu a Rady (EÚ, </w:t>
      </w:r>
      <w:proofErr w:type="spellStart"/>
      <w:r w:rsidRPr="00EA17BD">
        <w:t>Euratom</w:t>
      </w:r>
      <w:proofErr w:type="spellEnd"/>
      <w:r w:rsidRPr="00EA17BD">
        <w:t>) 2018/1046</w:t>
      </w:r>
      <w:r w:rsidRPr="00EA17BD">
        <w:rPr>
          <w:rStyle w:val="FootnoteReference"/>
        </w:rPr>
        <w:footnoteReference w:id="5"/>
      </w:r>
      <w:r w:rsidRPr="00EA17BD">
        <w:t>,</w:t>
      </w:r>
    </w:p>
    <w:p w:rsidR="001A646C" w:rsidRPr="00EA17BD" w:rsidRDefault="001A646C" w:rsidP="001A646C">
      <w:pPr>
        <w:pStyle w:val="NormalHanging12a"/>
      </w:pPr>
      <w:r w:rsidRPr="00EA17BD">
        <w:t>–</w:t>
      </w:r>
      <w:r w:rsidRPr="00EA17BD">
        <w:tab/>
        <w:t>so zreteľom na článok 100 a prílohu V k rokovaciemu poriadku,</w:t>
      </w:r>
    </w:p>
    <w:p w:rsidR="001A646C" w:rsidRPr="00EA17BD" w:rsidRDefault="001A646C" w:rsidP="001A646C">
      <w:pPr>
        <w:pStyle w:val="NormalHanging12a"/>
      </w:pPr>
      <w:r w:rsidRPr="00EA17BD">
        <w:t>–</w:t>
      </w:r>
      <w:r w:rsidRPr="00EA17BD">
        <w:tab/>
        <w:t>so zreteľom na správu Výboru pre kontrolu rozpočtu (A9-0089/2024),</w:t>
      </w:r>
    </w:p>
    <w:p w:rsidR="001A646C" w:rsidRPr="00EA17BD" w:rsidRDefault="001A646C" w:rsidP="001A646C">
      <w:pPr>
        <w:pStyle w:val="NormalHanging12a"/>
      </w:pPr>
      <w:r w:rsidRPr="00EA17BD">
        <w:t>1.</w:t>
      </w:r>
      <w:r w:rsidRPr="00EA17BD">
        <w:tab/>
        <w:t>udeľuje absolutórium dočasnej výkonnej riaditeľke spoločného podniku pre čistý vodík za plnenie rozpočtu spoločného podniku za rozpočtový rok 2022;</w:t>
      </w:r>
    </w:p>
    <w:p w:rsidR="001A646C" w:rsidRPr="00EA17BD" w:rsidRDefault="001A646C" w:rsidP="001A646C">
      <w:pPr>
        <w:pStyle w:val="NormalHanging12a"/>
      </w:pPr>
      <w:r w:rsidRPr="00EA17BD">
        <w:t>2.</w:t>
      </w:r>
      <w:r w:rsidRPr="00EA17BD">
        <w:tab/>
        <w:t>uvádza svoje poznámky v priloženom uznesení;</w:t>
      </w:r>
    </w:p>
    <w:p w:rsidR="001A646C" w:rsidRPr="00EA17BD" w:rsidRDefault="001A646C" w:rsidP="001A646C">
      <w:pPr>
        <w:pStyle w:val="NormalHanging12a"/>
      </w:pPr>
      <w:r w:rsidRPr="00EA17BD">
        <w:t>3.</w:t>
      </w:r>
      <w:r w:rsidRPr="00EA17BD">
        <w:tab/>
        <w:t xml:space="preserve">poveruje svoju predsedníčku, aby postúpila toto rozhodnutie a uznesenie, ktoré je jeho neoddeliteľnou súčasťou, dočasnej výkonnej riaditeľke spoločného podniku pre čistý vodík, Rade, Komisii a Dvoru audítorov a aby zabezpečila ich uverejnenie v </w:t>
      </w:r>
      <w:r w:rsidRPr="00EA17BD">
        <w:rPr>
          <w:i/>
          <w:iCs/>
        </w:rPr>
        <w:t>Úradnom vestníku Európskej únie</w:t>
      </w:r>
      <w:r w:rsidRPr="00EA17BD">
        <w:t xml:space="preserve"> (v sérii L).</w:t>
      </w:r>
    </w:p>
    <w:p w:rsidR="001A646C" w:rsidRPr="00EA17BD" w:rsidRDefault="001A646C" w:rsidP="001A646C"/>
    <w:p w:rsidR="001A646C" w:rsidRPr="00EA17BD" w:rsidRDefault="001A646C" w:rsidP="001A646C">
      <w:pPr>
        <w:pStyle w:val="PageHeading"/>
        <w:sectPr w:rsidR="001A646C" w:rsidRPr="00EA17BD" w:rsidSect="0064549F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1A646C" w:rsidRPr="00EA17BD" w:rsidRDefault="001A646C" w:rsidP="001A531C">
      <w:pPr>
        <w:pStyle w:val="ATHeading3"/>
      </w:pPr>
      <w:bookmarkStart w:id="9" w:name="_Toc161731327"/>
      <w:r w:rsidRPr="00EA17BD">
        <w:lastRenderedPageBreak/>
        <w:t xml:space="preserve">2. </w:t>
      </w:r>
      <w:bookmarkEnd w:id="9"/>
      <w:r w:rsidR="001A531C" w:rsidRPr="00EA17BD">
        <w:t>Rozhodnutie Európskeho parlamentu z</w:t>
      </w:r>
      <w:r w:rsidR="00A613A0" w:rsidRPr="00EA17BD">
        <w:t> 11</w:t>
      </w:r>
      <w:r w:rsidR="001A531C" w:rsidRPr="00EA17BD">
        <w:t xml:space="preserve">. apríla 2024 </w:t>
      </w:r>
      <w:r w:rsidRPr="00EA17BD">
        <w:t>o účtovnej závierke spoločného podniku pre čistý vodík za rozpočtový rok 2022</w:t>
      </w:r>
      <w:r w:rsidR="001A531C" w:rsidRPr="00EA17BD">
        <w:t xml:space="preserve"> </w:t>
      </w:r>
      <w:r w:rsidRPr="00EA17BD">
        <w:t>(2023/2175(DEC))</w:t>
      </w:r>
    </w:p>
    <w:p w:rsidR="001A646C" w:rsidRPr="00EA17BD" w:rsidRDefault="001A646C" w:rsidP="001A646C">
      <w:pPr>
        <w:pStyle w:val="EPComma"/>
      </w:pPr>
      <w:r w:rsidRPr="00EA17BD">
        <w:rPr>
          <w:i/>
        </w:rPr>
        <w:t>Európsky parlament</w:t>
      </w:r>
      <w:r w:rsidRPr="00EA17BD">
        <w:t>,</w:t>
      </w:r>
    </w:p>
    <w:p w:rsidR="001A646C" w:rsidRPr="00EA17BD" w:rsidRDefault="001A646C" w:rsidP="001A646C">
      <w:pPr>
        <w:pStyle w:val="NormalHanging12a"/>
      </w:pPr>
      <w:r w:rsidRPr="00EA17BD">
        <w:t>–</w:t>
      </w:r>
      <w:r w:rsidRPr="00EA17BD">
        <w:tab/>
        <w:t>so zreteľom na konečnú ročnú účtovnú závierku spoločného podniku pre čistý vodík za rozpočtový rok 2022,</w:t>
      </w:r>
    </w:p>
    <w:p w:rsidR="001A646C" w:rsidRPr="00EA17BD" w:rsidRDefault="001A646C" w:rsidP="001A646C">
      <w:pPr>
        <w:pStyle w:val="NormalHanging12a"/>
      </w:pPr>
      <w:r w:rsidRPr="00EA17BD">
        <w:t>–</w:t>
      </w:r>
      <w:r w:rsidRPr="00EA17BD">
        <w:tab/>
        <w:t>so zreteľom na výročnú správu Dvora audítorov o spoločných podnikoch EÚ za rozpočtový rok 2022 spolu s odpoveďami spoločných podnikov</w:t>
      </w:r>
      <w:r w:rsidRPr="00EA17BD">
        <w:rPr>
          <w:rStyle w:val="FootnoteReference"/>
        </w:rPr>
        <w:footnoteReference w:id="6"/>
      </w:r>
      <w:r w:rsidRPr="00EA17BD">
        <w:t>,</w:t>
      </w:r>
    </w:p>
    <w:p w:rsidR="001A646C" w:rsidRPr="00EA17BD" w:rsidRDefault="001A646C" w:rsidP="001A646C">
      <w:pPr>
        <w:pStyle w:val="NormalHanging12a"/>
      </w:pPr>
      <w:r w:rsidRPr="00EA17BD">
        <w:t>–</w:t>
      </w:r>
      <w:r w:rsidRPr="00EA17BD">
        <w:tab/>
        <w:t>so zreteľom na vyhlásenie o vierohodnosti</w:t>
      </w:r>
      <w:r w:rsidRPr="00EA17BD">
        <w:rPr>
          <w:rStyle w:val="FootnoteReference"/>
        </w:rPr>
        <w:footnoteReference w:id="7"/>
      </w:r>
      <w:r w:rsidRPr="00EA17BD">
        <w:t xml:space="preserve"> vedenia účtov a zákonnosti a správnosti príslušných operácií, ktoré poskytol Dvor audítorov za rozpočtový rok 2022 v súlade s článkom 287 Zmluvy o fungovaní Európskej únie,</w:t>
      </w:r>
    </w:p>
    <w:p w:rsidR="001A646C" w:rsidRPr="00EA17BD" w:rsidRDefault="001A646C" w:rsidP="001A646C">
      <w:pPr>
        <w:pStyle w:val="NormalHanging12a"/>
      </w:pPr>
      <w:r w:rsidRPr="00EA17BD">
        <w:t>–</w:t>
      </w:r>
      <w:r w:rsidRPr="00EA17BD">
        <w:tab/>
        <w:t>so zreteľom na odporúčanie Rady z 22. februára 2024 o udelení absolutória spoločnému podniku za plnenie rozpočtu za rozpočtový rok 2022 (</w:t>
      </w:r>
      <w:r w:rsidR="00A613A0" w:rsidRPr="00EA17BD">
        <w:t>06182</w:t>
      </w:r>
      <w:r w:rsidRPr="00EA17BD">
        <w:t>/2024 – C9</w:t>
      </w:r>
      <w:r w:rsidRPr="00EA17BD">
        <w:noBreakHyphen/>
      </w:r>
      <w:r w:rsidR="00A613A0" w:rsidRPr="00EA17BD">
        <w:t>0113</w:t>
      </w:r>
      <w:r w:rsidRPr="00EA17BD">
        <w:t>/2024),</w:t>
      </w:r>
    </w:p>
    <w:p w:rsidR="001A646C" w:rsidRPr="00EA17BD" w:rsidRDefault="001A646C" w:rsidP="001A646C">
      <w:pPr>
        <w:pStyle w:val="NormalHanging12a"/>
      </w:pPr>
      <w:r w:rsidRPr="00EA17BD">
        <w:t>–</w:t>
      </w:r>
      <w:r w:rsidRPr="00EA17BD">
        <w:tab/>
        <w:t>so zreteľom na článok 319 Zmluvy o fungovaní Európskej únie,</w:t>
      </w:r>
    </w:p>
    <w:p w:rsidR="001A646C" w:rsidRPr="00EA17BD" w:rsidRDefault="001A646C" w:rsidP="001A646C">
      <w:pPr>
        <w:pStyle w:val="NormalHanging12a"/>
      </w:pPr>
      <w:r w:rsidRPr="00EA17BD">
        <w:t>–</w:t>
      </w:r>
      <w:r w:rsidRPr="00EA17BD">
        <w:tab/>
        <w:t xml:space="preserve">so zreteľom na nariadenie Európskeho parlamentu a Rady (EÚ, </w:t>
      </w:r>
      <w:proofErr w:type="spellStart"/>
      <w:r w:rsidRPr="00EA17BD">
        <w:t>Euratom</w:t>
      </w:r>
      <w:proofErr w:type="spellEnd"/>
      <w:r w:rsidRPr="00EA17BD">
        <w:t xml:space="preserve">) 2018/1046 z 18. júla 2018 o rozpočtových pravidlách, ktoré sa vzťahujú na všeobecný rozpočet Únie, o zmene nariadení (EÚ) č. 1296/2013, (EÚ) č. 1301/2013, (EÚ) č. 1303/2013, (EÚ) č. 1304/2013, (EÚ) č. 1309/2013, (EÚ) č. 1316/2013, (EÚ) č. 223/2014, (EÚ) č. 283/2014 a rozhodnutia č. 541/2014/EÚ a o zrušení nariadenia (EÚ, </w:t>
      </w:r>
      <w:proofErr w:type="spellStart"/>
      <w:r w:rsidRPr="00EA17BD">
        <w:t>Euratom</w:t>
      </w:r>
      <w:proofErr w:type="spellEnd"/>
      <w:r w:rsidRPr="00EA17BD">
        <w:t>) č. 966/2012</w:t>
      </w:r>
      <w:r w:rsidRPr="00EA17BD">
        <w:rPr>
          <w:rStyle w:val="FootnoteReference"/>
        </w:rPr>
        <w:footnoteReference w:id="8"/>
      </w:r>
      <w:r w:rsidRPr="00EA17BD">
        <w:t>, a najmä na jeho článok 71,</w:t>
      </w:r>
    </w:p>
    <w:p w:rsidR="001A646C" w:rsidRPr="00EA17BD" w:rsidRDefault="001A646C" w:rsidP="001A646C">
      <w:pPr>
        <w:pStyle w:val="NormalHanging12a"/>
      </w:pPr>
      <w:r w:rsidRPr="00EA17BD">
        <w:t>–</w:t>
      </w:r>
      <w:r w:rsidRPr="00EA17BD">
        <w:tab/>
        <w:t>so zreteľom na nariadenie Rady (EÚ) 2021/2085 z 19. novembra 2021, ktorým sa zakladajú spoločné podniky v rámci programu Horizont Európa a zrušujú nariadenia (ES) č. 219/2007, (EÚ) č. 557/2014, (EÚ) č. 558/2014, (EÚ) č. 559/2014, (EÚ) č. 560/2014, (EÚ) č. 561/2014 a (EÚ) č. 642/2014</w:t>
      </w:r>
      <w:r w:rsidRPr="00EA17BD">
        <w:rPr>
          <w:rStyle w:val="FootnoteReference"/>
        </w:rPr>
        <w:footnoteReference w:id="9"/>
      </w:r>
      <w:r w:rsidRPr="00EA17BD">
        <w:t>, a najmä jeho článok 26,</w:t>
      </w:r>
    </w:p>
    <w:p w:rsidR="001A646C" w:rsidRPr="00EA17BD" w:rsidRDefault="001A646C" w:rsidP="001A646C">
      <w:pPr>
        <w:pStyle w:val="NormalHanging12a"/>
      </w:pPr>
      <w:r w:rsidRPr="00EA17BD">
        <w:t>–</w:t>
      </w:r>
      <w:r w:rsidRPr="00EA17BD">
        <w:tab/>
        <w:t xml:space="preserve">so zreteľom na delegované nariadenie Komisie (EÚ) 2019/887 z 13. marca 2019 o vzorovom nariadení o rozpočtových pravidlách pre subjekty verejno-súkromného partnerstva uvedené v článku 71 nariadenia Európskeho parlamentu a Rady (EÚ, </w:t>
      </w:r>
      <w:proofErr w:type="spellStart"/>
      <w:r w:rsidRPr="00EA17BD">
        <w:t>Euratom</w:t>
      </w:r>
      <w:proofErr w:type="spellEnd"/>
      <w:r w:rsidRPr="00EA17BD">
        <w:t>) 2018/1046</w:t>
      </w:r>
      <w:r w:rsidRPr="00EA17BD">
        <w:rPr>
          <w:rStyle w:val="FootnoteReference"/>
        </w:rPr>
        <w:footnoteReference w:id="10"/>
      </w:r>
      <w:r w:rsidRPr="00EA17BD">
        <w:t>,</w:t>
      </w:r>
    </w:p>
    <w:p w:rsidR="001A646C" w:rsidRPr="00EA17BD" w:rsidRDefault="001A646C" w:rsidP="001A646C">
      <w:pPr>
        <w:pStyle w:val="NormalHanging12a"/>
      </w:pPr>
      <w:r w:rsidRPr="00EA17BD">
        <w:t>–</w:t>
      </w:r>
      <w:r w:rsidRPr="00EA17BD">
        <w:tab/>
        <w:t>so zreteľom na článok 100 a prílohu V k rokovaciemu poriadku,</w:t>
      </w:r>
    </w:p>
    <w:p w:rsidR="001A646C" w:rsidRPr="00EA17BD" w:rsidRDefault="001A646C" w:rsidP="001A646C">
      <w:pPr>
        <w:pStyle w:val="NormalHanging12a"/>
      </w:pPr>
      <w:r w:rsidRPr="00EA17BD">
        <w:t>–</w:t>
      </w:r>
      <w:r w:rsidRPr="00EA17BD">
        <w:tab/>
        <w:t>so zreteľom na správu Výboru pre kontrolu rozpočtu (A9-0089/2024),</w:t>
      </w:r>
    </w:p>
    <w:p w:rsidR="001A646C" w:rsidRPr="00EA17BD" w:rsidRDefault="001A646C" w:rsidP="001A646C">
      <w:pPr>
        <w:pStyle w:val="NormalHanging12a"/>
      </w:pPr>
      <w:r w:rsidRPr="00EA17BD">
        <w:t>1.</w:t>
      </w:r>
      <w:r w:rsidRPr="00EA17BD">
        <w:tab/>
        <w:t>schvaľuje účtovnú závierku spoločného podniku pre čistý vodík za rozpočtový rok 2022;</w:t>
      </w:r>
    </w:p>
    <w:p w:rsidR="001A646C" w:rsidRPr="00EA17BD" w:rsidRDefault="001A646C" w:rsidP="001A646C">
      <w:pPr>
        <w:pStyle w:val="NormalHanging12a"/>
      </w:pPr>
      <w:r w:rsidRPr="00EA17BD">
        <w:lastRenderedPageBreak/>
        <w:t>2.</w:t>
      </w:r>
      <w:r w:rsidRPr="00EA17BD">
        <w:tab/>
        <w:t>poveruje svoju predsedníčku, aby postúpila toto rozhodnutie dočasnej výkonnej riaditeľke spoločného podniku pre čistý vodík, Rade, Komisii a Dvoru audítorov a aby zabezpečila jeho uverejnenie v </w:t>
      </w:r>
      <w:r w:rsidRPr="00EA17BD">
        <w:rPr>
          <w:i/>
          <w:iCs/>
        </w:rPr>
        <w:t>Úradnom vestníku Európskej únie</w:t>
      </w:r>
      <w:r w:rsidRPr="00EA17BD">
        <w:t xml:space="preserve"> (v sérii L).</w:t>
      </w:r>
    </w:p>
    <w:p w:rsidR="001A646C" w:rsidRPr="00EA17BD" w:rsidRDefault="001A646C" w:rsidP="001A646C"/>
    <w:p w:rsidR="001A646C" w:rsidRPr="00EA17BD" w:rsidRDefault="001A646C" w:rsidP="001A646C">
      <w:pPr>
        <w:pStyle w:val="PageHeading"/>
        <w:sectPr w:rsidR="001A646C" w:rsidRPr="00EA17BD" w:rsidSect="0064549F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:rsidR="001A646C" w:rsidRPr="00EA17BD" w:rsidRDefault="001A646C" w:rsidP="001A531C">
      <w:pPr>
        <w:pStyle w:val="ATHeading3"/>
      </w:pPr>
      <w:bookmarkStart w:id="10" w:name="_Toc161731328"/>
      <w:r w:rsidRPr="00EA17BD">
        <w:lastRenderedPageBreak/>
        <w:t xml:space="preserve">3. </w:t>
      </w:r>
      <w:bookmarkEnd w:id="10"/>
      <w:r w:rsidR="001A531C" w:rsidRPr="00EA17BD">
        <w:t>Uznesenie Európskeho parlamentu z</w:t>
      </w:r>
      <w:r w:rsidR="00A613A0" w:rsidRPr="00EA17BD">
        <w:t> 11</w:t>
      </w:r>
      <w:r w:rsidR="001A531C" w:rsidRPr="00EA17BD">
        <w:t xml:space="preserve">. apríla 2024 </w:t>
      </w:r>
      <w:r w:rsidRPr="00EA17BD">
        <w:t xml:space="preserve">s poznámkami, ktoré </w:t>
      </w:r>
      <w:r w:rsidR="001A531C" w:rsidRPr="00EA17BD">
        <w:t xml:space="preserve">je </w:t>
      </w:r>
      <w:r w:rsidRPr="00EA17BD">
        <w:t>neoddeliteľnou súčasťou rozhodnutia o absolutóriu za plnenie rozpočtu spoločného podniku pre čistý vodík za rozpočtový rok 2022</w:t>
      </w:r>
      <w:r w:rsidR="001A531C" w:rsidRPr="00EA17BD">
        <w:t xml:space="preserve"> </w:t>
      </w:r>
      <w:r w:rsidRPr="00EA17BD">
        <w:t>(2023/2175(DEC))</w:t>
      </w:r>
    </w:p>
    <w:p w:rsidR="001A646C" w:rsidRPr="00EA17BD" w:rsidRDefault="001A646C" w:rsidP="001A646C">
      <w:pPr>
        <w:pStyle w:val="EPComma"/>
      </w:pPr>
      <w:r w:rsidRPr="00EA17BD">
        <w:rPr>
          <w:i/>
        </w:rPr>
        <w:t>Európsky parlament</w:t>
      </w:r>
      <w:r w:rsidRPr="00EA17BD">
        <w:t>,</w:t>
      </w:r>
    </w:p>
    <w:p w:rsidR="001A646C" w:rsidRPr="00EA17BD" w:rsidRDefault="001A646C" w:rsidP="001A646C">
      <w:pPr>
        <w:pStyle w:val="NormalHanging12a"/>
      </w:pPr>
      <w:r w:rsidRPr="00EA17BD">
        <w:t>–</w:t>
      </w:r>
      <w:r w:rsidRPr="00EA17BD">
        <w:tab/>
        <w:t>so zreteľom na svoje rozhodnutie o absolutóriu za plnenie rozpočtu spoločného podniku pre čistý vodík za rozpočtový rok 2022,</w:t>
      </w:r>
    </w:p>
    <w:p w:rsidR="001A646C" w:rsidRPr="00EA17BD" w:rsidRDefault="001A646C" w:rsidP="001A646C">
      <w:pPr>
        <w:pStyle w:val="NormalHanging12a"/>
      </w:pPr>
      <w:r w:rsidRPr="00EA17BD">
        <w:t>–</w:t>
      </w:r>
      <w:r w:rsidRPr="00EA17BD">
        <w:tab/>
        <w:t>so zreteľom na článok 100 a prílohu V k rokovaciemu poriadku,</w:t>
      </w:r>
    </w:p>
    <w:p w:rsidR="001A646C" w:rsidRPr="00EA17BD" w:rsidRDefault="001A646C" w:rsidP="001A646C">
      <w:pPr>
        <w:pStyle w:val="NormalHanging12a"/>
      </w:pPr>
      <w:r w:rsidRPr="00EA17BD">
        <w:t>–</w:t>
      </w:r>
      <w:r w:rsidRPr="00EA17BD">
        <w:tab/>
        <w:t>so zreteľom na správu Výboru pre kontrolu rozpočtu (A9-0089/2024),</w:t>
      </w:r>
    </w:p>
    <w:p w:rsidR="001A646C" w:rsidRPr="00EA17BD" w:rsidRDefault="001A646C" w:rsidP="001A646C">
      <w:pPr>
        <w:spacing w:after="240"/>
        <w:ind w:left="567" w:hanging="567"/>
      </w:pPr>
      <w:r w:rsidRPr="00EA17BD">
        <w:t>A.</w:t>
      </w:r>
      <w:r w:rsidRPr="00EA17BD">
        <w:tab/>
        <w:t>keďže spoločný podnik pre čistý vodík so sídlom v Bruseli bol zriadený v novembri 2021 v rámci programu Horizont Európa nariadením Rady (EÚ) 2021/2085</w:t>
      </w:r>
      <w:r w:rsidRPr="00EA17BD">
        <w:rPr>
          <w:rStyle w:val="FootnoteReference"/>
        </w:rPr>
        <w:footnoteReference w:id="11"/>
      </w:r>
      <w:r w:rsidRPr="00EA17BD">
        <w:t xml:space="preserve"> na obdobie, ktoré sa končí 31. decembra 2031; keďže spoločný podnik pre čistý vodík nahradil spoločnú technologickú iniciatívu pre palivové články a vodík (ďalej len „spoločný podnik FCH“), ktorá bola zriadená v máji 2008 na obdobie do 31. decembra 2017 v rámci siedmeho rámcového programu v oblasti výskumu nariadením Rady (ES) č. 521/2008</w:t>
      </w:r>
      <w:r w:rsidRPr="00EA17BD">
        <w:rPr>
          <w:rStyle w:val="FootnoteReference"/>
        </w:rPr>
        <w:footnoteReference w:id="12"/>
      </w:r>
      <w:r w:rsidRPr="00EA17BD">
        <w:t xml:space="preserve"> a predĺžená v máji 2014 v rámci programu Horizont 2020 na obdobie do 31. decembra 2024 nariadením Rady (EÚ) č. 559/2014</w:t>
      </w:r>
      <w:r w:rsidRPr="00EA17BD">
        <w:rPr>
          <w:rStyle w:val="FootnoteReference"/>
        </w:rPr>
        <w:footnoteReference w:id="13"/>
      </w:r>
      <w:r w:rsidRPr="00EA17BD">
        <w:t xml:space="preserve"> (ďalej len „spoločný podnik FCH 2“), a nadviazal na ňu;</w:t>
      </w:r>
    </w:p>
    <w:p w:rsidR="001A646C" w:rsidRPr="00EA17BD" w:rsidRDefault="001A646C" w:rsidP="001A646C">
      <w:pPr>
        <w:spacing w:after="240"/>
        <w:ind w:left="567" w:hanging="567"/>
      </w:pPr>
      <w:r w:rsidRPr="00EA17BD">
        <w:t>B.</w:t>
      </w:r>
      <w:r w:rsidRPr="00EA17BD">
        <w:tab/>
        <w:t>keďže spoločný podnik pre čistý vodík je verejno-súkromným partnerstvom v oblasti výskumu vodíkovej technológie a technológie palivových článkov; keďže jeho zakladajúcimi členmi sú Únia zastúpená Komisiou, priemyselné združenie (</w:t>
      </w:r>
      <w:proofErr w:type="spellStart"/>
      <w:r w:rsidRPr="00EA17BD">
        <w:t>Hydrogen</w:t>
      </w:r>
      <w:proofErr w:type="spellEnd"/>
      <w:r w:rsidRPr="00EA17BD">
        <w:t xml:space="preserve"> </w:t>
      </w:r>
      <w:proofErr w:type="spellStart"/>
      <w:r w:rsidRPr="00EA17BD">
        <w:t>Europe</w:t>
      </w:r>
      <w:proofErr w:type="spellEnd"/>
      <w:r w:rsidRPr="00EA17BD">
        <w:t>) a výskumné združenie (</w:t>
      </w:r>
      <w:proofErr w:type="spellStart"/>
      <w:r w:rsidRPr="00EA17BD">
        <w:t>Hydrogen</w:t>
      </w:r>
      <w:proofErr w:type="spellEnd"/>
      <w:r w:rsidRPr="00EA17BD">
        <w:t xml:space="preserve"> </w:t>
      </w:r>
      <w:proofErr w:type="spellStart"/>
      <w:r w:rsidRPr="00EA17BD">
        <w:t>Europe</w:t>
      </w:r>
      <w:proofErr w:type="spellEnd"/>
      <w:r w:rsidRPr="00EA17BD">
        <w:t xml:space="preserve"> </w:t>
      </w:r>
      <w:proofErr w:type="spellStart"/>
      <w:r w:rsidRPr="00EA17BD">
        <w:t>Research</w:t>
      </w:r>
      <w:proofErr w:type="spellEnd"/>
      <w:r w:rsidRPr="00EA17BD">
        <w:t>);</w:t>
      </w:r>
    </w:p>
    <w:p w:rsidR="001A646C" w:rsidRPr="00EA17BD" w:rsidRDefault="001A646C" w:rsidP="001A646C">
      <w:pPr>
        <w:pStyle w:val="NormalHanging12a"/>
      </w:pPr>
      <w:r w:rsidRPr="00EA17BD">
        <w:t>C.</w:t>
      </w:r>
      <w:r w:rsidRPr="00EA17BD">
        <w:tab/>
        <w:t>keďže v záujme zvýšenia transparentnosti by spoločný podnik pre čistý vodík mal vo svojej ročnej účtovnej závierke zverejňovať relevantné informácie týkajúce sa príspevkov členov na úrovni programu; keďže spoločný podnik pre čistý vodík by mal pre každý program, v rámci ktorého pôsobí, predložiť do konca roka všetky relevantné informácie podľa kategórie členov vrátane cieľových hodnôt právnych príspevkov stanovených pre príslušný program, objem prijatých príspevkov a objem právnych záväzkov; navrhuje, aby spoločný podnik pre čistý vodík pokračoval v zlepšovaní transparentnosti;</w:t>
      </w:r>
    </w:p>
    <w:p w:rsidR="001A646C" w:rsidRPr="00EA17BD" w:rsidRDefault="001A646C" w:rsidP="001A646C">
      <w:pPr>
        <w:spacing w:after="240"/>
        <w:ind w:left="567" w:hanging="567"/>
        <w:rPr>
          <w:b/>
          <w:i/>
        </w:rPr>
      </w:pPr>
      <w:r w:rsidRPr="00EA17BD">
        <w:rPr>
          <w:b/>
          <w:i/>
        </w:rPr>
        <w:t>Rozpočtové a finančné riadenie</w:t>
      </w:r>
    </w:p>
    <w:p w:rsidR="001A646C" w:rsidRPr="00EA17BD" w:rsidRDefault="001A646C" w:rsidP="001A646C">
      <w:pPr>
        <w:spacing w:after="240"/>
        <w:ind w:left="567" w:hanging="567"/>
      </w:pPr>
      <w:r w:rsidRPr="00EA17BD">
        <w:t>1.</w:t>
      </w:r>
      <w:r w:rsidRPr="00EA17BD">
        <w:tab/>
        <w:t xml:space="preserve">konštatuje, že v správe Dvora audítorov o účtovnej závierke spoločného podniku pre </w:t>
      </w:r>
      <w:r w:rsidRPr="00EA17BD">
        <w:lastRenderedPageBreak/>
        <w:t>čistý vodík sa uvádza, že účtovná závierka za rok 2022 vyjadruje verne zo všetkých významných hľadísk finančnú situáciu spoločného podniku k 31. decembru 2022, ako aj výsledky jeho operácií, toky hotovosti a zmeny čistých aktív za príslušný rozpočtový rok v súlade s jeho nariadením o rozpočtových pravidlách a účtovnými pravidlami, ktoré schválil účtovník Komisie; okrem toho na základe správy Dvora audítorov konštatuje, že príslušné transakcie k účtom sú zo všetkých významných hľadísk zákonné a správne;</w:t>
      </w:r>
    </w:p>
    <w:p w:rsidR="001A646C" w:rsidRPr="00EA17BD" w:rsidRDefault="001A646C" w:rsidP="001A646C">
      <w:pPr>
        <w:pStyle w:val="NormalHanging12a"/>
      </w:pPr>
      <w:r w:rsidRPr="00EA17BD">
        <w:t>2.</w:t>
      </w:r>
      <w:r w:rsidRPr="00EA17BD">
        <w:tab/>
        <w:t>víta úlohu spoločného podniku pre čistý vodík pri podpore výskumných a inovačných činností v oblasti vodíkových technológií v Európe;</w:t>
      </w:r>
    </w:p>
    <w:p w:rsidR="001A646C" w:rsidRPr="00EA17BD" w:rsidRDefault="001A646C" w:rsidP="001A646C">
      <w:pPr>
        <w:spacing w:after="240"/>
        <w:ind w:left="567" w:hanging="567"/>
        <w:rPr>
          <w:rFonts w:eastAsiaTheme="minorHAnsi"/>
          <w:szCs w:val="24"/>
        </w:rPr>
      </w:pPr>
      <w:r w:rsidRPr="00EA17BD">
        <w:t>3.</w:t>
      </w:r>
      <w:r w:rsidRPr="00EA17BD">
        <w:tab/>
        <w:t>konštatuje, že dostupný rozpočet na rok 2022</w:t>
      </w:r>
      <w:r w:rsidRPr="00EA17BD">
        <w:rPr>
          <w:rStyle w:val="FootnoteReference"/>
        </w:rPr>
        <w:footnoteReference w:id="14"/>
      </w:r>
      <w:r w:rsidRPr="00EA17BD">
        <w:t xml:space="preserve"> predstavoval 314,3 milióna EUR vo viazaných rozpočtových prostriedkoch</w:t>
      </w:r>
      <w:r w:rsidRPr="00EA17BD">
        <w:rPr>
          <w:rStyle w:val="FootnoteReference"/>
        </w:rPr>
        <w:footnoteReference w:id="15"/>
      </w:r>
      <w:r w:rsidRPr="00EA17BD">
        <w:t xml:space="preserve"> (v porovnaní s 15,8 milióna EUR v roku 2021), z toho 305,8 milióna EUR na operačné činnosti a 8 miliónov EUR na administratívne výdavky, a v platobných rozpočtových prostriedkoch</w:t>
      </w:r>
      <w:r w:rsidRPr="00EA17BD">
        <w:rPr>
          <w:rStyle w:val="FootnoteReference"/>
        </w:rPr>
        <w:footnoteReference w:id="16"/>
      </w:r>
      <w:r w:rsidRPr="00EA17BD">
        <w:t xml:space="preserve"> 118,3 milióna EUR (56,2 milióna EUR v roku 2021), z toho 109,7 milióna EUR na operačné činnosti a 8,1 milióna EUR na administratívne výdavky;</w:t>
      </w:r>
    </w:p>
    <w:p w:rsidR="001A646C" w:rsidRPr="00EA17BD" w:rsidRDefault="001A646C" w:rsidP="001A646C">
      <w:pPr>
        <w:spacing w:after="240"/>
        <w:ind w:left="567" w:hanging="567"/>
      </w:pPr>
      <w:r w:rsidRPr="00EA17BD">
        <w:t>4.</w:t>
      </w:r>
      <w:r w:rsidRPr="00EA17BD">
        <w:tab/>
        <w:t>konštatuje, že zmeny vo výške rozpočtu spoločného podniku pre čistý vodík vo veľkej miere závisia od fázy vykonávania viacročných programov v oblasti výskumu a inovácií, ktoré vykonáva; konštatuje, že v roku 2022 začal spoločný podnik pre čistý vodík s realizáciou programu Horizont Európa, a preto rozpočet na rok 2022 zahŕňa rozpočet na záväzky pre prvé výzvy programu Horizont Európa plánované na rok 2022 a rozpočet na platby súvisiace s platbami v rámci predbežného financovania;</w:t>
      </w:r>
    </w:p>
    <w:p w:rsidR="001A646C" w:rsidRPr="00EA17BD" w:rsidRDefault="001A646C" w:rsidP="001A646C">
      <w:pPr>
        <w:pStyle w:val="NormalHanging12a"/>
      </w:pPr>
      <w:r w:rsidRPr="00EA17BD">
        <w:t>5.</w:t>
      </w:r>
      <w:r w:rsidRPr="00EA17BD">
        <w:tab/>
        <w:t>konštatuje, že podľa Dvora audítorov sú informácie o príspevkoch členov na úrovni programu nedostatočné; víta záväzok spoločného podniku pre čistý vodík riešiť túto otázku;</w:t>
      </w:r>
    </w:p>
    <w:p w:rsidR="001A646C" w:rsidRPr="00EA17BD" w:rsidRDefault="001A646C" w:rsidP="001A646C">
      <w:pPr>
        <w:spacing w:after="240"/>
        <w:ind w:left="567" w:hanging="567"/>
      </w:pPr>
      <w:r w:rsidRPr="00EA17BD">
        <w:t>6.</w:t>
      </w:r>
      <w:r w:rsidRPr="00EA17BD">
        <w:tab/>
        <w:t>konštatuje, že v ročnej účtovnej závierke spoločného podniku pre čistý vodík za rok 2022 sa sumy príspevkov uznané za jednotlivé kategórie členov (EÚ a súkromní členovia) navzájom výrazne líšia; konštatuje, že dôvodom je, že hotovostné príspevky Únie sa potvrdzujú a zaúčtujú, keď sú spoločnému podniku pre čistý vodík vyplatené na začiatku realizácie projektu, ale nepeňažné príspevky členov sa zaúčtujú až po potvrdení vzniknutých a vykázaných nákladov na realizáciu projektu;</w:t>
      </w:r>
    </w:p>
    <w:p w:rsidR="001A646C" w:rsidRPr="00EA17BD" w:rsidRDefault="001A646C" w:rsidP="001A646C">
      <w:pPr>
        <w:pStyle w:val="NormalHanging12a"/>
      </w:pPr>
      <w:r w:rsidRPr="00EA17BD">
        <w:t>7.</w:t>
      </w:r>
      <w:r w:rsidRPr="00EA17BD">
        <w:tab/>
        <w:t>vyzýva spoločný podnik pre čistý vodík, aby riešil rozdiel medzi zaúčtovanými sumami hotovostných príspevkov na jednej strane a nepeňažnými príspevkami na druhej strane poskytnutím informácií o právnych záväzkoch členov spoločného podniku pre čistý vodík na konci roku, pokiaľ ide o podpísané dohody o grante a zmluvy;</w:t>
      </w:r>
    </w:p>
    <w:p w:rsidR="001A646C" w:rsidRPr="00EA17BD" w:rsidRDefault="001A646C" w:rsidP="001A646C">
      <w:pPr>
        <w:pStyle w:val="NormalHanging12a"/>
      </w:pPr>
      <w:r w:rsidRPr="00EA17BD">
        <w:t>8.</w:t>
      </w:r>
      <w:r w:rsidRPr="00EA17BD">
        <w:tab/>
        <w:t>víta, že pokiaľ ide o vykonávanie siedmeho rámcového programu v oblasti výskumu, spoločný podnik pre čistý vodík dosiahol cieľové hodnoty príspevkov členov;</w:t>
      </w:r>
    </w:p>
    <w:p w:rsidR="001A646C" w:rsidRPr="00EA17BD" w:rsidRDefault="001A646C" w:rsidP="001A646C">
      <w:pPr>
        <w:spacing w:after="240"/>
        <w:ind w:left="567" w:hanging="567"/>
        <w:rPr>
          <w:rFonts w:eastAsiaTheme="minorHAnsi"/>
          <w:szCs w:val="24"/>
        </w:rPr>
      </w:pPr>
      <w:r w:rsidRPr="00EA17BD">
        <w:t>9.</w:t>
      </w:r>
      <w:r w:rsidRPr="00EA17BD">
        <w:tab/>
        <w:t>konštatuje, že na konci roka 2022 spoločný podnik pre čistý vodík prijal záväzky vo výške 425,8 milióna EUR (resp. 95 %) maximálneho operačného príspevku EÚ vo výške 450 miliónov EUR na podpísané dohody o grante v rámci siedmeho rámcového programu v oblasti výskumu; konštatuje, že z tejto viazanej sumy sa mali v roku 2023 vyplatiť na ukončenie posledného prebiehajúceho projektu v rámci siedmeho rámcového programu v oblasti výskumu približne 3 milióny EUR (resp. 0,7 %); ďalej konštatuje, že na konci roku 2022 súkromní členovia vykázali nepeňažné príspevky vo výške minimálnej cieľovej sumy 450 miliónov EUR, ktorú spoločný podnik pre čistý vodík v plnom rozsahu potvrdil;</w:t>
      </w:r>
    </w:p>
    <w:p w:rsidR="001A646C" w:rsidRPr="00EA17BD" w:rsidRDefault="001A646C" w:rsidP="001A646C">
      <w:pPr>
        <w:spacing w:after="240"/>
        <w:ind w:left="567" w:hanging="567"/>
      </w:pPr>
      <w:r w:rsidRPr="00EA17BD">
        <w:t>10.</w:t>
      </w:r>
      <w:r w:rsidRPr="00EA17BD">
        <w:tab/>
        <w:t>konštatuje, že pokiaľ ide o program Horizont 2020, nízka úroveň potvrdených nepeňažných príspevkov súkromných členov na operačné činnosti vo výške 51,7 milióna EUR (2021: 38,6 milióna EUR) je spôsobená tým, že spoločný podnik pre čistý vodík ich certifikuje neskôr, keď sa uskutočňujú konečné platby na projekty programu Horizont 2020 a keď sa majú predložiť osvedčenia o finančnom výkaze;</w:t>
      </w:r>
    </w:p>
    <w:p w:rsidR="001A646C" w:rsidRPr="00EA17BD" w:rsidRDefault="001A646C" w:rsidP="001A646C">
      <w:pPr>
        <w:spacing w:after="240"/>
        <w:ind w:left="567" w:hanging="567"/>
      </w:pPr>
      <w:r w:rsidRPr="00EA17BD">
        <w:t>11.</w:t>
      </w:r>
      <w:r w:rsidRPr="00EA17BD">
        <w:tab/>
        <w:t>na základe správy Dvora audítorov konštatuje, že právne záväzky členov sú na úrovni ich cieľových príspevkov;</w:t>
      </w:r>
    </w:p>
    <w:p w:rsidR="001A646C" w:rsidRPr="00EA17BD" w:rsidRDefault="001A646C" w:rsidP="001A646C">
      <w:pPr>
        <w:spacing w:after="240"/>
        <w:ind w:left="567" w:hanging="567"/>
      </w:pPr>
      <w:r w:rsidRPr="00EA17BD">
        <w:t>12.</w:t>
      </w:r>
      <w:r w:rsidRPr="00EA17BD">
        <w:tab/>
        <w:t>konštatuje, že pokiaľ ide o výsledky dosiahnuté spoločným podnikom pre čistý vodík v rámci programu Horizont 2020 v súvislosti s podpísanými dohodami o grante a zmluvami, spoločný podnik pre čistý vodík sa na konci roka 2022 v plnej miere zaviazal vyčleniť maximálny operačný príspevok Únie vo výške 646 miliónov EUR na podpísané dohody o grante a zmluvy v rámci tohto programu; konštatuje, že z tejto viazanej sumy sa má v nasledujúcich rokoch vyplatiť na projekty a zákazky, ktoré sa ešte majú dokončiť, približne 88,5 milióna EUR (resp. 13,7 %) ;</w:t>
      </w:r>
    </w:p>
    <w:p w:rsidR="001A646C" w:rsidRPr="00EA17BD" w:rsidRDefault="001A646C" w:rsidP="001A646C">
      <w:pPr>
        <w:spacing w:after="240"/>
        <w:ind w:left="567" w:hanging="567"/>
      </w:pPr>
      <w:r w:rsidRPr="00EA17BD">
        <w:t>13.</w:t>
      </w:r>
      <w:r w:rsidRPr="00EA17BD">
        <w:tab/>
        <w:t>okrem toho konštatuje, že súkromní členovia sa zároveň právne zaviazali poskytnúť nepeňažné príspevky na operačné činnosti spoločného podniku pre čistý vodík vo výške 190,5 milióna EUR a nepeňažné príspevky na doplnkové činnosti vo výške 1,039 miliardy EUR (resp. 340,6 %) minimálnej cieľovej sumy vo výške 361 miliónov EUR; konštatuje, že tieto viazané sumy boli v plnej miere vykázané na konci roka 2022;</w:t>
      </w:r>
    </w:p>
    <w:p w:rsidR="001A646C" w:rsidRPr="00EA17BD" w:rsidRDefault="001A646C" w:rsidP="001A646C">
      <w:pPr>
        <w:spacing w:after="240"/>
        <w:ind w:left="567" w:hanging="567"/>
      </w:pPr>
      <w:r w:rsidRPr="00EA17BD">
        <w:t>14.</w:t>
      </w:r>
      <w:r w:rsidRPr="00EA17BD">
        <w:tab/>
        <w:t>konštatuje, že pokiaľ ide o činnosti programu Horizont 2020, spoločný podnik pre čistý vodík nedostal žiadne nové operačné viazané rozpočtové prostriedky, pretože svoju poslednú výzvu na predkladanie návrhov dokončil do konca roka 2020;</w:t>
      </w:r>
    </w:p>
    <w:p w:rsidR="001A646C" w:rsidRPr="00EA17BD" w:rsidRDefault="001A646C" w:rsidP="001A646C">
      <w:pPr>
        <w:spacing w:after="240"/>
        <w:ind w:left="567" w:hanging="567"/>
      </w:pPr>
      <w:r w:rsidRPr="00EA17BD">
        <w:t>15.</w:t>
      </w:r>
      <w:r w:rsidRPr="00EA17BD">
        <w:tab/>
        <w:t>konštatuje, že zo správy Dvora audítorov vyplýva, že miera vykonávania operačných platieb na činnosti programu Horizont 2020 z rozpočtu na rok 2022 sa znížila (81 % v roku 2022 v porovnaní s 88 % v roku 2021), keďže prijímatelia čelili rastúcim nákladom a problémom s vykonávaním v dôsledku krízy spôsobenej ochorením COVID-19 a útočnej vojny proti Ukrajine, a že v dôsledku toho sa muselo predĺžiť trvanie väčšiny projektov programu Horizont 2020 a záverečné platby sa odložili na rok 2023;</w:t>
      </w:r>
    </w:p>
    <w:p w:rsidR="001A646C" w:rsidRPr="00EA17BD" w:rsidRDefault="001A646C" w:rsidP="001A646C">
      <w:pPr>
        <w:spacing w:after="240"/>
        <w:ind w:left="567" w:hanging="567"/>
      </w:pPr>
      <w:r w:rsidRPr="00EA17BD">
        <w:t>16.</w:t>
      </w:r>
      <w:r w:rsidRPr="00EA17BD">
        <w:tab/>
        <w:t>konštatuje, že pokiaľ ide o program Horizont Európa, Komisia v roku 2022 poskytla peňažné príspevky vo výške 80 miliónov EUR, z ktorých spoločný podnik pre čistý vodík vyčlenil 47 miliónov EUR (resp. 59 %) na platby súvisiace s platbami v rámci predbežného financovania týkajúce sa prvých dohôd o grante uzavretých v rámci programu Horizont Európa;</w:t>
      </w:r>
    </w:p>
    <w:p w:rsidR="001A646C" w:rsidRPr="00EA17BD" w:rsidRDefault="001A646C" w:rsidP="001A646C">
      <w:pPr>
        <w:spacing w:after="240"/>
        <w:ind w:left="567" w:hanging="567"/>
      </w:pPr>
      <w:r w:rsidRPr="00EA17BD">
        <w:t>17.</w:t>
      </w:r>
      <w:r w:rsidRPr="00EA17BD">
        <w:tab/>
        <w:t>konštatuje, že spoločný podnik pre čistý vodík vyhlásil prvú výzvu na predkladanie návrhov v oblasti vodíka v rámci programu Horizont Európa v celkovej hodnote 300 miliónov EUR; konštatuje, že výsledkom hodnotenia výzvy na rok 2022 bolo stiahnutie štyroch tém, ku ktorým neboli predložené žiadne vhodné návrhy</w:t>
      </w:r>
      <w:r w:rsidRPr="00EA17BD">
        <w:rPr>
          <w:rStyle w:val="FootnoteReference"/>
        </w:rPr>
        <w:footnoteReference w:id="17"/>
      </w:r>
      <w:r w:rsidRPr="00EA17BD">
        <w:t>; konštatuje, že spoločný podnik pre čistý vodík presunul nevyužitý rozpočet na platby vo výške 33 miliónov EUR do roku 2023 na platby súvisiace s platbami v rámci predbežného financovania týkajúce sa nových dohôd o grante, ktoré sa mali podpísať začiatkom roka 2023;</w:t>
      </w:r>
    </w:p>
    <w:p w:rsidR="001A646C" w:rsidRPr="00EA17BD" w:rsidRDefault="001A646C" w:rsidP="001A646C">
      <w:pPr>
        <w:spacing w:after="240"/>
        <w:ind w:left="567" w:hanging="567"/>
      </w:pPr>
      <w:r w:rsidRPr="00EA17BD">
        <w:t>18.</w:t>
      </w:r>
      <w:r w:rsidRPr="00EA17BD">
        <w:tab/>
        <w:t>konštatuje, že zo správy Dvora audítorov vyplýva, že na konci roka 2022 bola miera plnenia administratívneho rozpočtu (hlava 2) nízka – 62 % v prípade viazaných rozpočtových prostriedkov a 51 % v prípade platobných rozpočtových prostriedkov; konštatuje, že spoločný podnik pre čistý vodík vysvetlil, že dôvodom bolo pozastavenie platieb v súvislosti s usporiadaním podujatia Týždeň vodíka, odložené verejné obstarávanie na renováciu kancelárskej budovy a oneskorené uzavretie dôležitej rámcovej zmluvy o poskytovaní služieb;</w:t>
      </w:r>
    </w:p>
    <w:p w:rsidR="001A646C" w:rsidRPr="00EA17BD" w:rsidRDefault="001A646C" w:rsidP="001A646C">
      <w:pPr>
        <w:spacing w:after="240"/>
        <w:ind w:left="720" w:hanging="720"/>
        <w:rPr>
          <w:b/>
          <w:i/>
        </w:rPr>
      </w:pPr>
      <w:r w:rsidRPr="00EA17BD">
        <w:rPr>
          <w:b/>
          <w:i/>
        </w:rPr>
        <w:t>Verejné obstarávanie a zamestnanci</w:t>
      </w:r>
    </w:p>
    <w:p w:rsidR="001A646C" w:rsidRPr="00EA17BD" w:rsidRDefault="001A646C" w:rsidP="001A646C">
      <w:pPr>
        <w:spacing w:after="240"/>
        <w:ind w:left="567" w:hanging="567"/>
      </w:pPr>
      <w:r w:rsidRPr="00EA17BD">
        <w:t>19.</w:t>
      </w:r>
      <w:r w:rsidRPr="00EA17BD">
        <w:tab/>
        <w:t xml:space="preserve">na základe konsolidovanej výročnej správy o činnosti konštatuje, že v roku 2022, v nadväznosti na prax spoločného podniku v uplynulých rokoch, riadenie výberových konaní a zákaziek zahŕňalo </w:t>
      </w:r>
      <w:proofErr w:type="spellStart"/>
      <w:r w:rsidRPr="00EA17BD">
        <w:t>medziinštitucionálne</w:t>
      </w:r>
      <w:proofErr w:type="spellEnd"/>
      <w:r w:rsidRPr="00EA17BD">
        <w:t xml:space="preserve"> postupy verejného obstarávania vyhlásené Komisiou alebo inými orgánmi EÚ a z nich vyplývajúce viacročné rámcové zmluvy; ďalej konštatuje, že spoločný podnik pre čistý vodík taktiež spolupracuje v oblasti verejného obstarávania s ostatnými spoločnými podnikmi s cieľom minimalizovať administratívne úsilie;</w:t>
      </w:r>
    </w:p>
    <w:p w:rsidR="001A646C" w:rsidRPr="00EA17BD" w:rsidRDefault="001A646C" w:rsidP="001A646C">
      <w:pPr>
        <w:spacing w:after="240"/>
        <w:ind w:left="567" w:hanging="567"/>
      </w:pPr>
      <w:r w:rsidRPr="00EA17BD">
        <w:t>20.</w:t>
      </w:r>
      <w:r w:rsidRPr="00EA17BD">
        <w:tab/>
        <w:t xml:space="preserve">konštatuje, že spoločný podnik pre čistý vodík intenzívne využíva moduly </w:t>
      </w:r>
      <w:proofErr w:type="spellStart"/>
      <w:r w:rsidRPr="00EA17BD">
        <w:t>eTendering</w:t>
      </w:r>
      <w:proofErr w:type="spellEnd"/>
      <w:r w:rsidRPr="00EA17BD">
        <w:t xml:space="preserve">, </w:t>
      </w:r>
      <w:proofErr w:type="spellStart"/>
      <w:r w:rsidRPr="00EA17BD">
        <w:t>eNotices</w:t>
      </w:r>
      <w:proofErr w:type="spellEnd"/>
      <w:r w:rsidRPr="00EA17BD">
        <w:t xml:space="preserve"> a </w:t>
      </w:r>
      <w:proofErr w:type="spellStart"/>
      <w:r w:rsidRPr="00EA17BD">
        <w:t>eSubmission</w:t>
      </w:r>
      <w:proofErr w:type="spellEnd"/>
      <w:r w:rsidRPr="00EA17BD">
        <w:t xml:space="preserve"> a začal proces integrácie nástroja riadenia verejného obstarávania (PPMT), ktorý bude v prevádzke v roku 2023;</w:t>
      </w:r>
    </w:p>
    <w:p w:rsidR="001A646C" w:rsidRPr="00EA17BD" w:rsidRDefault="001A646C" w:rsidP="001A646C">
      <w:pPr>
        <w:spacing w:after="240"/>
        <w:ind w:left="567" w:hanging="567"/>
      </w:pPr>
      <w:r w:rsidRPr="00EA17BD">
        <w:t>21.</w:t>
      </w:r>
      <w:r w:rsidRPr="00EA17BD">
        <w:tab/>
        <w:t>konštatuje, že tím stálych zamestnancov spoločného podniku pre čistý vodík pozostáva z 29 pracovných miest (27 miest dočasných zamestnancov a dve miesta zmluvných zamestnancov); okrem toho konštatuje, že personálne zdroje zahŕňajú aj dvoch vyslaných národných expertov;</w:t>
      </w:r>
    </w:p>
    <w:p w:rsidR="001A646C" w:rsidRPr="00EA17BD" w:rsidRDefault="001A646C" w:rsidP="001A646C">
      <w:pPr>
        <w:spacing w:after="240"/>
        <w:ind w:left="567" w:hanging="567"/>
      </w:pPr>
      <w:r w:rsidRPr="00EA17BD">
        <w:t>22.</w:t>
      </w:r>
      <w:r w:rsidRPr="00EA17BD">
        <w:tab/>
        <w:t xml:space="preserve">na základe konsolidovanej výročnej správy o činnosti z roku 2022 konštatuje, že digitálne pracovisko každého zamestnanca sa neustále modernizuje: zamestnancom spoločného podniku pre čistý vodík bol zabezpečený primeraný prístup ku kompletnému súboru žiadostí Komisie na účely riadenia grantov; zavedenie obnovy hardvéru sa uskutočnilo podľa plánu spolu s potrebnou obnovou licencií na základné aplikácie, ako sú </w:t>
      </w:r>
      <w:proofErr w:type="spellStart"/>
      <w:r w:rsidRPr="00EA17BD">
        <w:t>Slido</w:t>
      </w:r>
      <w:proofErr w:type="spellEnd"/>
      <w:r w:rsidRPr="00EA17BD">
        <w:t xml:space="preserve">, </w:t>
      </w:r>
      <w:proofErr w:type="spellStart"/>
      <w:r w:rsidRPr="00EA17BD">
        <w:t>Webex</w:t>
      </w:r>
      <w:proofErr w:type="spellEnd"/>
      <w:r w:rsidRPr="00EA17BD">
        <w:t xml:space="preserve">, Business </w:t>
      </w:r>
      <w:proofErr w:type="spellStart"/>
      <w:r w:rsidRPr="00EA17BD">
        <w:t>Object</w:t>
      </w:r>
      <w:proofErr w:type="spellEnd"/>
      <w:r w:rsidRPr="00EA17BD">
        <w:t>, Adobe alebo mobilná telefónia, čo každému zamestnancovi umožňuje väčšiu flexibilitu v rámci nového systému práce na diaľku;</w:t>
      </w:r>
    </w:p>
    <w:p w:rsidR="001A646C" w:rsidRPr="00EA17BD" w:rsidRDefault="001A646C" w:rsidP="001A646C">
      <w:pPr>
        <w:spacing w:after="240"/>
        <w:ind w:left="567" w:hanging="567"/>
      </w:pPr>
      <w:r w:rsidRPr="00EA17BD">
        <w:t>23.</w:t>
      </w:r>
      <w:r w:rsidRPr="00EA17BD">
        <w:tab/>
        <w:t xml:space="preserve">konštatuje, že v súlade so Služobným poriadkom úradníkov Európskej únie a Podmienkami zamestnávania ostatných zamestnancov Únie stanovenými v nariadení Rady (EHS, </w:t>
      </w:r>
      <w:proofErr w:type="spellStart"/>
      <w:r w:rsidRPr="00EA17BD">
        <w:t>Euratom</w:t>
      </w:r>
      <w:proofErr w:type="spellEnd"/>
      <w:r w:rsidRPr="00EA17BD">
        <w:t>, ESUO) č. 259/68</w:t>
      </w:r>
      <w:r w:rsidRPr="00EA17BD">
        <w:rPr>
          <w:rStyle w:val="FootnoteReference"/>
        </w:rPr>
        <w:footnoteReference w:id="18"/>
      </w:r>
      <w:r w:rsidRPr="00EA17BD">
        <w:t xml:space="preserve"> a v usmerneniach spoločného podniku pre čistý vodík by mal výbor zamestnancov vymenovať do výberovej komisie aspoň jedného člena pre vonkajšie postupy prijímania zamestnancov; konštatuje, že podľa zistení Dvora audítorov vo výberovej komisii pre kontrolované postupy prijímania zamestnancov nebol člen určený výborom zamestnancov a že spoločný podnik pre čistý vodík nemohol zriadiť výbor zamestnancov napriek tomu, že niekoľkokrát vyhlásil výberové konanie pre svojich zamestnancov;</w:t>
      </w:r>
    </w:p>
    <w:p w:rsidR="001A646C" w:rsidRPr="00EA17BD" w:rsidRDefault="001A646C" w:rsidP="001A646C">
      <w:pPr>
        <w:spacing w:after="240"/>
        <w:ind w:left="720" w:hanging="720"/>
        <w:rPr>
          <w:b/>
          <w:i/>
        </w:rPr>
      </w:pPr>
      <w:r w:rsidRPr="00EA17BD">
        <w:rPr>
          <w:b/>
          <w:i/>
        </w:rPr>
        <w:t>Systémy riadenia a kontroly</w:t>
      </w:r>
    </w:p>
    <w:p w:rsidR="001A646C" w:rsidRPr="00EA17BD" w:rsidRDefault="001A646C" w:rsidP="001A646C">
      <w:pPr>
        <w:spacing w:after="240"/>
        <w:ind w:left="567" w:hanging="567"/>
      </w:pPr>
      <w:r w:rsidRPr="00EA17BD">
        <w:t>24.</w:t>
      </w:r>
      <w:r w:rsidRPr="00EA17BD">
        <w:tab/>
        <w:t xml:space="preserve">konštatuje, že v prípade výdavkov v rámci siedmeho rámcového programu v oblasti výskumu vykonával </w:t>
      </w:r>
      <w:r w:rsidRPr="00EA17BD">
        <w:rPr>
          <w:i/>
          <w:iCs/>
        </w:rPr>
        <w:t>ex post</w:t>
      </w:r>
      <w:r w:rsidRPr="00EA17BD">
        <w:t xml:space="preserve"> audity spoločný podnik pre čistý vodík, zatiaľ čo za </w:t>
      </w:r>
      <w:r w:rsidRPr="00EA17BD">
        <w:rPr>
          <w:i/>
          <w:iCs/>
        </w:rPr>
        <w:t>ex post</w:t>
      </w:r>
      <w:r w:rsidRPr="00EA17BD">
        <w:t xml:space="preserve"> audity výdavkov programu Horizont 2020 a programu Horizont Európa bol zodpovedný útvar pre spoločný audit Generálneho riaditeľstva Komisie pre výskum a inováciu; okrem toho konštatuje, že v prípade konečných výdavkov v rámci siedmeho rámcového programu v oblasti výskumu uskutočnených v roku 2022 spoločný podnik pre čistý vodík nevykonal </w:t>
      </w:r>
      <w:r w:rsidRPr="00EA17BD">
        <w:rPr>
          <w:i/>
          <w:iCs/>
        </w:rPr>
        <w:t>ex post</w:t>
      </w:r>
      <w:r w:rsidRPr="00EA17BD">
        <w:t xml:space="preserve"> audity z dôvodu nevýznamných súm, a preto ako konečnú chybovosť výdavkov v rámci siedmeho rámcového programu v oblasti výskumu vykázal reprezentatívnu chybovosť vo výške 2,0 % a zvyškovú chybovosť vo výške 1,1 %, ktorú dosiahol na konci roka 2021;</w:t>
      </w:r>
    </w:p>
    <w:p w:rsidR="001A646C" w:rsidRPr="00EA17BD" w:rsidRDefault="001A646C" w:rsidP="001A646C">
      <w:pPr>
        <w:spacing w:after="240"/>
        <w:ind w:left="567" w:hanging="567"/>
      </w:pPr>
      <w:r w:rsidRPr="00EA17BD">
        <w:t>25.</w:t>
      </w:r>
      <w:r w:rsidRPr="00EA17BD">
        <w:tab/>
        <w:t>konštatuje, že pokiaľ ide o výdavky spoločného podniku pre čistý vodík na program Horizont 2020 (zúčtovanie a záverečné platby), spoločný podnik vykázal reprezentatívnu chybovosť vo výške 2,9 % a zvyškovú chybovosť vo výške 0,9 %</w:t>
      </w:r>
      <w:r w:rsidRPr="00EA17BD">
        <w:rPr>
          <w:rStyle w:val="FootnoteReference"/>
        </w:rPr>
        <w:footnoteReference w:id="19"/>
      </w:r>
      <w:r w:rsidRPr="00EA17BD">
        <w:t xml:space="preserve">; ďalej konštatuje, že v prípade programu Horizont Európa neboli vykonané žiadne </w:t>
      </w:r>
      <w:r w:rsidRPr="00EA17BD">
        <w:rPr>
          <w:i/>
          <w:iCs/>
        </w:rPr>
        <w:t>ex post</w:t>
      </w:r>
      <w:r w:rsidRPr="00EA17BD">
        <w:t xml:space="preserve"> audity, keďže prvé priebežné platby sa očakávajú až v roku 2024;</w:t>
      </w:r>
    </w:p>
    <w:p w:rsidR="001A646C" w:rsidRPr="00EA17BD" w:rsidRDefault="001A646C" w:rsidP="001A646C">
      <w:pPr>
        <w:spacing w:after="240"/>
        <w:ind w:left="567" w:hanging="567"/>
      </w:pPr>
      <w:r w:rsidRPr="00EA17BD">
        <w:t>26.</w:t>
      </w:r>
      <w:r w:rsidRPr="00EA17BD">
        <w:tab/>
        <w:t>konštatuje, že s cieľom posúdiť kontroly operačných platieb v spoločnom podniku pre čistý vodík Dvor audítorov na úrovni konečných prijímateľov vykonal audit náhodne vybratej vzorky platieb z programu Horizont 2020 uhradených v roku 2022</w:t>
      </w:r>
      <w:r w:rsidRPr="00EA17BD">
        <w:rPr>
          <w:rStyle w:val="FootnoteReference"/>
        </w:rPr>
        <w:footnoteReference w:id="20"/>
      </w:r>
      <w:r w:rsidRPr="00EA17BD">
        <w:t>; konštatuje, že v jednom prípade Dvor audítorov zistil a vyčíslil závažnú chybu vyplývajúcu z personálnych nákladov, pretože prijímateľ vykázal hodiny odpracované počas dovolenky a do vykázaných nákladov zahrnul neoprávnené dodatočné náklady na odmeny, pričom v ďalšom prípade Dvor audítorov zistil a vyčíslil závažnú chybu vyplývajúcu z nákladov vykázaných na zariadenie, ktoré prijímateľ počas vykazovaného obdobia nepoužíval, a z nesprávne vypočítaných personálnych nákladov;</w:t>
      </w:r>
    </w:p>
    <w:p w:rsidR="001A646C" w:rsidRPr="00EA17BD" w:rsidRDefault="001A646C" w:rsidP="001A646C">
      <w:pPr>
        <w:pStyle w:val="NormalHanging12a"/>
      </w:pPr>
      <w:r w:rsidRPr="00EA17BD">
        <w:t>27.</w:t>
      </w:r>
      <w:r w:rsidRPr="00EA17BD">
        <w:tab/>
        <w:t>víta skutočnosť, že na konci roka 2022 spoločný podnik pre čistý vodík vypracoval a zaviedol kompletný prístup založený na riziku k predbežným kontrolám v súlade s usmerneniami útvaru Komisie pre spoločný audit, pričom zohľadnil okolnosti súvisiace s rizikom špecifickým pre spoločný podnik pre čistý vodík; konštatuje, že na tento účel sa spoločnému podniku pre čistý vodík podarilo identifikovať najrelevantnejšie kritériá rizika a na základe nich navrhol prístup k monitorovaniu založenému na riziku;</w:t>
      </w:r>
    </w:p>
    <w:p w:rsidR="001A646C" w:rsidRPr="00EA17BD" w:rsidRDefault="001A646C" w:rsidP="001A646C">
      <w:pPr>
        <w:spacing w:after="240"/>
        <w:ind w:left="567" w:hanging="567"/>
      </w:pPr>
      <w:r w:rsidRPr="00EA17BD">
        <w:t>28.</w:t>
      </w:r>
      <w:r w:rsidRPr="00EA17BD">
        <w:tab/>
        <w:t>konštatuje, že takýto prístup umožnil spoločnému podniku pre čistý vodík posúdiť úroveň rizika každého projektu a prijímateľa počas hlavných fáz realizácie projektu, ako je príprava dohody o grante, zmena dohody o grante, podávanie správ a platba; konštatuje, že v tejto súvislosti vypracoval spoločný podnik pre čistý vodík aj interné usmernenia týkajúce sa prístupu založeného na riziku a vyškolil a usmerňoval svojich zamestnancov na jeho riadne a dôsledné využívanie;</w:t>
      </w:r>
    </w:p>
    <w:p w:rsidR="001A646C" w:rsidRPr="00EA17BD" w:rsidRDefault="001A646C" w:rsidP="001A646C">
      <w:pPr>
        <w:pStyle w:val="NormalHanging12a"/>
      </w:pPr>
      <w:r w:rsidRPr="00EA17BD">
        <w:t>29.</w:t>
      </w:r>
      <w:r w:rsidRPr="00EA17BD">
        <w:tab/>
        <w:t>víta, že spoločný podnik pre čistý vodík vypracoval prístup k </w:t>
      </w:r>
      <w:r w:rsidRPr="00EA17BD">
        <w:rPr>
          <w:i/>
          <w:iCs/>
        </w:rPr>
        <w:t>ex post</w:t>
      </w:r>
      <w:r w:rsidRPr="00EA17BD">
        <w:t xml:space="preserve"> auditom založený na riziku s cieľom znížiť svoju chybovosť posilnením čistiaceho účinku ich </w:t>
      </w:r>
      <w:r w:rsidRPr="00EA17BD">
        <w:rPr>
          <w:i/>
          <w:iCs/>
        </w:rPr>
        <w:t>ex post</w:t>
      </w:r>
      <w:r w:rsidRPr="00EA17BD">
        <w:t xml:space="preserve"> auditov;</w:t>
      </w:r>
    </w:p>
    <w:p w:rsidR="001A646C" w:rsidRPr="00EA17BD" w:rsidRDefault="001A646C" w:rsidP="001A646C">
      <w:pPr>
        <w:pStyle w:val="NormalHanging12a"/>
      </w:pPr>
      <w:r w:rsidRPr="00EA17BD">
        <w:t>30.</w:t>
      </w:r>
      <w:r w:rsidRPr="00EA17BD">
        <w:tab/>
        <w:t xml:space="preserve">konštatuje, že zo správy Dvora audítorov vyplýva, že spoločný podnik pre čistý vodík vypracoval prispôsobený prístup založený na riziku s cieľom posilniť vierohodnosť, ktorú zabezpečujú </w:t>
      </w:r>
      <w:r w:rsidRPr="00EA17BD">
        <w:rPr>
          <w:i/>
          <w:iCs/>
        </w:rPr>
        <w:t xml:space="preserve">ex </w:t>
      </w:r>
      <w:proofErr w:type="spellStart"/>
      <w:r w:rsidRPr="00EA17BD">
        <w:rPr>
          <w:i/>
          <w:iCs/>
        </w:rPr>
        <w:t>ante</w:t>
      </w:r>
      <w:proofErr w:type="spellEnd"/>
      <w:r w:rsidRPr="00EA17BD">
        <w:t xml:space="preserve"> kontroly a </w:t>
      </w:r>
      <w:r w:rsidRPr="00EA17BD">
        <w:rPr>
          <w:i/>
          <w:iCs/>
        </w:rPr>
        <w:t>ex post</w:t>
      </w:r>
      <w:r w:rsidRPr="00EA17BD">
        <w:t xml:space="preserve"> audity: na začiatku roka 2022 spoločný podnik pre čistý vodík analyzoval celý súbor svojich prijímateľov v rámci programu Horizont 2020 a označil prijímateľov, ktorí predstavujú najvyššie riziko, pokiaľ ide o </w:t>
      </w:r>
      <w:r w:rsidRPr="00EA17BD">
        <w:rPr>
          <w:i/>
          <w:iCs/>
        </w:rPr>
        <w:t>ex post</w:t>
      </w:r>
      <w:r w:rsidRPr="00EA17BD">
        <w:t xml:space="preserve"> audity založené na riziku; konštatuje, že najrizikovejšími prijímateľmi boli všetci hlavní prijímatelia s príspevkom spoločného podniku pre čistý vodík presahujúcim 1 milión EUR v rámci všetkých projektov programu Horizont 2020 prevádzkovaných spoločným podnikom pre čistý vodík, ktorí nikdy neboli predmetom </w:t>
      </w:r>
      <w:r w:rsidRPr="00EA17BD">
        <w:rPr>
          <w:i/>
          <w:iCs/>
        </w:rPr>
        <w:t>ex post</w:t>
      </w:r>
      <w:r w:rsidRPr="00EA17BD">
        <w:t xml:space="preserve"> auditu a mali rizikový profil malých a stredných podnikov alebo </w:t>
      </w:r>
      <w:proofErr w:type="spellStart"/>
      <w:r w:rsidRPr="00EA17BD">
        <w:t>novoprichádzajúceho</w:t>
      </w:r>
      <w:proofErr w:type="spellEnd"/>
      <w:r w:rsidRPr="00EA17BD">
        <w:t xml:space="preserve"> subjektu; </w:t>
      </w:r>
    </w:p>
    <w:p w:rsidR="001A646C" w:rsidRPr="00EA17BD" w:rsidRDefault="001A646C" w:rsidP="001A646C">
      <w:pPr>
        <w:spacing w:after="240"/>
        <w:ind w:left="567" w:hanging="567"/>
      </w:pPr>
      <w:r w:rsidRPr="00EA17BD">
        <w:t>31.</w:t>
      </w:r>
      <w:r w:rsidRPr="00EA17BD">
        <w:tab/>
        <w:t xml:space="preserve">konštatuje, že ostatní hlavní prijímatelia boli vyzvaní, aby vyplnili stručný dotazník sebahodnotenia, ktorý sa zameral na najbežnejšie chyby zistené pri predchádzajúcich </w:t>
      </w:r>
      <w:r w:rsidRPr="00EA17BD">
        <w:rPr>
          <w:i/>
          <w:iCs/>
        </w:rPr>
        <w:t>ex post</w:t>
      </w:r>
      <w:r w:rsidRPr="00EA17BD">
        <w:t xml:space="preserve"> auditoch, ako je zložitosť zvolenej možnosti nákladov na zamestnancov, významné subdodávky, nákup aktív, interné dodávky, metóda vykazovania nákladov a vykonávanie výsledkov predchádzajúcich </w:t>
      </w:r>
      <w:r w:rsidRPr="00EA17BD">
        <w:rPr>
          <w:i/>
          <w:iCs/>
        </w:rPr>
        <w:t>ex post</w:t>
      </w:r>
      <w:r w:rsidRPr="00EA17BD">
        <w:t xml:space="preserve"> auditov; konštatuje, že na základe ich odpovedí spoločný podnik pre čistý vodík identifikoval hlavných prijímateľov s vysokým rizikom zisteným v rámci </w:t>
      </w:r>
      <w:r w:rsidRPr="00EA17BD">
        <w:rPr>
          <w:i/>
          <w:iCs/>
        </w:rPr>
        <w:t xml:space="preserve">ex </w:t>
      </w:r>
      <w:proofErr w:type="spellStart"/>
      <w:r w:rsidRPr="00EA17BD">
        <w:rPr>
          <w:i/>
          <w:iCs/>
        </w:rPr>
        <w:t>ante</w:t>
      </w:r>
      <w:proofErr w:type="spellEnd"/>
      <w:r w:rsidRPr="00EA17BD">
        <w:t xml:space="preserve"> kontroly, usporiadal pre nich finančné webové semináre a zameral sa na kľúčové charakteristiky správneho vyhlásenia o nákladoch vrátane významných nákladových položiek; ďalej konštatuje, že výsledky </w:t>
      </w:r>
      <w:proofErr w:type="spellStart"/>
      <w:r w:rsidRPr="00EA17BD">
        <w:t>webinárov</w:t>
      </w:r>
      <w:proofErr w:type="spellEnd"/>
      <w:r w:rsidRPr="00EA17BD">
        <w:t xml:space="preserve"> využili projektoví a finanční pracovníci spoločného podniku pre čistý vodík na zlepšenie účinnosti </w:t>
      </w:r>
      <w:r w:rsidRPr="00EA17BD">
        <w:rPr>
          <w:i/>
          <w:iCs/>
        </w:rPr>
        <w:t xml:space="preserve">ex </w:t>
      </w:r>
      <w:proofErr w:type="spellStart"/>
      <w:r w:rsidRPr="00EA17BD">
        <w:rPr>
          <w:i/>
          <w:iCs/>
        </w:rPr>
        <w:t>ante</w:t>
      </w:r>
      <w:proofErr w:type="spellEnd"/>
      <w:r w:rsidRPr="00EA17BD">
        <w:t xml:space="preserve"> kontrol pre nadchádzajúce výkazy nákladov týchto hlavných prijímateľov (platobná fáza);</w:t>
      </w:r>
    </w:p>
    <w:p w:rsidR="001A646C" w:rsidRPr="00EA17BD" w:rsidRDefault="001A646C" w:rsidP="001A646C">
      <w:pPr>
        <w:spacing w:after="240"/>
        <w:ind w:left="567" w:hanging="567"/>
      </w:pPr>
      <w:r w:rsidRPr="00EA17BD">
        <w:t>32.</w:t>
      </w:r>
      <w:r w:rsidRPr="00EA17BD">
        <w:tab/>
        <w:t xml:space="preserve">oceňuje, že spoločný podnik pre čistý vodík vypracoval prístup týkajúci sa </w:t>
      </w:r>
      <w:r w:rsidRPr="00EA17BD">
        <w:rPr>
          <w:i/>
          <w:iCs/>
        </w:rPr>
        <w:t>ex post</w:t>
      </w:r>
      <w:r w:rsidRPr="00EA17BD">
        <w:t xml:space="preserve"> auditu založený na riziku s cieľom znížiť svoju chybovosť prostredníctvom lepšie cielenej vzorky na odhalenie prijímateľov, ktorí sú najviac náchylní na chyby, a tým posilniť čistiaci účinok ich </w:t>
      </w:r>
      <w:r w:rsidRPr="00EA17BD">
        <w:rPr>
          <w:i/>
          <w:iCs/>
        </w:rPr>
        <w:t>ex post</w:t>
      </w:r>
      <w:r w:rsidRPr="00EA17BD">
        <w:t xml:space="preserve"> auditov; považuje to za významnú pozitívnu zmenu v prístupe týkajúcom sa </w:t>
      </w:r>
      <w:r w:rsidRPr="00EA17BD">
        <w:rPr>
          <w:i/>
          <w:iCs/>
        </w:rPr>
        <w:t>ex post</w:t>
      </w:r>
      <w:r w:rsidRPr="00EA17BD">
        <w:t xml:space="preserve"> auditu, keďže rámec vnútornej kontroly Komisie pre granty programu Horizont Európa neumožňuje stanoviť špecifické reprezentatívne vzorky spoločného podniku a následne vypočítať špecifickú reprezentatívnu a zvyškovú chybovosť spoločných podnikov;</w:t>
      </w:r>
    </w:p>
    <w:p w:rsidR="001A646C" w:rsidRPr="00EA17BD" w:rsidRDefault="001A646C" w:rsidP="001A646C">
      <w:pPr>
        <w:spacing w:after="240"/>
        <w:ind w:left="567" w:hanging="567"/>
      </w:pPr>
      <w:r w:rsidRPr="00EA17BD">
        <w:t>33.</w:t>
      </w:r>
      <w:r w:rsidRPr="00EA17BD">
        <w:tab/>
        <w:t xml:space="preserve">konštatuje, že Dvor audítorov zistil, že spoločné podniky s dobre rozvinutým prístupom k </w:t>
      </w:r>
      <w:r w:rsidRPr="00EA17BD">
        <w:rPr>
          <w:i/>
          <w:iCs/>
        </w:rPr>
        <w:t>ex post</w:t>
      </w:r>
      <w:r w:rsidRPr="00EA17BD">
        <w:t xml:space="preserve"> auditom založeným na riziku vykazujú zvyškovú chybovosť pod priemerom spoločných podnikov bez takéhoto prístupu z dôvodu systematickej identifikácie a auditu najrizikovejších prijímateľov;</w:t>
      </w:r>
    </w:p>
    <w:p w:rsidR="001A646C" w:rsidRPr="00EA17BD" w:rsidRDefault="001A646C" w:rsidP="001A646C">
      <w:pPr>
        <w:spacing w:after="240"/>
        <w:rPr>
          <w:b/>
          <w:i/>
        </w:rPr>
      </w:pPr>
      <w:r w:rsidRPr="00EA17BD">
        <w:rPr>
          <w:b/>
          <w:i/>
        </w:rPr>
        <w:t>Kontrola prijatia opatrení na základe pripomienok z predchádzajúcich rokov</w:t>
      </w:r>
    </w:p>
    <w:p w:rsidR="001A646C" w:rsidRPr="00EA17BD" w:rsidRDefault="001A646C" w:rsidP="001A646C">
      <w:pPr>
        <w:spacing w:after="240"/>
        <w:ind w:left="567" w:hanging="567"/>
      </w:pPr>
      <w:r w:rsidRPr="00EA17BD">
        <w:t>34.</w:t>
      </w:r>
      <w:r w:rsidRPr="00EA17BD">
        <w:tab/>
        <w:t>konštatuje, že „pripomienky“ v osobitných výročných správach spoločného podniku pre čistý vodík v skutočnosti „nie sú časovo vymedzenými odporúčaniami“ Dvora audítorov; konštatuje, že Dvor audítorov každoročne tieto pripomienky kontroluje a posudzuje ich stav ako „otvorené“ alebo „uzavreté“;</w:t>
      </w:r>
    </w:p>
    <w:p w:rsidR="001A646C" w:rsidRPr="00EA17BD" w:rsidRDefault="001A646C" w:rsidP="001A646C">
      <w:pPr>
        <w:spacing w:after="240"/>
        <w:ind w:left="567" w:hanging="567"/>
      </w:pPr>
      <w:r w:rsidRPr="00EA17BD">
        <w:t>35.</w:t>
      </w:r>
      <w:r w:rsidRPr="00EA17BD">
        <w:tab/>
        <w:t>konštatuje, že v prípade spoločného podniku pre čistý vodík boli všetky pripomienky z predchádzajúcich rokov uzavreté, pretože spoločný podnik pre čistý vodík prijal nápravné opatrenia počas roka 2022.</w:t>
      </w:r>
    </w:p>
    <w:sectPr w:rsidR="001A646C" w:rsidRPr="00EA17BD" w:rsidSect="006454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2B99" w:rsidRPr="0064549F" w:rsidRDefault="00DF2B99">
      <w:r w:rsidRPr="0064549F">
        <w:separator/>
      </w:r>
    </w:p>
  </w:endnote>
  <w:endnote w:type="continuationSeparator" w:id="0">
    <w:p w:rsidR="00DF2B99" w:rsidRPr="0064549F" w:rsidRDefault="00DF2B99">
      <w:r w:rsidRPr="0064549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646C" w:rsidRPr="0064549F" w:rsidRDefault="001A646C" w:rsidP="000435ED">
    <w:pPr>
      <w:pStyle w:val="EPFooter"/>
    </w:pPr>
    <w:r w:rsidRPr="0064549F">
      <w:t>PE</w:t>
    </w:r>
    <w:r w:rsidRPr="0064549F">
      <w:rPr>
        <w:rStyle w:val="HideTWBExt"/>
      </w:rPr>
      <w:t>&lt;NoPE&gt;</w:t>
    </w:r>
    <w:r w:rsidRPr="0064549F">
      <w:t>753.490</w:t>
    </w:r>
    <w:r w:rsidRPr="0064549F">
      <w:rPr>
        <w:rStyle w:val="HideTWBExt"/>
      </w:rPr>
      <w:t>&lt;/NoPE&gt;&lt;Version&gt;</w:t>
    </w:r>
    <w:r w:rsidRPr="0064549F">
      <w:t>v02-00</w:t>
    </w:r>
    <w:r w:rsidRPr="0064549F">
      <w:rPr>
        <w:rStyle w:val="HideTWBExt"/>
      </w:rPr>
      <w:t>&lt;/Version&gt;</w:t>
    </w:r>
    <w:r w:rsidRPr="0064549F">
      <w:tab/>
    </w:r>
    <w:r w:rsidRPr="0064549F">
      <w:fldChar w:fldCharType="begin"/>
    </w:r>
    <w:r w:rsidRPr="0064549F">
      <w:instrText xml:space="preserve"> PAGE  \* MERGEFORMAT </w:instrText>
    </w:r>
    <w:r w:rsidRPr="0064549F">
      <w:fldChar w:fldCharType="separate"/>
    </w:r>
    <w:r w:rsidR="0064549F" w:rsidRPr="0064549F">
      <w:rPr>
        <w:noProof/>
      </w:rPr>
      <w:t>2</w:t>
    </w:r>
    <w:r w:rsidRPr="0064549F">
      <w:fldChar w:fldCharType="end"/>
    </w:r>
    <w:r w:rsidRPr="0064549F">
      <w:t>/</w:t>
    </w:r>
    <w:fldSimple w:instr=" NUMPAGES  \* MERGEFORMAT ">
      <w:r w:rsidR="0064549F" w:rsidRPr="0064549F">
        <w:rPr>
          <w:noProof/>
        </w:rPr>
        <w:t>4</w:t>
      </w:r>
    </w:fldSimple>
    <w:r w:rsidRPr="0064549F">
      <w:tab/>
    </w:r>
    <w:r w:rsidRPr="0064549F">
      <w:rPr>
        <w:rStyle w:val="HideTWBExt"/>
      </w:rPr>
      <w:t>&lt;PathFdR&gt;</w:t>
    </w:r>
    <w:r w:rsidRPr="0064549F">
      <w:t>RR\1298721SK.docx</w:t>
    </w:r>
    <w:r w:rsidRPr="0064549F">
      <w:rPr>
        <w:rStyle w:val="HideTWBExt"/>
      </w:rPr>
      <w:t>&lt;/PathFdR&gt;</w:t>
    </w:r>
  </w:p>
  <w:p w:rsidR="001A646C" w:rsidRPr="0064549F" w:rsidRDefault="001A646C" w:rsidP="000435ED">
    <w:pPr>
      <w:pStyle w:val="EPFooter2"/>
    </w:pPr>
    <w:r w:rsidRPr="0064549F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646C" w:rsidRPr="0064549F" w:rsidRDefault="001A646C" w:rsidP="000435ED">
    <w:pPr>
      <w:pStyle w:val="EPFooter"/>
    </w:pPr>
    <w:r w:rsidRPr="0064549F">
      <w:rPr>
        <w:rStyle w:val="HideTWBExt"/>
      </w:rPr>
      <w:t>&lt;PathFdR&gt;</w:t>
    </w:r>
    <w:r w:rsidRPr="0064549F">
      <w:t>RR\1298721SK.docx</w:t>
    </w:r>
    <w:r w:rsidRPr="0064549F">
      <w:rPr>
        <w:rStyle w:val="HideTWBExt"/>
      </w:rPr>
      <w:t>&lt;/PathFdR&gt;</w:t>
    </w:r>
    <w:r w:rsidRPr="0064549F">
      <w:tab/>
    </w:r>
    <w:r w:rsidRPr="0064549F">
      <w:tab/>
      <w:t>PE</w:t>
    </w:r>
    <w:r w:rsidRPr="0064549F">
      <w:rPr>
        <w:rStyle w:val="HideTWBExt"/>
      </w:rPr>
      <w:t>&lt;NoPE&gt;</w:t>
    </w:r>
    <w:r w:rsidRPr="0064549F">
      <w:t>753.490</w:t>
    </w:r>
    <w:r w:rsidRPr="0064549F">
      <w:rPr>
        <w:rStyle w:val="HideTWBExt"/>
      </w:rPr>
      <w:t>&lt;/NoPE&gt;&lt;Version&gt;</w:t>
    </w:r>
    <w:r w:rsidRPr="0064549F">
      <w:t>v02-00</w:t>
    </w:r>
    <w:r w:rsidRPr="0064549F">
      <w:rPr>
        <w:rStyle w:val="HideTWBExt"/>
      </w:rPr>
      <w:t>&lt;/Version&gt;</w:t>
    </w:r>
  </w:p>
  <w:p w:rsidR="001A646C" w:rsidRPr="0064549F" w:rsidRDefault="001A646C" w:rsidP="000435ED">
    <w:pPr>
      <w:pStyle w:val="EPFooter2"/>
    </w:pPr>
    <w:r w:rsidRPr="0064549F">
      <w:t>SK</w:t>
    </w:r>
    <w:r w:rsidRPr="0064549F">
      <w:tab/>
    </w:r>
    <w:r w:rsidRPr="0064549F">
      <w:rPr>
        <w:b w:val="0"/>
        <w:i/>
        <w:color w:val="C0C0C0"/>
        <w:sz w:val="22"/>
      </w:rPr>
      <w:t>Zjednotení v rozmanitosti</w:t>
    </w:r>
    <w:r w:rsidRPr="0064549F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4549F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4549F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4549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2B99" w:rsidRPr="0064549F" w:rsidRDefault="00DF2B99">
      <w:r w:rsidRPr="0064549F">
        <w:separator/>
      </w:r>
    </w:p>
  </w:footnote>
  <w:footnote w:type="continuationSeparator" w:id="0">
    <w:p w:rsidR="00DF2B99" w:rsidRPr="0064549F" w:rsidRDefault="00DF2B99">
      <w:r w:rsidRPr="0064549F">
        <w:continuationSeparator/>
      </w:r>
    </w:p>
  </w:footnote>
  <w:footnote w:id="1">
    <w:p w:rsidR="001A646C" w:rsidRPr="0064549F" w:rsidRDefault="001A646C" w:rsidP="0064549F">
      <w:pPr>
        <w:pStyle w:val="FootnoteText"/>
        <w:ind w:left="567" w:hanging="567"/>
        <w:rPr>
          <w:sz w:val="24"/>
          <w:lang w:val="sk-SK"/>
        </w:rPr>
      </w:pPr>
      <w:r w:rsidRPr="0064549F">
        <w:rPr>
          <w:rStyle w:val="FootnoteReference"/>
          <w:sz w:val="24"/>
          <w:lang w:val="sk-SK"/>
        </w:rPr>
        <w:footnoteRef/>
      </w:r>
      <w:r w:rsidR="0064549F" w:rsidRPr="0064549F">
        <w:rPr>
          <w:sz w:val="24"/>
          <w:lang w:val="sk-SK"/>
        </w:rPr>
        <w:t xml:space="preserve"> </w:t>
      </w:r>
      <w:r w:rsidR="0064549F" w:rsidRPr="0064549F">
        <w:rPr>
          <w:sz w:val="24"/>
          <w:lang w:val="sk-SK"/>
        </w:rPr>
        <w:tab/>
      </w:r>
      <w:r w:rsidRPr="0064549F">
        <w:rPr>
          <w:sz w:val="24"/>
          <w:lang w:val="sk-SK"/>
        </w:rPr>
        <w:t>Ú. v. EÚ C, C/2023/1025, 16.11.2023.</w:t>
      </w:r>
    </w:p>
  </w:footnote>
  <w:footnote w:id="2">
    <w:p w:rsidR="001A646C" w:rsidRPr="0064549F" w:rsidRDefault="001A646C" w:rsidP="0064549F">
      <w:pPr>
        <w:pStyle w:val="FootnoteText"/>
        <w:ind w:left="567" w:hanging="567"/>
        <w:rPr>
          <w:sz w:val="24"/>
          <w:lang w:val="sk-SK"/>
        </w:rPr>
      </w:pPr>
      <w:r w:rsidRPr="0064549F">
        <w:rPr>
          <w:rStyle w:val="FootnoteReference"/>
          <w:sz w:val="24"/>
          <w:lang w:val="sk-SK"/>
        </w:rPr>
        <w:footnoteRef/>
      </w:r>
      <w:r w:rsidR="0064549F" w:rsidRPr="0064549F">
        <w:rPr>
          <w:sz w:val="24"/>
          <w:lang w:val="sk-SK"/>
        </w:rPr>
        <w:t xml:space="preserve"> </w:t>
      </w:r>
      <w:r w:rsidR="0064549F" w:rsidRPr="0064549F">
        <w:rPr>
          <w:sz w:val="24"/>
          <w:lang w:val="sk-SK"/>
        </w:rPr>
        <w:tab/>
      </w:r>
      <w:r w:rsidRPr="0064549F">
        <w:rPr>
          <w:sz w:val="24"/>
          <w:lang w:val="sk-SK"/>
        </w:rPr>
        <w:t>Ú. v. EÚ C, C/2023/112, 12.10.2023.</w:t>
      </w:r>
    </w:p>
  </w:footnote>
  <w:footnote w:id="3">
    <w:p w:rsidR="001A646C" w:rsidRPr="0064549F" w:rsidRDefault="001A646C" w:rsidP="0064549F">
      <w:pPr>
        <w:pStyle w:val="FootnoteText"/>
        <w:ind w:left="567" w:hanging="567"/>
        <w:rPr>
          <w:sz w:val="24"/>
          <w:lang w:val="sk-SK"/>
        </w:rPr>
      </w:pPr>
      <w:r w:rsidRPr="0064549F">
        <w:rPr>
          <w:rStyle w:val="FootnoteReference"/>
          <w:sz w:val="24"/>
          <w:lang w:val="sk-SK"/>
        </w:rPr>
        <w:footnoteRef/>
      </w:r>
      <w:r w:rsidR="0064549F" w:rsidRPr="0064549F">
        <w:rPr>
          <w:sz w:val="24"/>
          <w:lang w:val="sk-SK"/>
        </w:rPr>
        <w:t xml:space="preserve"> </w:t>
      </w:r>
      <w:r w:rsidR="0064549F" w:rsidRPr="0064549F">
        <w:rPr>
          <w:sz w:val="24"/>
          <w:lang w:val="sk-SK"/>
        </w:rPr>
        <w:tab/>
      </w:r>
      <w:r w:rsidRPr="0064549F">
        <w:rPr>
          <w:sz w:val="24"/>
          <w:lang w:val="sk-SK"/>
        </w:rPr>
        <w:t>Ú. v. EÚ L 193, 30.7.2018, s. 1.</w:t>
      </w:r>
    </w:p>
  </w:footnote>
  <w:footnote w:id="4">
    <w:p w:rsidR="001A646C" w:rsidRPr="0064549F" w:rsidRDefault="001A646C" w:rsidP="0064549F">
      <w:pPr>
        <w:pStyle w:val="FootnoteText"/>
        <w:ind w:left="567" w:hanging="567"/>
        <w:rPr>
          <w:sz w:val="24"/>
          <w:szCs w:val="24"/>
          <w:lang w:val="sk-SK"/>
        </w:rPr>
      </w:pPr>
      <w:r w:rsidRPr="0064549F">
        <w:rPr>
          <w:rStyle w:val="FootnoteReference"/>
          <w:sz w:val="24"/>
          <w:lang w:val="sk-SK"/>
        </w:rPr>
        <w:footnoteRef/>
      </w:r>
      <w:r w:rsidR="0064549F" w:rsidRPr="0064549F">
        <w:rPr>
          <w:sz w:val="24"/>
          <w:lang w:val="sk-SK"/>
        </w:rPr>
        <w:t xml:space="preserve"> </w:t>
      </w:r>
      <w:r w:rsidR="0064549F" w:rsidRPr="0064549F">
        <w:rPr>
          <w:sz w:val="24"/>
          <w:lang w:val="sk-SK"/>
        </w:rPr>
        <w:tab/>
      </w:r>
      <w:r w:rsidRPr="0064549F">
        <w:rPr>
          <w:sz w:val="24"/>
          <w:lang w:val="sk-SK"/>
        </w:rPr>
        <w:t>Ú. v. EÚ L 427, 30.11.2021, s. 17.</w:t>
      </w:r>
    </w:p>
  </w:footnote>
  <w:footnote w:id="5">
    <w:p w:rsidR="001A646C" w:rsidRPr="0064549F" w:rsidRDefault="001A646C" w:rsidP="0064549F">
      <w:pPr>
        <w:pStyle w:val="FootnoteText"/>
        <w:ind w:left="567" w:hanging="567"/>
        <w:rPr>
          <w:sz w:val="24"/>
          <w:lang w:val="sk-SK"/>
        </w:rPr>
      </w:pPr>
      <w:r w:rsidRPr="0064549F">
        <w:rPr>
          <w:rStyle w:val="FootnoteReference"/>
          <w:sz w:val="24"/>
          <w:lang w:val="sk-SK"/>
        </w:rPr>
        <w:footnoteRef/>
      </w:r>
      <w:r w:rsidR="0064549F" w:rsidRPr="0064549F">
        <w:rPr>
          <w:sz w:val="24"/>
          <w:lang w:val="sk-SK"/>
        </w:rPr>
        <w:t xml:space="preserve"> </w:t>
      </w:r>
      <w:r w:rsidR="0064549F" w:rsidRPr="0064549F">
        <w:rPr>
          <w:sz w:val="24"/>
          <w:lang w:val="sk-SK"/>
        </w:rPr>
        <w:tab/>
      </w:r>
      <w:r w:rsidRPr="0064549F">
        <w:rPr>
          <w:sz w:val="24"/>
          <w:lang w:val="sk-SK"/>
        </w:rPr>
        <w:t>Ú. v. EÚ L 142, 29.5.2019, s. 16.</w:t>
      </w:r>
    </w:p>
  </w:footnote>
  <w:footnote w:id="6">
    <w:p w:rsidR="001A646C" w:rsidRPr="0064549F" w:rsidRDefault="001A646C" w:rsidP="0064549F">
      <w:pPr>
        <w:pStyle w:val="FootnoteText"/>
        <w:ind w:left="567" w:hanging="567"/>
        <w:rPr>
          <w:sz w:val="24"/>
          <w:lang w:val="sk-SK"/>
        </w:rPr>
      </w:pPr>
      <w:r w:rsidRPr="0064549F">
        <w:rPr>
          <w:rStyle w:val="FootnoteReference"/>
          <w:sz w:val="24"/>
          <w:lang w:val="sk-SK"/>
        </w:rPr>
        <w:footnoteRef/>
      </w:r>
      <w:r w:rsidR="0064549F" w:rsidRPr="0064549F">
        <w:rPr>
          <w:sz w:val="24"/>
          <w:lang w:val="sk-SK"/>
        </w:rPr>
        <w:t xml:space="preserve"> </w:t>
      </w:r>
      <w:r w:rsidR="0064549F" w:rsidRPr="0064549F">
        <w:rPr>
          <w:sz w:val="24"/>
          <w:lang w:val="sk-SK"/>
        </w:rPr>
        <w:tab/>
      </w:r>
      <w:r w:rsidRPr="0064549F">
        <w:rPr>
          <w:sz w:val="24"/>
          <w:lang w:val="sk-SK"/>
        </w:rPr>
        <w:t>Ú. v. EÚ C, C/2023/1025, 16.11.2023.</w:t>
      </w:r>
    </w:p>
  </w:footnote>
  <w:footnote w:id="7">
    <w:p w:rsidR="001A646C" w:rsidRPr="0064549F" w:rsidRDefault="001A646C" w:rsidP="0064549F">
      <w:pPr>
        <w:pStyle w:val="FootnoteText"/>
        <w:ind w:left="567" w:hanging="567"/>
        <w:rPr>
          <w:sz w:val="24"/>
          <w:lang w:val="sk-SK"/>
        </w:rPr>
      </w:pPr>
      <w:r w:rsidRPr="0064549F">
        <w:rPr>
          <w:rStyle w:val="FootnoteReference"/>
          <w:sz w:val="24"/>
          <w:lang w:val="sk-SK"/>
        </w:rPr>
        <w:footnoteRef/>
      </w:r>
      <w:r w:rsidR="0064549F" w:rsidRPr="0064549F">
        <w:rPr>
          <w:sz w:val="24"/>
          <w:lang w:val="sk-SK"/>
        </w:rPr>
        <w:t xml:space="preserve"> </w:t>
      </w:r>
      <w:r w:rsidR="0064549F" w:rsidRPr="0064549F">
        <w:rPr>
          <w:sz w:val="24"/>
          <w:lang w:val="sk-SK"/>
        </w:rPr>
        <w:tab/>
      </w:r>
      <w:r w:rsidRPr="0064549F">
        <w:rPr>
          <w:sz w:val="24"/>
          <w:lang w:val="sk-SK"/>
        </w:rPr>
        <w:t>Ú. v. EÚ C, C/2023/112, 12.10.2023.</w:t>
      </w:r>
    </w:p>
  </w:footnote>
  <w:footnote w:id="8">
    <w:p w:rsidR="001A646C" w:rsidRPr="0064549F" w:rsidRDefault="001A646C" w:rsidP="0064549F">
      <w:pPr>
        <w:pStyle w:val="FootnoteText"/>
        <w:ind w:left="567" w:hanging="567"/>
        <w:rPr>
          <w:sz w:val="24"/>
          <w:lang w:val="sk-SK"/>
        </w:rPr>
      </w:pPr>
      <w:r w:rsidRPr="0064549F">
        <w:rPr>
          <w:rStyle w:val="FootnoteReference"/>
          <w:sz w:val="24"/>
          <w:lang w:val="sk-SK"/>
        </w:rPr>
        <w:footnoteRef/>
      </w:r>
      <w:r w:rsidR="0064549F" w:rsidRPr="0064549F">
        <w:rPr>
          <w:sz w:val="24"/>
          <w:lang w:val="sk-SK"/>
        </w:rPr>
        <w:t xml:space="preserve"> </w:t>
      </w:r>
      <w:r w:rsidR="0064549F" w:rsidRPr="0064549F">
        <w:rPr>
          <w:sz w:val="24"/>
          <w:lang w:val="sk-SK"/>
        </w:rPr>
        <w:tab/>
      </w:r>
      <w:r w:rsidRPr="0064549F">
        <w:rPr>
          <w:sz w:val="24"/>
          <w:lang w:val="sk-SK"/>
        </w:rPr>
        <w:t>Ú. v. EÚ L 193, 30.7.2018, s. 1.</w:t>
      </w:r>
    </w:p>
  </w:footnote>
  <w:footnote w:id="9">
    <w:p w:rsidR="001A646C" w:rsidRPr="0064549F" w:rsidRDefault="001A646C" w:rsidP="0064549F">
      <w:pPr>
        <w:pStyle w:val="FootnoteText"/>
        <w:ind w:left="567" w:hanging="567"/>
        <w:rPr>
          <w:sz w:val="24"/>
          <w:szCs w:val="24"/>
          <w:lang w:val="sk-SK"/>
        </w:rPr>
      </w:pPr>
      <w:r w:rsidRPr="0064549F">
        <w:rPr>
          <w:rStyle w:val="FootnoteReference"/>
          <w:sz w:val="24"/>
          <w:lang w:val="sk-SK"/>
        </w:rPr>
        <w:footnoteRef/>
      </w:r>
      <w:r w:rsidR="0064549F" w:rsidRPr="0064549F">
        <w:rPr>
          <w:sz w:val="24"/>
          <w:lang w:val="sk-SK"/>
        </w:rPr>
        <w:t xml:space="preserve"> </w:t>
      </w:r>
      <w:r w:rsidR="0064549F" w:rsidRPr="0064549F">
        <w:rPr>
          <w:sz w:val="24"/>
          <w:lang w:val="sk-SK"/>
        </w:rPr>
        <w:tab/>
      </w:r>
      <w:r w:rsidRPr="0064549F">
        <w:rPr>
          <w:sz w:val="24"/>
          <w:lang w:val="sk-SK"/>
        </w:rPr>
        <w:t>Ú. v. EÚ L 427, 30.11.2021, s. 17.</w:t>
      </w:r>
    </w:p>
  </w:footnote>
  <w:footnote w:id="10">
    <w:p w:rsidR="001A646C" w:rsidRPr="0064549F" w:rsidRDefault="001A646C" w:rsidP="0064549F">
      <w:pPr>
        <w:pStyle w:val="FootnoteText"/>
        <w:ind w:left="567" w:hanging="567"/>
        <w:rPr>
          <w:sz w:val="24"/>
          <w:szCs w:val="24"/>
          <w:lang w:val="sk-SK"/>
        </w:rPr>
      </w:pPr>
      <w:r w:rsidRPr="0064549F">
        <w:rPr>
          <w:rStyle w:val="FootnoteReference"/>
          <w:sz w:val="24"/>
          <w:lang w:val="sk-SK"/>
        </w:rPr>
        <w:footnoteRef/>
      </w:r>
      <w:r w:rsidR="0064549F" w:rsidRPr="0064549F">
        <w:rPr>
          <w:sz w:val="24"/>
          <w:lang w:val="sk-SK"/>
        </w:rPr>
        <w:t xml:space="preserve"> </w:t>
      </w:r>
      <w:r w:rsidR="0064549F" w:rsidRPr="0064549F">
        <w:rPr>
          <w:sz w:val="24"/>
          <w:lang w:val="sk-SK"/>
        </w:rPr>
        <w:tab/>
      </w:r>
      <w:r w:rsidRPr="0064549F">
        <w:rPr>
          <w:sz w:val="24"/>
          <w:lang w:val="sk-SK"/>
        </w:rPr>
        <w:t>Ú. v. EÚ L 142, 29.5.2019, s. 16.</w:t>
      </w:r>
    </w:p>
  </w:footnote>
  <w:footnote w:id="11">
    <w:p w:rsidR="001A646C" w:rsidRPr="0064549F" w:rsidRDefault="001A646C" w:rsidP="0064549F">
      <w:pPr>
        <w:pStyle w:val="FootnoteText"/>
        <w:ind w:left="567" w:hanging="567"/>
        <w:rPr>
          <w:rFonts w:eastAsiaTheme="minorHAnsi"/>
          <w:sz w:val="24"/>
          <w:lang w:val="sk-SK"/>
        </w:rPr>
      </w:pPr>
      <w:r w:rsidRPr="0064549F">
        <w:rPr>
          <w:rStyle w:val="FootnoteReference"/>
          <w:sz w:val="24"/>
          <w:lang w:val="sk-SK"/>
        </w:rPr>
        <w:footnoteRef/>
      </w:r>
      <w:r w:rsidR="0064549F" w:rsidRPr="0064549F">
        <w:rPr>
          <w:sz w:val="24"/>
          <w:lang w:val="sk-SK"/>
        </w:rPr>
        <w:t xml:space="preserve"> </w:t>
      </w:r>
      <w:r w:rsidR="0064549F" w:rsidRPr="0064549F">
        <w:rPr>
          <w:sz w:val="24"/>
          <w:lang w:val="sk-SK"/>
        </w:rPr>
        <w:tab/>
      </w:r>
      <w:r w:rsidRPr="0064549F">
        <w:rPr>
          <w:sz w:val="24"/>
          <w:lang w:val="sk-SK"/>
        </w:rPr>
        <w:t>Nariadenie Rady (EÚ) 2021/2085 z 19. novembra 2021, ktorým sa zriaďujú spoločné podniky v rámci programu Horizont Európa a zrušujú nariadenia (ES) č. 219/2007, (EÚ) č. 557/2014, (EÚ) č. 558/2014, (EÚ) č. 559/2014, (EÚ) č. 560/2014, (EÚ) č. 561/2014 a (EÚ) č. 642/2014 (Ú. v. EÚ L 427, 30.11.2021, s. 17).</w:t>
      </w:r>
    </w:p>
  </w:footnote>
  <w:footnote w:id="12">
    <w:p w:rsidR="001A646C" w:rsidRPr="0064549F" w:rsidRDefault="001A646C" w:rsidP="0064549F">
      <w:pPr>
        <w:pStyle w:val="FootnoteText"/>
        <w:ind w:left="567" w:hanging="567"/>
        <w:rPr>
          <w:sz w:val="24"/>
          <w:lang w:val="sk-SK"/>
        </w:rPr>
      </w:pPr>
      <w:r w:rsidRPr="0064549F">
        <w:rPr>
          <w:rStyle w:val="FootnoteReference"/>
          <w:sz w:val="24"/>
          <w:lang w:val="sk-SK"/>
        </w:rPr>
        <w:footnoteRef/>
      </w:r>
      <w:r w:rsidR="0064549F" w:rsidRPr="0064549F">
        <w:rPr>
          <w:sz w:val="24"/>
          <w:lang w:val="sk-SK"/>
        </w:rPr>
        <w:t xml:space="preserve"> </w:t>
      </w:r>
      <w:r w:rsidR="0064549F" w:rsidRPr="0064549F">
        <w:rPr>
          <w:sz w:val="24"/>
          <w:lang w:val="sk-SK"/>
        </w:rPr>
        <w:tab/>
      </w:r>
      <w:r w:rsidRPr="0064549F">
        <w:rPr>
          <w:sz w:val="24"/>
          <w:lang w:val="sk-SK"/>
        </w:rPr>
        <w:t>Nariadenie Rady (ES) č. 521/2008 z 30. mája 2008, ktorým sa zakladá spoločný podnik pre palivové články a vodík (Ú. v. EÚ L 153, 12.6.2008, s. 1).</w:t>
      </w:r>
    </w:p>
  </w:footnote>
  <w:footnote w:id="13">
    <w:p w:rsidR="001A646C" w:rsidRPr="0064549F" w:rsidRDefault="001A646C" w:rsidP="0064549F">
      <w:pPr>
        <w:pStyle w:val="FootnoteText"/>
        <w:ind w:left="567" w:hanging="567"/>
        <w:rPr>
          <w:sz w:val="24"/>
          <w:lang w:val="sk-SK"/>
        </w:rPr>
      </w:pPr>
      <w:r w:rsidRPr="0064549F">
        <w:rPr>
          <w:rStyle w:val="FootnoteReference"/>
          <w:sz w:val="24"/>
          <w:lang w:val="sk-SK"/>
        </w:rPr>
        <w:footnoteRef/>
      </w:r>
      <w:r w:rsidR="0064549F" w:rsidRPr="0064549F">
        <w:rPr>
          <w:sz w:val="24"/>
          <w:lang w:val="sk-SK"/>
        </w:rPr>
        <w:t xml:space="preserve"> </w:t>
      </w:r>
      <w:r w:rsidR="0064549F" w:rsidRPr="0064549F">
        <w:rPr>
          <w:sz w:val="24"/>
          <w:lang w:val="sk-SK"/>
        </w:rPr>
        <w:tab/>
      </w:r>
      <w:r w:rsidRPr="0064549F">
        <w:rPr>
          <w:sz w:val="24"/>
          <w:lang w:val="sk-SK"/>
        </w:rPr>
        <w:t>Nariadenie Rady (EÚ) č. 559/2014 zo 6. mája 2014, ktorým sa zriaďuje spoločný podnik pre palivové články a vodík 2 (Ú. v. EÚ L 169, 7.6.2014, s. 108).</w:t>
      </w:r>
    </w:p>
  </w:footnote>
  <w:footnote w:id="14">
    <w:p w:rsidR="001A646C" w:rsidRPr="0064549F" w:rsidRDefault="001A646C" w:rsidP="0064549F">
      <w:pPr>
        <w:pStyle w:val="FootnoteText"/>
        <w:ind w:left="567" w:hanging="567"/>
        <w:rPr>
          <w:sz w:val="24"/>
          <w:lang w:val="sk-SK"/>
        </w:rPr>
      </w:pPr>
      <w:r w:rsidRPr="0064549F">
        <w:rPr>
          <w:rStyle w:val="FootnoteReference"/>
          <w:sz w:val="24"/>
          <w:lang w:val="sk-SK"/>
        </w:rPr>
        <w:footnoteRef/>
      </w:r>
      <w:r w:rsidR="0064549F" w:rsidRPr="0064549F">
        <w:rPr>
          <w:sz w:val="24"/>
          <w:lang w:val="sk-SK"/>
        </w:rPr>
        <w:t xml:space="preserve"> </w:t>
      </w:r>
      <w:r w:rsidR="0064549F" w:rsidRPr="0064549F">
        <w:rPr>
          <w:sz w:val="24"/>
          <w:lang w:val="sk-SK"/>
        </w:rPr>
        <w:tab/>
      </w:r>
      <w:r w:rsidRPr="0064549F">
        <w:rPr>
          <w:sz w:val="24"/>
          <w:lang w:val="sk-SK"/>
        </w:rPr>
        <w:t>Dostupný rozpočet zahŕňa nevyužité rozpočtové prostriedky z predchádzajúcich rokov, ktoré spoločný podnik pre čistý vodík opätovne zahrnul do rozpočtu bežného roka, pripísané príjmy a prostriedky prerozdelené na ďalší rok.</w:t>
      </w:r>
    </w:p>
  </w:footnote>
  <w:footnote w:id="15">
    <w:p w:rsidR="001A646C" w:rsidRPr="0064549F" w:rsidRDefault="001A646C" w:rsidP="0064549F">
      <w:pPr>
        <w:pStyle w:val="FootnoteText"/>
        <w:ind w:left="567" w:hanging="567"/>
        <w:rPr>
          <w:sz w:val="24"/>
          <w:lang w:val="sk-SK"/>
        </w:rPr>
      </w:pPr>
      <w:r w:rsidRPr="0064549F">
        <w:rPr>
          <w:rStyle w:val="FootnoteReference"/>
          <w:sz w:val="24"/>
          <w:lang w:val="sk-SK"/>
        </w:rPr>
        <w:footnoteRef/>
      </w:r>
      <w:r w:rsidR="0064549F" w:rsidRPr="0064549F">
        <w:rPr>
          <w:sz w:val="24"/>
          <w:lang w:val="sk-SK"/>
        </w:rPr>
        <w:t xml:space="preserve"> </w:t>
      </w:r>
      <w:r w:rsidR="0064549F" w:rsidRPr="0064549F">
        <w:rPr>
          <w:sz w:val="24"/>
          <w:lang w:val="sk-SK"/>
        </w:rPr>
        <w:tab/>
      </w:r>
      <w:r w:rsidRPr="0064549F">
        <w:rPr>
          <w:sz w:val="24"/>
          <w:lang w:val="sk-SK"/>
        </w:rPr>
        <w:t>Odhlasované viazané rozpočtové prostriedky predstavovali 8,4 milióna EUR, ktoré boli následne zmenené, aby zahŕňali zvýšenie príjmov a výdavkov v súvislosti s novým programom Horizont Európa a nevyužité rozpočtové prostriedky z predchádzajúcich rokov.</w:t>
      </w:r>
    </w:p>
  </w:footnote>
  <w:footnote w:id="16">
    <w:p w:rsidR="001A646C" w:rsidRPr="0064549F" w:rsidRDefault="001A646C" w:rsidP="0064549F">
      <w:pPr>
        <w:pStyle w:val="FootnoteText"/>
        <w:ind w:left="567" w:hanging="567"/>
        <w:rPr>
          <w:sz w:val="24"/>
          <w:lang w:val="sk-SK"/>
        </w:rPr>
      </w:pPr>
      <w:r w:rsidRPr="0064549F">
        <w:rPr>
          <w:rStyle w:val="FootnoteReference"/>
          <w:sz w:val="24"/>
          <w:lang w:val="sk-SK"/>
        </w:rPr>
        <w:footnoteRef/>
      </w:r>
      <w:r w:rsidR="0064549F" w:rsidRPr="0064549F">
        <w:rPr>
          <w:sz w:val="24"/>
          <w:lang w:val="sk-SK"/>
        </w:rPr>
        <w:t xml:space="preserve"> </w:t>
      </w:r>
      <w:r w:rsidR="0064549F" w:rsidRPr="0064549F">
        <w:rPr>
          <w:sz w:val="24"/>
          <w:lang w:val="sk-SK"/>
        </w:rPr>
        <w:tab/>
      </w:r>
      <w:r w:rsidRPr="0064549F">
        <w:rPr>
          <w:sz w:val="24"/>
          <w:lang w:val="sk-SK"/>
        </w:rPr>
        <w:t>Odhlasované platobné rozpočtové prostriedky predstavovali 53,2 milióna EUR, pričom pozmeňujúcim návrhom sa táto suma zvýšila v súvislosti s novým programom a pokrytím plánovanej výzvy na predkladanie návrhov vyhlásenej v roku 2022, ktorá sa zameriava na realizáciu strategického programu výskumu a inovácií.</w:t>
      </w:r>
    </w:p>
  </w:footnote>
  <w:footnote w:id="17">
    <w:p w:rsidR="001A646C" w:rsidRPr="0064549F" w:rsidRDefault="001A646C" w:rsidP="0064549F">
      <w:pPr>
        <w:pStyle w:val="FootnoteText"/>
        <w:ind w:left="567" w:hanging="567"/>
        <w:rPr>
          <w:sz w:val="24"/>
          <w:lang w:val="sk-SK"/>
        </w:rPr>
      </w:pPr>
      <w:r w:rsidRPr="0064549F">
        <w:rPr>
          <w:rStyle w:val="FootnoteReference"/>
          <w:sz w:val="24"/>
          <w:lang w:val="sk-SK"/>
        </w:rPr>
        <w:footnoteRef/>
      </w:r>
      <w:r w:rsidR="0064549F" w:rsidRPr="0064549F">
        <w:rPr>
          <w:sz w:val="24"/>
          <w:lang w:val="sk-SK"/>
        </w:rPr>
        <w:t xml:space="preserve"> </w:t>
      </w:r>
      <w:r w:rsidR="0064549F" w:rsidRPr="0064549F">
        <w:rPr>
          <w:sz w:val="24"/>
          <w:lang w:val="sk-SK"/>
        </w:rPr>
        <w:tab/>
      </w:r>
      <w:r w:rsidRPr="0064549F">
        <w:rPr>
          <w:sz w:val="24"/>
          <w:lang w:val="sk-SK"/>
        </w:rPr>
        <w:t>Podľa objasnenia spoločného podniku „stiahnutie tém“ treba chápať ako „nepokrytie tém z dôvodu nedostatku úspešných žiadostí/návrhov“.</w:t>
      </w:r>
    </w:p>
  </w:footnote>
  <w:footnote w:id="18">
    <w:p w:rsidR="001A646C" w:rsidRPr="0064549F" w:rsidRDefault="001A646C" w:rsidP="0064549F">
      <w:pPr>
        <w:pStyle w:val="FootnoteText"/>
        <w:ind w:left="567" w:hanging="567"/>
        <w:rPr>
          <w:sz w:val="24"/>
          <w:lang w:val="sk-SK"/>
        </w:rPr>
      </w:pPr>
      <w:r w:rsidRPr="0064549F">
        <w:rPr>
          <w:rStyle w:val="FootnoteReference"/>
          <w:sz w:val="24"/>
          <w:lang w:val="sk-SK"/>
        </w:rPr>
        <w:footnoteRef/>
      </w:r>
      <w:r w:rsidR="0064549F" w:rsidRPr="0064549F">
        <w:rPr>
          <w:sz w:val="24"/>
          <w:lang w:val="sk-SK"/>
        </w:rPr>
        <w:t xml:space="preserve"> </w:t>
      </w:r>
      <w:r w:rsidR="0064549F" w:rsidRPr="0064549F">
        <w:rPr>
          <w:sz w:val="24"/>
          <w:lang w:val="sk-SK"/>
        </w:rPr>
        <w:tab/>
      </w:r>
      <w:r w:rsidRPr="0064549F">
        <w:rPr>
          <w:sz w:val="24"/>
          <w:lang w:val="sk-SK"/>
        </w:rPr>
        <w:t xml:space="preserve">Ú. v. ES L 56, 4.3.1968, s. </w:t>
      </w:r>
      <w:r w:rsidRPr="0064549F">
        <w:rPr>
          <w:sz w:val="24"/>
          <w:lang w:val="sk-SK"/>
        </w:rPr>
        <w:t xml:space="preserve">1., </w:t>
      </w:r>
      <w:r w:rsidR="00A613A0" w:rsidRPr="00EA17BD">
        <w:rPr>
          <w:sz w:val="24"/>
          <w:lang w:val="sk-SK"/>
        </w:rPr>
        <w:t>ELI: http://data.europa.eu/eli/reg/1968/259(1)/oj</w:t>
      </w:r>
      <w:r w:rsidRPr="0064549F">
        <w:rPr>
          <w:sz w:val="24"/>
          <w:lang w:val="sk-SK"/>
        </w:rPr>
        <w:t>.</w:t>
      </w:r>
    </w:p>
  </w:footnote>
  <w:footnote w:id="19">
    <w:p w:rsidR="001A646C" w:rsidRPr="0064549F" w:rsidRDefault="001A646C" w:rsidP="0064549F">
      <w:pPr>
        <w:pStyle w:val="FootnoteText"/>
        <w:ind w:left="567" w:hanging="567"/>
        <w:rPr>
          <w:sz w:val="24"/>
          <w:lang w:val="sk-SK"/>
        </w:rPr>
      </w:pPr>
      <w:r w:rsidRPr="0064549F">
        <w:rPr>
          <w:rStyle w:val="FootnoteReference"/>
          <w:sz w:val="24"/>
          <w:lang w:val="sk-SK"/>
        </w:rPr>
        <w:footnoteRef/>
      </w:r>
      <w:r w:rsidR="0064549F" w:rsidRPr="0064549F">
        <w:rPr>
          <w:sz w:val="24"/>
          <w:lang w:val="sk-SK"/>
        </w:rPr>
        <w:t xml:space="preserve"> </w:t>
      </w:r>
      <w:r w:rsidR="0064549F" w:rsidRPr="0064549F">
        <w:rPr>
          <w:sz w:val="24"/>
          <w:lang w:val="sk-SK"/>
        </w:rPr>
        <w:tab/>
      </w:r>
      <w:r w:rsidRPr="0064549F">
        <w:rPr>
          <w:sz w:val="24"/>
          <w:lang w:val="sk-SK"/>
        </w:rPr>
        <w:t>Konsolidovaná výročná správa o činnosti spoločného podniku pre čistý vodík za rok 2022, kapitola 4.1.1.1.</w:t>
      </w:r>
    </w:p>
  </w:footnote>
  <w:footnote w:id="20">
    <w:p w:rsidR="001A646C" w:rsidRPr="0064549F" w:rsidRDefault="001A646C" w:rsidP="0064549F">
      <w:pPr>
        <w:pStyle w:val="FootnoteText"/>
        <w:ind w:left="567" w:hanging="567"/>
        <w:rPr>
          <w:sz w:val="24"/>
          <w:lang w:val="sk-SK"/>
        </w:rPr>
      </w:pPr>
      <w:r w:rsidRPr="0064549F">
        <w:rPr>
          <w:rStyle w:val="FootnoteReference"/>
          <w:sz w:val="24"/>
          <w:lang w:val="sk-SK"/>
        </w:rPr>
        <w:footnoteRef/>
      </w:r>
      <w:r w:rsidR="0064549F" w:rsidRPr="0064549F">
        <w:rPr>
          <w:sz w:val="24"/>
          <w:lang w:val="sk-SK"/>
        </w:rPr>
        <w:t xml:space="preserve"> </w:t>
      </w:r>
      <w:r w:rsidR="0064549F" w:rsidRPr="0064549F">
        <w:rPr>
          <w:sz w:val="24"/>
          <w:lang w:val="sk-SK"/>
        </w:rPr>
        <w:tab/>
      </w:r>
      <w:r w:rsidRPr="0064549F">
        <w:rPr>
          <w:sz w:val="24"/>
          <w:lang w:val="sk-SK"/>
        </w:rPr>
        <w:t>Pokiaľ ide o grantové platobné transakcie testované u prijímateľov, prahová hodnota pre nahlásenie vyčísliteľných chýb je 1 % kontrolovaných nákladov.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4549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4549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4549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89/2024"/>
    <w:docVar w:name="dvlangue" w:val="SK"/>
    <w:docVar w:name="dvnumam" w:val="0"/>
    <w:docVar w:name="dvpe" w:val="753.490"/>
    <w:docVar w:name="dvrapporteur" w:val="Spravodajca: "/>
    <w:docVar w:name="dvtitre" w:val="Rozhodnutie Európskeho parlamentu z xx. apríla 2024 o absolutóriu za plnenie rozpočtu spoločného podniku pre čistý vodík za rozpočtový rok 2022(2023/2175(DEC))"/>
  </w:docVars>
  <w:rsids>
    <w:rsidRoot w:val="00DF2B9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531C"/>
    <w:rsid w:val="001A646C"/>
    <w:rsid w:val="001F32AE"/>
    <w:rsid w:val="002767FF"/>
    <w:rsid w:val="002A7569"/>
    <w:rsid w:val="002B18FE"/>
    <w:rsid w:val="002B5493"/>
    <w:rsid w:val="00343214"/>
    <w:rsid w:val="00361C00"/>
    <w:rsid w:val="00395FA1"/>
    <w:rsid w:val="003E15D4"/>
    <w:rsid w:val="00401768"/>
    <w:rsid w:val="00411CCE"/>
    <w:rsid w:val="0041666E"/>
    <w:rsid w:val="00421060"/>
    <w:rsid w:val="00471C19"/>
    <w:rsid w:val="004867E3"/>
    <w:rsid w:val="00494A28"/>
    <w:rsid w:val="004C0004"/>
    <w:rsid w:val="004C5D52"/>
    <w:rsid w:val="00501DFC"/>
    <w:rsid w:val="0050519A"/>
    <w:rsid w:val="005072A1"/>
    <w:rsid w:val="00514517"/>
    <w:rsid w:val="00545827"/>
    <w:rsid w:val="00560270"/>
    <w:rsid w:val="005C2568"/>
    <w:rsid w:val="006037C0"/>
    <w:rsid w:val="0064549F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13A0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2B99"/>
    <w:rsid w:val="00E365E1"/>
    <w:rsid w:val="00E820A4"/>
    <w:rsid w:val="00EA17BD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122E7A"/>
  <w15:chartTrackingRefBased/>
  <w15:docId w15:val="{8A2324AA-901B-4277-88A8-1D4872B4B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1A646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1A646C"/>
    <w:pPr>
      <w:spacing w:before="480" w:after="240"/>
    </w:pPr>
  </w:style>
  <w:style w:type="paragraph" w:customStyle="1" w:styleId="PageHeading">
    <w:name w:val="PageHeading"/>
    <w:basedOn w:val="Normal"/>
    <w:rsid w:val="001A646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1A646C"/>
    <w:rPr>
      <w:b/>
    </w:rPr>
  </w:style>
  <w:style w:type="paragraph" w:customStyle="1" w:styleId="NormalHanging12a">
    <w:name w:val="NormalHanging12a"/>
    <w:basedOn w:val="Normal"/>
    <w:link w:val="NormalHanging12aChar"/>
    <w:rsid w:val="001A646C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1A646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A646C"/>
    <w:rPr>
      <w:sz w:val="24"/>
      <w:lang w:val="sk-SK"/>
    </w:rPr>
  </w:style>
  <w:style w:type="paragraph" w:customStyle="1" w:styleId="EPFooter">
    <w:name w:val="EPFooter"/>
    <w:basedOn w:val="Normal"/>
    <w:rsid w:val="001A646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rsid w:val="001A646C"/>
    <w:rPr>
      <w:sz w:val="24"/>
      <w:lang w:val="sk-SK"/>
    </w:rPr>
  </w:style>
  <w:style w:type="paragraph" w:styleId="Footer">
    <w:name w:val="footer"/>
    <w:basedOn w:val="Normal"/>
    <w:link w:val="FooterChar"/>
    <w:rsid w:val="001A531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A531C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4639AB-9365-4EE8-96AA-48B079D31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3336</Words>
  <Characters>19650</Characters>
  <Application>Microsoft Office Word</Application>
  <DocSecurity>0</DocSecurity>
  <Lines>385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2024-04-11T11:20:00Z</dcterms:created>
  <dcterms:modified xsi:type="dcterms:W3CDTF">2024-04-11T11:20:00Z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A9-0089/2024</vt:lpwstr>
  </property>
  <property fmtid="{D5CDD505-2E9C-101B-9397-08002B2CF9AE}" pid="4" name="&lt;Type&gt;">
    <vt:lpwstr>RR</vt:lpwstr>
  </property>
</Properties>
</file>