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3C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3CB6" w:rsidRDefault="008B742E" w:rsidP="0010095E">
            <w:pPr>
              <w:pStyle w:val="EPName"/>
            </w:pPr>
            <w:r w:rsidRPr="00EA3CB6">
              <w:t>Evropský parlament</w:t>
            </w:r>
          </w:p>
          <w:p w:rsidR="00751A4A" w:rsidRPr="00EA3CB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3CB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A3CB6" w:rsidRDefault="00187494" w:rsidP="0010095E">
            <w:pPr>
              <w:pStyle w:val="EPLogo"/>
            </w:pPr>
            <w:r w:rsidRPr="00EA3C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3CB6" w:rsidRDefault="00D058B8" w:rsidP="004C5D52">
      <w:pPr>
        <w:pStyle w:val="LineTop"/>
      </w:pPr>
    </w:p>
    <w:p w:rsidR="00680577" w:rsidRPr="00EA3CB6" w:rsidRDefault="008B742E" w:rsidP="00680577">
      <w:pPr>
        <w:pStyle w:val="EPBodyTA1"/>
      </w:pPr>
      <w:r w:rsidRPr="00EA3CB6">
        <w:t>PŘIJATÉ TEXTY</w:t>
      </w:r>
    </w:p>
    <w:p w:rsidR="00D058B8" w:rsidRPr="00EA3CB6" w:rsidRDefault="00D058B8" w:rsidP="00D058B8">
      <w:pPr>
        <w:pStyle w:val="LineBottom"/>
      </w:pPr>
    </w:p>
    <w:p w:rsidR="008B742E" w:rsidRPr="00EA3CB6" w:rsidRDefault="008B742E" w:rsidP="008B742E">
      <w:pPr>
        <w:pStyle w:val="ATHeading1"/>
      </w:pPr>
      <w:bookmarkStart w:id="0" w:name="TANumber"/>
      <w:r w:rsidRPr="00EA3CB6">
        <w:t>P9_TA(2024)0</w:t>
      </w:r>
      <w:r w:rsidR="003F34C6">
        <w:t>279</w:t>
      </w:r>
      <w:bookmarkEnd w:id="0"/>
    </w:p>
    <w:p w:rsidR="008B742E" w:rsidRPr="00EA3CB6" w:rsidRDefault="008B742E" w:rsidP="008B742E">
      <w:pPr>
        <w:pStyle w:val="ATHeading2"/>
      </w:pPr>
      <w:bookmarkStart w:id="1" w:name="title"/>
      <w:r w:rsidRPr="00EA3CB6">
        <w:t>Udělení absolutoria za rok 2022: souhrnný rozpočet EU – ERF (9., 10. a 11.)</w:t>
      </w:r>
      <w:bookmarkEnd w:id="1"/>
    </w:p>
    <w:p w:rsidR="008B742E" w:rsidRPr="00EA3CB6" w:rsidRDefault="008B742E" w:rsidP="008B742E">
      <w:pPr>
        <w:rPr>
          <w:i/>
          <w:vanish/>
        </w:rPr>
      </w:pPr>
      <w:r w:rsidRPr="00EA3CB6">
        <w:rPr>
          <w:i/>
        </w:rPr>
        <w:fldChar w:fldCharType="begin"/>
      </w:r>
      <w:r w:rsidRPr="00EA3CB6">
        <w:rPr>
          <w:i/>
        </w:rPr>
        <w:instrText xml:space="preserve"> TC"(</w:instrText>
      </w:r>
      <w:bookmarkStart w:id="2" w:name="DocNumber"/>
      <w:r w:rsidRPr="00EA3CB6">
        <w:rPr>
          <w:i/>
        </w:rPr>
        <w:instrText>A9-0110/2024</w:instrText>
      </w:r>
      <w:bookmarkEnd w:id="2"/>
      <w:r w:rsidRPr="00EA3CB6">
        <w:rPr>
          <w:i/>
        </w:rPr>
        <w:instrText xml:space="preserve"> - Zpravodaj: Joachim Kuhs)"\l3 \n&gt; \* MERGEFORMAT </w:instrText>
      </w:r>
      <w:r w:rsidRPr="00EA3CB6">
        <w:rPr>
          <w:i/>
        </w:rPr>
        <w:fldChar w:fldCharType="end"/>
      </w:r>
    </w:p>
    <w:p w:rsidR="008B742E" w:rsidRPr="00EA3CB6" w:rsidRDefault="008B742E" w:rsidP="008B742E">
      <w:pPr>
        <w:rPr>
          <w:vanish/>
        </w:rPr>
      </w:pPr>
      <w:bookmarkStart w:id="3" w:name="Commission"/>
      <w:r w:rsidRPr="00EA3CB6">
        <w:rPr>
          <w:vanish/>
        </w:rPr>
        <w:t>Výbor pro rozpočtovou kontrolu</w:t>
      </w:r>
      <w:bookmarkEnd w:id="3"/>
    </w:p>
    <w:p w:rsidR="008B742E" w:rsidRPr="00EA3CB6" w:rsidRDefault="008B742E" w:rsidP="008B742E">
      <w:pPr>
        <w:rPr>
          <w:vanish/>
        </w:rPr>
      </w:pPr>
      <w:bookmarkStart w:id="4" w:name="PE"/>
      <w:r w:rsidRPr="00EA3CB6">
        <w:rPr>
          <w:vanish/>
        </w:rPr>
        <w:t>PE753.512</w:t>
      </w:r>
      <w:bookmarkEnd w:id="4"/>
    </w:p>
    <w:p w:rsidR="008B742E" w:rsidRPr="00EA3CB6" w:rsidRDefault="008B742E" w:rsidP="008B742E">
      <w:pPr>
        <w:pStyle w:val="ATHeading3"/>
      </w:pPr>
      <w:bookmarkStart w:id="5" w:name="Sujet"/>
      <w:r w:rsidRPr="00EA3CB6">
        <w:t>1. Rozhodnutí Evropského parlamentu ze dne 11. dubna 2024 o udělení absolutoria za plnění rozpočtu devátého, desátého a jedenáctého Evropského rozvojového fondu na rozpočtový rok 2022</w:t>
      </w:r>
      <w:bookmarkEnd w:id="5"/>
      <w:r w:rsidRPr="00EA3CB6">
        <w:t xml:space="preserve"> </w:t>
      </w:r>
      <w:bookmarkStart w:id="6" w:name="References"/>
      <w:r w:rsidRPr="00EA3CB6">
        <w:t>(2023/2183(DEC))</w:t>
      </w:r>
      <w:bookmarkEnd w:id="6"/>
    </w:p>
    <w:p w:rsidR="00E44451" w:rsidRPr="00EA3CB6" w:rsidRDefault="00E44451" w:rsidP="00E44451">
      <w:pPr>
        <w:pStyle w:val="EPComma"/>
      </w:pPr>
      <w:bookmarkStart w:id="7" w:name="TextBodyBegin"/>
      <w:bookmarkEnd w:id="7"/>
      <w:r w:rsidRPr="00EA3CB6">
        <w:rPr>
          <w:i/>
        </w:rPr>
        <w:t>Evropský parlament</w:t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 ohledem na rozvahy a účetní závěrky devátého, desátého a jedenáctého Evropského rozvojového fondu za rozpočtový rok 2022 (</w:t>
      </w:r>
      <w:proofErr w:type="gramStart"/>
      <w:r w:rsidRPr="00EA3CB6">
        <w:t>COM(2023</w:t>
      </w:r>
      <w:proofErr w:type="gramEnd"/>
      <w:r w:rsidRPr="00EA3CB6">
        <w:t>)0392 – C9</w:t>
      </w:r>
      <w:r w:rsidRPr="00EA3CB6">
        <w:noBreakHyphen/>
        <w:t>0302/2023),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finanční informace o Evropském rozvojovém fondu (</w:t>
      </w:r>
      <w:proofErr w:type="gramStart"/>
      <w:r w:rsidRPr="00EA3CB6">
        <w:t>COM(2023</w:t>
      </w:r>
      <w:proofErr w:type="gramEnd"/>
      <w:r w:rsidRPr="00EA3CB6">
        <w:t>)0392),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výroční zprávu Účetního dvora o činnostech financovaných z devátého, desátého a jedenáctého Evropského rozvojového fondu za rozpočtový rok 2022 spolu s odpověďmi Komise</w:t>
      </w:r>
      <w:r w:rsidRPr="00EA3CB6">
        <w:rPr>
          <w:rStyle w:val="FootnoteReference"/>
        </w:rPr>
        <w:footnoteReference w:id="1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 ohledem na prohlášení o věrohodnosti</w:t>
      </w:r>
      <w:r w:rsidRPr="00EA3CB6">
        <w:rPr>
          <w:rStyle w:val="FootnoteReference"/>
        </w:rPr>
        <w:footnoteReference w:id="2"/>
      </w:r>
      <w:r w:rsidRPr="00EA3CB6">
        <w:t xml:space="preserve"> </w:t>
      </w:r>
      <w:r w:rsidR="005737E4" w:rsidRPr="00EA3CB6">
        <w:t>účetnictví</w:t>
      </w:r>
      <w:r w:rsidR="005737E4">
        <w:t xml:space="preserve"> </w:t>
      </w:r>
      <w:r w:rsidRPr="00EA3CB6">
        <w:t>a o legalitě a správnosti uskutečněných operací, které předložil Účetní dvůr za rozpočtový rok 2022 podle článku 287 Smlouvy o fungování Evropské unie (</w:t>
      </w:r>
      <w:r w:rsidR="00714BC0">
        <w:t>dále jen „</w:t>
      </w:r>
      <w:r w:rsidRPr="00EA3CB6">
        <w:t>S</w:t>
      </w:r>
      <w:r w:rsidR="00714BC0">
        <w:t xml:space="preserve">mlouva o fungování </w:t>
      </w:r>
      <w:r w:rsidRPr="00EA3CB6">
        <w:t>EU</w:t>
      </w:r>
      <w:r w:rsidR="00714BC0">
        <w:t>“</w:t>
      </w:r>
      <w:r w:rsidRPr="00EA3CB6">
        <w:t>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doporučení Rady ze dne 22. února 2024 o udělení absolutoria Komisi za provádění operací Evropských rozvojových fondů za rozpočtový rok 2022 (0</w:t>
      </w:r>
      <w:r w:rsidR="00884ACA">
        <w:t>5889</w:t>
      </w:r>
      <w:r w:rsidRPr="00EA3CB6">
        <w:t>/2024 – C9</w:t>
      </w:r>
      <w:r w:rsidRPr="00EA3CB6">
        <w:noBreakHyphen/>
        <w:t>0</w:t>
      </w:r>
      <w:r w:rsidR="00884ACA">
        <w:t>123</w:t>
      </w:r>
      <w:r w:rsidRPr="00EA3CB6">
        <w:t>/2024, 0</w:t>
      </w:r>
      <w:r w:rsidR="00884ACA">
        <w:t>5891</w:t>
      </w:r>
      <w:r w:rsidRPr="00EA3CB6">
        <w:t>/2024 – C9</w:t>
      </w:r>
      <w:r w:rsidRPr="00EA3CB6">
        <w:noBreakHyphen/>
        <w:t>0</w:t>
      </w:r>
      <w:r w:rsidR="00884ACA">
        <w:t>122</w:t>
      </w:r>
      <w:r w:rsidRPr="00EA3CB6">
        <w:t>/2024, 0</w:t>
      </w:r>
      <w:r w:rsidR="00884ACA">
        <w:t>5892</w:t>
      </w:r>
      <w:r w:rsidRPr="00EA3CB6">
        <w:t>/2024 – C9</w:t>
      </w:r>
      <w:r w:rsidRPr="00EA3CB6">
        <w:noBreakHyphen/>
        <w:t>0</w:t>
      </w:r>
      <w:r w:rsidR="00884ACA">
        <w:t>124</w:t>
      </w:r>
      <w:r w:rsidRPr="00EA3CB6">
        <w:t>/2024),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 ohledem na zprávu Komise o opatřeních následujících po udělení absolutoria za rozpočtový rok 2021 (</w:t>
      </w:r>
      <w:proofErr w:type="gramStart"/>
      <w:r w:rsidRPr="00EA3CB6">
        <w:t>COM(2023</w:t>
      </w:r>
      <w:proofErr w:type="gramEnd"/>
      <w:r w:rsidRPr="00EA3CB6">
        <w:t>)</w:t>
      </w:r>
      <w:r w:rsidR="00716486">
        <w:t>0</w:t>
      </w:r>
      <w:r w:rsidRPr="00EA3CB6">
        <w:t>384),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 xml:space="preserve">s ohledem na Dohodu o partnerství mezi africkými, karibskými a tichomořskými státy (AKT) na straně jedné a Evropským společenstvím a jeho členskými státy na straně druhé, podepsanou v </w:t>
      </w:r>
      <w:proofErr w:type="spellStart"/>
      <w:r w:rsidRPr="00EA3CB6">
        <w:t>Cotonou</w:t>
      </w:r>
      <w:proofErr w:type="spellEnd"/>
      <w:r w:rsidRPr="00EA3CB6">
        <w:t xml:space="preserve"> (Benin) dne 23. června 2000</w:t>
      </w:r>
      <w:r w:rsidRPr="00EA3CB6">
        <w:rPr>
          <w:rStyle w:val="FootnoteReference"/>
        </w:rPr>
        <w:footnoteReference w:id="3"/>
      </w:r>
      <w:r w:rsidRPr="00EA3CB6">
        <w:t xml:space="preserve"> a změněnou v Ouagadougou (Burkina Faso) dne 22. června 2010</w:t>
      </w:r>
      <w:r w:rsidRPr="00EA3CB6">
        <w:rPr>
          <w:rStyle w:val="FootnoteReference"/>
        </w:rPr>
        <w:footnoteReference w:id="4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 xml:space="preserve">s ohledem na rozhodnutí Rady 2013/755/EU ze dne 25. listopadu 2013 o přidružení </w:t>
      </w:r>
      <w:r w:rsidRPr="00EA3CB6">
        <w:lastRenderedPageBreak/>
        <w:t>zámořských zemí a území k Evropské unii („rozhodnutí o přidružení zámoří“)</w:t>
      </w:r>
      <w:r w:rsidRPr="00EA3CB6">
        <w:rPr>
          <w:rStyle w:val="FootnoteReference"/>
        </w:rPr>
        <w:footnoteReference w:id="5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rozhodnutí Rady (EU) 2021/1764 ze dne 5. října 2021 o přidružení zámořských zemí a území k Evropské unii včetně vztahů mezi Evropskou unií na jedné straně a Grónskem a Dánským královstvím na straně druhé (rozhodnutí o přidružení zámoří včetně Grónska)</w:t>
      </w:r>
      <w:r w:rsidRPr="00EA3CB6">
        <w:rPr>
          <w:rStyle w:val="FootnoteReference"/>
        </w:rPr>
        <w:footnoteReference w:id="6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33 interní dohody zástupců vlád členských států zasedajících v Radě ze dne 20. prosince 1995, o financování a řízení pomoci Společenství v rámci druhého finančního protokolu čtvrté úmluvy AKT-ES</w:t>
      </w:r>
      <w:r w:rsidRPr="00EA3CB6">
        <w:rPr>
          <w:rStyle w:val="FootnoteReference"/>
        </w:rPr>
        <w:footnoteReference w:id="7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 xml:space="preserve">s ohledem na článek 32 interní dohody zástupců vlád členských států zasedajících v Radě ze dne 18. září 2000 o financování a řízení pomoci Společenství v rámci finančního protokolu Dohody o partnerství mezi africkými, karibskými a tichomořskými státy a Evropským společenstvím a jeho členskými státy, podepsané v </w:t>
      </w:r>
      <w:proofErr w:type="spellStart"/>
      <w:r w:rsidRPr="00EA3CB6">
        <w:t>Cotonou</w:t>
      </w:r>
      <w:proofErr w:type="spellEnd"/>
      <w:r w:rsidRPr="00EA3CB6">
        <w:t xml:space="preserve"> (Benin) dne 23. června 2000, a o přidělení finanční pomoci pro zámořské země a území, na něž se vztahují ustanovení čtvrté části Smlouvy o ES</w:t>
      </w:r>
      <w:r w:rsidRPr="00EA3CB6">
        <w:rPr>
          <w:rStyle w:val="FootnoteReference"/>
        </w:rPr>
        <w:footnoteReference w:id="8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11 interní dohody zástupců vlád členských států Evropské unie zasedajících v Radě ze dne 24. a 26. června 2013 o financování pomoci Evropské unie v rámci víceletého finančního rámce pro období 2014–2020 v souladu s dohodou o partnerství AKT-ES a o přídělu fin</w:t>
      </w:r>
      <w:bookmarkStart w:id="8" w:name="_GoBack"/>
      <w:bookmarkEnd w:id="8"/>
      <w:r w:rsidRPr="00EA3CB6">
        <w:t>anční pomoci zámořským zemím a územím, na které se vztahuje čtvrtá část S</w:t>
      </w:r>
      <w:r w:rsidR="00714BC0">
        <w:t xml:space="preserve">mlouvy o fungování </w:t>
      </w:r>
      <w:r w:rsidRPr="00EA3CB6">
        <w:t>EU</w:t>
      </w:r>
      <w:r w:rsidRPr="00EA3CB6">
        <w:rPr>
          <w:rStyle w:val="FootnoteReference"/>
        </w:rPr>
        <w:footnoteReference w:id="9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319 S</w:t>
      </w:r>
      <w:r w:rsidR="00714BC0">
        <w:t xml:space="preserve">mlouvy o fungování </w:t>
      </w:r>
      <w:r w:rsidRPr="00EA3CB6">
        <w:t>EU,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74 finančního nařízení ze dne 16. června 1998 o spolupráci při financování rozvoje v rámci čtvrté úmluvy AKT-ES</w:t>
      </w:r>
      <w:r w:rsidRPr="00EA3CB6">
        <w:rPr>
          <w:rStyle w:val="FootnoteReference"/>
        </w:rPr>
        <w:footnoteReference w:id="10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119 finančního nařízení ze dne 27. března 2003 pro 9. Evropský rozvojový fond</w:t>
      </w:r>
      <w:r w:rsidRPr="00EA3CB6">
        <w:rPr>
          <w:rStyle w:val="FootnoteReference"/>
        </w:rPr>
        <w:footnoteReference w:id="11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50 nařízení Rady (ES) č. 215/2008 ze dne 18. února 2008 o finančním nařízení pro 10. Evropský rozvojový fond</w:t>
      </w:r>
      <w:r w:rsidRPr="00EA3CB6">
        <w:rPr>
          <w:rStyle w:val="FootnoteReference"/>
        </w:rPr>
        <w:footnoteReference w:id="12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48 nařízení Rady (EU) 2015/323 ze dne 2. března 2015 o finančním nařízení pro 11. Evropský rozvojový fond</w:t>
      </w:r>
      <w:r w:rsidRPr="00EA3CB6">
        <w:rPr>
          <w:rStyle w:val="FootnoteReference"/>
        </w:rPr>
        <w:footnoteReference w:id="13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44 nařízení Rady (EU) 2018/1877 ze dne 26. listopadu 2018 o finančním nařízení pro 11. Evropský rozvojový fond a o zrušení nařízení (EU) 2015/323</w:t>
      </w:r>
      <w:r w:rsidRPr="00EA3CB6">
        <w:rPr>
          <w:rStyle w:val="FootnoteReference"/>
        </w:rPr>
        <w:footnoteReference w:id="14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lastRenderedPageBreak/>
        <w:t>–</w:t>
      </w:r>
      <w:r w:rsidRPr="00EA3CB6">
        <w:tab/>
        <w:t>s ohledem na článek 99 a čl. 100 třetí odrážku a přílohu V jednacího řádu,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 ohledem na stanovisko Výboru pro rozvoj,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zprávu Výboru pro rozpočtovou kontrolu (A9</w:t>
      </w:r>
      <w:r w:rsidRPr="00EA3CB6">
        <w:noBreakHyphen/>
        <w:t>0110/2024),</w:t>
      </w:r>
    </w:p>
    <w:p w:rsidR="00E44451" w:rsidRPr="00EA3CB6" w:rsidRDefault="00E44451" w:rsidP="0065078B">
      <w:pPr>
        <w:pStyle w:val="NormalHanging12a"/>
      </w:pPr>
      <w:r w:rsidRPr="00EA3CB6">
        <w:t>1.</w:t>
      </w:r>
      <w:r w:rsidRPr="00EA3CB6">
        <w:tab/>
        <w:t>uděluje absolutorium Komisi za plnění rozpočtu devátého, desátého a jedenáctého Evropského rozvojového fondu na rozpočtový rok;</w:t>
      </w:r>
    </w:p>
    <w:p w:rsidR="00E44451" w:rsidRPr="00EA3CB6" w:rsidRDefault="00E44451" w:rsidP="0065078B">
      <w:pPr>
        <w:pStyle w:val="NormalHanging12a"/>
      </w:pPr>
      <w:r w:rsidRPr="00EA3CB6">
        <w:t>2.</w:t>
      </w:r>
      <w:r w:rsidRPr="00EA3CB6">
        <w:tab/>
        <w:t>předkládá své připomínky v níže uvedeném usnesení;</w:t>
      </w:r>
    </w:p>
    <w:p w:rsidR="00E44451" w:rsidRPr="00EA3CB6" w:rsidRDefault="00E44451" w:rsidP="0065078B">
      <w:pPr>
        <w:pStyle w:val="NormalHanging12a"/>
      </w:pPr>
      <w:r w:rsidRPr="00EA3CB6">
        <w:t>3.</w:t>
      </w:r>
      <w:r w:rsidRPr="00EA3CB6">
        <w:tab/>
        <w:t xml:space="preserve">pověřuje svou předsedkyni, aby předala toto rozhodnutí a usnesení, které je jeho nedílnou součástí, Radě, Komisi, Účetnímu dvoru a Evropské investiční bance a aby zajistila jejich zveřejnění v </w:t>
      </w:r>
      <w:r w:rsidRPr="00EA3CB6">
        <w:rPr>
          <w:i/>
        </w:rPr>
        <w:t>Úředním věstníku Evropské unie</w:t>
      </w:r>
      <w:r w:rsidRPr="00EA3CB6">
        <w:t xml:space="preserve"> (řada L).</w:t>
      </w:r>
    </w:p>
    <w:p w:rsidR="00E44451" w:rsidRPr="00EA3CB6" w:rsidRDefault="00E44451" w:rsidP="0065078B">
      <w:pPr>
        <w:spacing w:after="240"/>
        <w:ind w:left="567" w:hanging="567"/>
      </w:pPr>
    </w:p>
    <w:p w:rsidR="00E44451" w:rsidRPr="00EA3CB6" w:rsidRDefault="00E44451" w:rsidP="00E44451">
      <w:pPr>
        <w:pStyle w:val="PageHeading"/>
        <w:sectPr w:rsidR="00E44451" w:rsidRPr="00EA3CB6" w:rsidSect="00EA3CB6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44451" w:rsidRPr="00EA3CB6" w:rsidRDefault="00E44451" w:rsidP="0065078B">
      <w:pPr>
        <w:pStyle w:val="ATHeading3"/>
      </w:pPr>
      <w:bookmarkStart w:id="9" w:name="_Toc161916529"/>
      <w:r w:rsidRPr="00EA3CB6">
        <w:lastRenderedPageBreak/>
        <w:t xml:space="preserve">2. </w:t>
      </w:r>
      <w:r w:rsidR="0065078B" w:rsidRPr="00EA3CB6">
        <w:t>Rozhodnutí Evropského parlamentu</w:t>
      </w:r>
      <w:bookmarkEnd w:id="9"/>
      <w:r w:rsidR="0065078B">
        <w:t xml:space="preserve"> </w:t>
      </w:r>
      <w:r w:rsidR="00C5649E" w:rsidRPr="00EA3CB6">
        <w:t xml:space="preserve">ze dne 11. dubna 2024 </w:t>
      </w:r>
      <w:r w:rsidRPr="00EA3CB6">
        <w:t>o uzavření účtů devátého, desátého a jedenáctého Evropského rozvojového fondu za rozpočtový rok 2022</w:t>
      </w:r>
      <w:r w:rsidR="0065078B">
        <w:t xml:space="preserve"> </w:t>
      </w:r>
      <w:r w:rsidRPr="00EA3CB6">
        <w:t>(2023/2183(DEC))</w:t>
      </w:r>
    </w:p>
    <w:p w:rsidR="00E44451" w:rsidRPr="00EA3CB6" w:rsidRDefault="00E44451" w:rsidP="00E44451">
      <w:pPr>
        <w:pStyle w:val="EPComma"/>
      </w:pPr>
      <w:r w:rsidRPr="00EA3CB6">
        <w:rPr>
          <w:i/>
        </w:rPr>
        <w:t>Evropský parlament</w:t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 ohledem na rozvahy a účetní závěrky devátého, desátého a jedenáctého Evropského rozvojového fondu za rozpočtový rok 2022 (</w:t>
      </w:r>
      <w:proofErr w:type="gramStart"/>
      <w:r w:rsidRPr="00EA3CB6">
        <w:t>COM(2023</w:t>
      </w:r>
      <w:proofErr w:type="gramEnd"/>
      <w:r w:rsidRPr="00EA3CB6">
        <w:t>)0392 – C9</w:t>
      </w:r>
      <w:r w:rsidRPr="00EA3CB6">
        <w:noBreakHyphen/>
        <w:t>0302/2023),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finanční informace o Evropském rozvojovém fondu (</w:t>
      </w:r>
      <w:proofErr w:type="gramStart"/>
      <w:r w:rsidRPr="00EA3CB6">
        <w:t>COM(2023</w:t>
      </w:r>
      <w:proofErr w:type="gramEnd"/>
      <w:r w:rsidRPr="00EA3CB6">
        <w:t>)0392),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výroční zprávu Účetního dvora o činnostech financovaných z devátého, desátého a jedenáctého Evropského rozvojového fondu za rozpočtový rok 2022 spolu s odpověďmi Komise</w:t>
      </w:r>
      <w:r w:rsidRPr="00EA3CB6">
        <w:rPr>
          <w:rStyle w:val="FootnoteReference"/>
        </w:rPr>
        <w:footnoteReference w:id="15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 ohledem na prohlášení o věrohodnosti</w:t>
      </w:r>
      <w:r w:rsidRPr="00EA3CB6">
        <w:rPr>
          <w:rStyle w:val="FootnoteReference"/>
        </w:rPr>
        <w:footnoteReference w:id="16"/>
      </w:r>
      <w:r w:rsidRPr="00EA3CB6">
        <w:t xml:space="preserve"> </w:t>
      </w:r>
      <w:r w:rsidR="005737E4" w:rsidRPr="00EA3CB6">
        <w:t>účetnictví</w:t>
      </w:r>
      <w:r w:rsidR="005737E4">
        <w:t xml:space="preserve"> </w:t>
      </w:r>
      <w:r w:rsidRPr="00EA3CB6">
        <w:t>a o legalitě a správnosti uskutečněných operací, které předložil Účetní dvůr za rozpočtový rok 2022 podle článku 287 Smlouvy o fungování Evropské unie (</w:t>
      </w:r>
      <w:r w:rsidR="00714BC0">
        <w:t>dále jen „</w:t>
      </w:r>
      <w:r w:rsidRPr="00EA3CB6">
        <w:t>S</w:t>
      </w:r>
      <w:r w:rsidR="00714BC0">
        <w:t xml:space="preserve">mlouva o fungování </w:t>
      </w:r>
      <w:r w:rsidRPr="00EA3CB6">
        <w:t>EU</w:t>
      </w:r>
      <w:r w:rsidR="00714BC0">
        <w:t>“</w:t>
      </w:r>
      <w:r w:rsidRPr="00EA3CB6">
        <w:t>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doporučení Rady ze dne 22. února 2024 o udělení absolutoria Komisi za provádění operací Evropských rozvojových fondů za rozpočtový rok 2022 (0</w:t>
      </w:r>
      <w:r w:rsidR="00884ACA">
        <w:t>5889</w:t>
      </w:r>
      <w:r w:rsidRPr="00EA3CB6">
        <w:t>/2024 – C9</w:t>
      </w:r>
      <w:r w:rsidR="00E20B63">
        <w:t>-</w:t>
      </w:r>
      <w:r w:rsidRPr="00EA3CB6">
        <w:t>0</w:t>
      </w:r>
      <w:r w:rsidR="00884ACA">
        <w:t>123</w:t>
      </w:r>
      <w:r w:rsidRPr="00EA3CB6">
        <w:t>/2024, 0</w:t>
      </w:r>
      <w:r w:rsidR="00884ACA">
        <w:t>5891</w:t>
      </w:r>
      <w:r w:rsidR="00E20B63">
        <w:t>/2024 – C9-</w:t>
      </w:r>
      <w:r w:rsidRPr="00EA3CB6">
        <w:t>0</w:t>
      </w:r>
      <w:r w:rsidR="00884ACA">
        <w:t>122</w:t>
      </w:r>
      <w:r w:rsidRPr="00EA3CB6">
        <w:t>/2024, 0</w:t>
      </w:r>
      <w:r w:rsidR="00884ACA">
        <w:t>5892</w:t>
      </w:r>
      <w:r w:rsidRPr="00EA3CB6">
        <w:t>/2024 – C9</w:t>
      </w:r>
      <w:r w:rsidR="00E20B63">
        <w:t>-</w:t>
      </w:r>
      <w:r w:rsidRPr="00EA3CB6">
        <w:t>0</w:t>
      </w:r>
      <w:r w:rsidR="00884ACA">
        <w:t>124</w:t>
      </w:r>
      <w:r w:rsidRPr="00EA3CB6">
        <w:t>/2024),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 ohledem na zprávu Komise o opatřeních následujících po udělení absolutoria za rozpočtový rok 2021 (</w:t>
      </w:r>
      <w:proofErr w:type="gramStart"/>
      <w:r w:rsidRPr="00EA3CB6">
        <w:t>COM(2023</w:t>
      </w:r>
      <w:proofErr w:type="gramEnd"/>
      <w:r w:rsidRPr="00EA3CB6">
        <w:t>)384),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 xml:space="preserve">s ohledem na Dohodu o partnerství mezi africkými, karibskými a tichomořskými státy (AKT) na straně jedné a Evropským společenstvím a jeho členskými státy na straně druhé, podepsanou v </w:t>
      </w:r>
      <w:proofErr w:type="spellStart"/>
      <w:r w:rsidRPr="00EA3CB6">
        <w:t>Cotonou</w:t>
      </w:r>
      <w:proofErr w:type="spellEnd"/>
      <w:r w:rsidRPr="00EA3CB6">
        <w:t xml:space="preserve"> (Benin) dne 23. června 2000</w:t>
      </w:r>
      <w:r w:rsidRPr="00EA3CB6">
        <w:rPr>
          <w:rStyle w:val="FootnoteReference"/>
        </w:rPr>
        <w:footnoteReference w:id="17"/>
      </w:r>
      <w:r w:rsidRPr="00EA3CB6">
        <w:t xml:space="preserve"> a změněnou v Ouagadougou (Burkina Faso) dne 22. června 2010</w:t>
      </w:r>
      <w:r w:rsidRPr="00EA3CB6">
        <w:rPr>
          <w:rStyle w:val="FootnoteReference"/>
        </w:rPr>
        <w:footnoteReference w:id="18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rozhodnutí Rady 2013/755/EU ze dne 25. listopadu 2013 o přidružení zámořských zemí a území k Evropské unii („rozhodnutí o přidružení zámoří“)</w:t>
      </w:r>
      <w:r w:rsidRPr="00EA3CB6">
        <w:rPr>
          <w:rStyle w:val="FootnoteReference"/>
        </w:rPr>
        <w:footnoteReference w:id="19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rozhodnutí Rady (EU) 2021/1764 ze dne 5. října 2021 o přidružení zámořských zemí a území k Evropské unii včetně vztahů mezi Evropskou unií na jedné straně a Grónskem a Dánským královstvím na straně druhé (rozhodnutí o přidružení zámoří včetně Grónska)</w:t>
      </w:r>
      <w:r w:rsidRPr="00EA3CB6">
        <w:rPr>
          <w:rStyle w:val="FootnoteReference"/>
        </w:rPr>
        <w:footnoteReference w:id="20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33 interní dohody zástupců vlád členských států zasedajících v Radě ze dne 20. prosince 1995, o financování a řízení pomoci Společenství v rámci druhého finančního protokolu čtvrté úmluvy AKT-ES</w:t>
      </w:r>
      <w:r w:rsidRPr="00EA3CB6">
        <w:rPr>
          <w:rStyle w:val="FootnoteReference"/>
        </w:rPr>
        <w:footnoteReference w:id="21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 xml:space="preserve">s ohledem na článek 32 interní dohody zástupců vlád členských států zasedajících v </w:t>
      </w:r>
      <w:r w:rsidRPr="00EA3CB6">
        <w:lastRenderedPageBreak/>
        <w:t xml:space="preserve">Radě ze dne 18. září 2000 o financování a řízení pomoci Společenství v rámci finančního protokolu Dohody o partnerství mezi africkými, karibskými a tichomořskými státy a Evropským společenstvím a jeho členskými státy, podepsané v </w:t>
      </w:r>
      <w:proofErr w:type="spellStart"/>
      <w:r w:rsidRPr="00EA3CB6">
        <w:t>Cotonou</w:t>
      </w:r>
      <w:proofErr w:type="spellEnd"/>
      <w:r w:rsidRPr="00EA3CB6">
        <w:t xml:space="preserve"> (Benin) dne 23. června 2000, a o přidělení finanční pomoci pro zámořské země a území, na něž se vztahují ustanovení čtvrté části Smlouvy o ES</w:t>
      </w:r>
      <w:r w:rsidRPr="00EA3CB6">
        <w:rPr>
          <w:rStyle w:val="FootnoteReference"/>
        </w:rPr>
        <w:footnoteReference w:id="22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11 interní dohody zástupců vlád členských států Evropské unie zasedajících v Radě ze dne 24. a 26. června 2013 o financování pomoci Evropské unie v rámci víceletého finančního rámce pro období 2014–2020 v souladu s dohodou o partnerství AKT-ES a o přídělu finanční pomoci zámořským zemím a územím, na které se vztahuje čtvrtá část S</w:t>
      </w:r>
      <w:r w:rsidR="00714BC0">
        <w:t xml:space="preserve">mlouvy o fungování </w:t>
      </w:r>
      <w:r w:rsidRPr="00EA3CB6">
        <w:t>EU</w:t>
      </w:r>
      <w:r w:rsidRPr="00EA3CB6">
        <w:rPr>
          <w:rStyle w:val="FootnoteReference"/>
        </w:rPr>
        <w:footnoteReference w:id="23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319 S</w:t>
      </w:r>
      <w:r w:rsidR="00714BC0">
        <w:t xml:space="preserve">mlouvy o fungování </w:t>
      </w:r>
      <w:r w:rsidRPr="00EA3CB6">
        <w:t>EU,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74 finančního nařízení ze dne 16. června 1998 o spolupráci při financování rozvoje v rámci čtvrté úmluvy AKT-ES</w:t>
      </w:r>
      <w:r w:rsidRPr="00EA3CB6">
        <w:rPr>
          <w:rStyle w:val="FootnoteReference"/>
        </w:rPr>
        <w:footnoteReference w:id="24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119 finančního nařízení ze dne 27. března 2003 pro 9. Evropský rozvojový fond</w:t>
      </w:r>
      <w:r w:rsidRPr="00EA3CB6">
        <w:rPr>
          <w:rStyle w:val="FootnoteReference"/>
        </w:rPr>
        <w:footnoteReference w:id="25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50 nařízení Rady (ES) č. 215/2008 ze dne 18. února 2008 o finančním nařízení pro 10. Evropský rozvojový fond</w:t>
      </w:r>
      <w:r w:rsidRPr="00EA3CB6">
        <w:rPr>
          <w:rStyle w:val="FootnoteReference"/>
        </w:rPr>
        <w:footnoteReference w:id="26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48 nařízení Rady (EU) 2015/323 ze dne 2. března 2015 o finančním nařízení pro 11. Evropský rozvojový fond</w:t>
      </w:r>
      <w:r w:rsidRPr="00EA3CB6">
        <w:rPr>
          <w:rStyle w:val="FootnoteReference"/>
        </w:rPr>
        <w:footnoteReference w:id="27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44 nařízení Rady (EU) 2018/1877 ze dne 26. listopadu 2018 o finančním nařízení pro 11. Evropský rozvojový fond a o zrušení nařízení (EU) 2015/323</w:t>
      </w:r>
      <w:r w:rsidRPr="00EA3CB6">
        <w:rPr>
          <w:rStyle w:val="FootnoteReference"/>
        </w:rPr>
        <w:footnoteReference w:id="28"/>
      </w:r>
      <w:r w:rsidRPr="00EA3CB6">
        <w:t>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článek 99 a čl. 100 třetí odrážku a přílohu V jednacího řádu,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 ohledem na stanovisko Výboru pro rozvoj,</w:t>
      </w:r>
    </w:p>
    <w:p w:rsidR="00E44451" w:rsidRPr="00EA3CB6" w:rsidRDefault="00E44451" w:rsidP="0065078B">
      <w:pPr>
        <w:pStyle w:val="NormalHanging12a"/>
      </w:pPr>
      <w:r w:rsidRPr="00EA3CB6">
        <w:t>–</w:t>
      </w:r>
      <w:r w:rsidRPr="00EA3CB6">
        <w:tab/>
        <w:t>s ohledem na zprávu Výboru pro rozpočtovou kontrolu (A9</w:t>
      </w:r>
      <w:r w:rsidRPr="00EA3CB6">
        <w:noBreakHyphen/>
        <w:t>0110/2024),</w:t>
      </w:r>
    </w:p>
    <w:p w:rsidR="00E44451" w:rsidRPr="00EA3CB6" w:rsidRDefault="00E44451" w:rsidP="0065078B">
      <w:pPr>
        <w:pStyle w:val="NormalHanging12a"/>
      </w:pPr>
      <w:r w:rsidRPr="00EA3CB6">
        <w:t>1.</w:t>
      </w:r>
      <w:r w:rsidRPr="00EA3CB6">
        <w:tab/>
        <w:t>schvaluje uzavření účtů devátého, desátého a jedenáctého Evropského rozvojového fondu za rozpočtový rok 2022;</w:t>
      </w:r>
    </w:p>
    <w:p w:rsidR="00E44451" w:rsidRPr="00EA3CB6" w:rsidRDefault="00E44451" w:rsidP="0065078B">
      <w:pPr>
        <w:pStyle w:val="NormalHanging12a"/>
      </w:pPr>
      <w:r w:rsidRPr="00EA3CB6">
        <w:t>2.</w:t>
      </w:r>
      <w:r w:rsidRPr="00EA3CB6">
        <w:tab/>
        <w:t xml:space="preserve">pověřuje svou předsedkyni, aby předala toto rozhodnutí Radě, Komisi, Účetnímu dvoru a Evropské investiční bance a aby zajistila jeho zveřejnění v </w:t>
      </w:r>
      <w:r w:rsidRPr="00EA3CB6">
        <w:rPr>
          <w:i/>
        </w:rPr>
        <w:t>Úředním věstníku Evropské unie</w:t>
      </w:r>
      <w:r w:rsidRPr="00EA3CB6">
        <w:t xml:space="preserve"> (řada L).</w:t>
      </w:r>
    </w:p>
    <w:p w:rsidR="00E44451" w:rsidRPr="00EA3CB6" w:rsidRDefault="00E44451" w:rsidP="00E44451"/>
    <w:p w:rsidR="00E44451" w:rsidRPr="00EA3CB6" w:rsidRDefault="00E44451" w:rsidP="00E44451">
      <w:pPr>
        <w:pStyle w:val="PageHeading"/>
        <w:sectPr w:rsidR="00E44451" w:rsidRPr="00EA3CB6" w:rsidSect="00EA3CB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E44451" w:rsidRPr="00EA3CB6" w:rsidRDefault="00E44451" w:rsidP="0065078B">
      <w:pPr>
        <w:pStyle w:val="ATHeading3"/>
      </w:pPr>
      <w:bookmarkStart w:id="10" w:name="_Toc161916530"/>
      <w:r w:rsidRPr="00EA3CB6">
        <w:lastRenderedPageBreak/>
        <w:t xml:space="preserve">3. </w:t>
      </w:r>
      <w:r w:rsidR="0065078B" w:rsidRPr="00EA3CB6">
        <w:t>Usnesení Evropského parlamentu</w:t>
      </w:r>
      <w:bookmarkEnd w:id="10"/>
      <w:r w:rsidR="0065078B">
        <w:t xml:space="preserve"> </w:t>
      </w:r>
      <w:r w:rsidR="00C5649E" w:rsidRPr="00EA3CB6">
        <w:t xml:space="preserve">ze dne 11. dubna 2024 </w:t>
      </w:r>
      <w:r w:rsidRPr="00EA3CB6">
        <w:t>obsahující připomínky, které jsou nedílnou součástí rozhodnutí o udělení absolutoria za plnění rozpočtu devátého, desátého a jedenáctého Evropského rozvojového fondu na rozpočtový rok 2022</w:t>
      </w:r>
      <w:r w:rsidR="0065078B">
        <w:t xml:space="preserve"> </w:t>
      </w:r>
      <w:r w:rsidRPr="00EA3CB6">
        <w:t>(2023/2183(DEC))</w:t>
      </w:r>
    </w:p>
    <w:p w:rsidR="00E44451" w:rsidRPr="00EA3CB6" w:rsidRDefault="00E44451" w:rsidP="00E44451">
      <w:pPr>
        <w:pStyle w:val="EPComma"/>
      </w:pPr>
      <w:r w:rsidRPr="00EA3CB6">
        <w:rPr>
          <w:i/>
        </w:rPr>
        <w:t>Evropský parlament</w:t>
      </w:r>
      <w:r w:rsidRPr="00EA3CB6">
        <w:t>,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EA3CB6">
        <w:t>–</w:t>
      </w:r>
      <w:r w:rsidRPr="00EA3CB6">
        <w:tab/>
        <w:t xml:space="preserve">s ohledem </w:t>
      </w:r>
      <w:r w:rsidRPr="0065078B">
        <w:rPr>
          <w:szCs w:val="24"/>
        </w:rPr>
        <w:t>na své rozhodnutí o udělení absolutoria za plnění rozpočtu devátého, desátého a jedenáctého Evropského rozvojového fondu na rozpočtový rok 2022,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–</w:t>
      </w:r>
      <w:r w:rsidRPr="0065078B">
        <w:rPr>
          <w:szCs w:val="24"/>
        </w:rPr>
        <w:tab/>
        <w:t>s ohledem na zvláštní zprávu Evropského účetního dvora č. 35/2018,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–</w:t>
      </w:r>
      <w:r w:rsidRPr="0065078B">
        <w:rPr>
          <w:szCs w:val="24"/>
        </w:rPr>
        <w:tab/>
        <w:t>s ohledem na článek 99 a čl. 100 třetí odrážku a přílohu V jednacího řádu,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–</w:t>
      </w:r>
      <w:r w:rsidRPr="0065078B">
        <w:rPr>
          <w:szCs w:val="24"/>
        </w:rPr>
        <w:tab/>
        <w:t>s ohledem na stanovisko Výboru pro rozvoj,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–</w:t>
      </w:r>
      <w:r w:rsidRPr="0065078B">
        <w:rPr>
          <w:szCs w:val="24"/>
        </w:rPr>
        <w:tab/>
        <w:t>s ohledem na zprávu Výboru pro rozpočtovou kontrolu (A9-0110/2024),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A.</w:t>
      </w:r>
      <w:r w:rsidRPr="0065078B">
        <w:rPr>
          <w:szCs w:val="24"/>
        </w:rPr>
        <w:tab/>
        <w:t>vzhledem k tomu, že rozvojová spolupráce Unie, jak je definována v článcích 208 až 211 Smlouvy o fungování Evropské unie, probíhá v celosvětovém kontextu vymezeném v Agendě OSN pro udržitelný rozvoj 2030 a v jejích cílech udržitelného rozvoje;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B.</w:t>
      </w:r>
      <w:r w:rsidRPr="0065078B">
        <w:rPr>
          <w:szCs w:val="24"/>
        </w:rPr>
        <w:tab/>
        <w:t>vzhledem k tomu, že Unie navázala vztahy založené na spolupráci s velkým počtem rozvojových zemí, přičemž hlavním cílem je podpora hospodářského, sociálního a environmentálního rozvoje a především omezení a odstranění chudoby v dlouhodobém horizontu prostřednictvím rozvojové a technické pomoci poskytované příslušným zemím;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C.</w:t>
      </w:r>
      <w:r w:rsidRPr="0065078B">
        <w:rPr>
          <w:szCs w:val="24"/>
        </w:rPr>
        <w:tab/>
        <w:t xml:space="preserve">vzhledem k tomu, že od roku 1959 do roku 2020 byla poskytována pomoc na rozvojovou spolupráci africkým, karibským a tichomořským zemím (AKT) a zámořským zemím a územím (ZZÚ) z Evropských rozvojových fondů (ERF); vzhledem k tomu, že rámcem upravujícím vztah Unie se zeměmi AKT a ZZÚ byla po dobu 20 let dohoda o partnerství podepsaná v </w:t>
      </w:r>
      <w:proofErr w:type="spellStart"/>
      <w:r w:rsidRPr="0065078B">
        <w:rPr>
          <w:szCs w:val="24"/>
        </w:rPr>
        <w:t>Cotonou</w:t>
      </w:r>
      <w:proofErr w:type="spellEnd"/>
      <w:r w:rsidRPr="0065078B">
        <w:rPr>
          <w:szCs w:val="24"/>
        </w:rPr>
        <w:t xml:space="preserve"> („dohoda z </w:t>
      </w:r>
      <w:proofErr w:type="spellStart"/>
      <w:r w:rsidRPr="0065078B">
        <w:rPr>
          <w:szCs w:val="24"/>
        </w:rPr>
        <w:t>Cotonou</w:t>
      </w:r>
      <w:proofErr w:type="spellEnd"/>
      <w:r w:rsidRPr="0065078B">
        <w:rPr>
          <w:szCs w:val="24"/>
        </w:rPr>
        <w:t>“) ze dne 23. června 2000, jejíž platnost byla dočasně prodloužena; vzhledem k tomu, že dne 15. listopadu 2023 byla podepsána Samojská dohoda;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D.</w:t>
      </w:r>
      <w:r w:rsidRPr="0065078B">
        <w:rPr>
          <w:szCs w:val="24"/>
        </w:rPr>
        <w:tab/>
        <w:t>vzhledem k tomu, že jedenáctý ERF dospěl do své poslední fáze, když dne 31. prosince 2020 vstoupilo v platnost jeho ustanovení o skončení platnosti; vzhledem k tomu, že zvláštní smlouvy ke stávajícím dohodám o financování budou platit až do 31. prosince 2023 a že provádění probíhajících projektů financovaných z ERF bude pokračovat až do jejich úplného dokončení;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E.</w:t>
      </w:r>
      <w:r w:rsidRPr="0065078B">
        <w:rPr>
          <w:szCs w:val="24"/>
        </w:rPr>
        <w:tab/>
        <w:t xml:space="preserve">vzhledem k tomu, že ve víceletém finančním </w:t>
      </w:r>
      <w:r w:rsidRPr="006C187E">
        <w:rPr>
          <w:szCs w:val="24"/>
        </w:rPr>
        <w:t>rámci na období 2021</w:t>
      </w:r>
      <w:r w:rsidRPr="0065078B">
        <w:rPr>
          <w:szCs w:val="24"/>
        </w:rPr>
        <w:t>–2027 je pomoc na rozvojovou spolupráci se zeměmi AKT součástí Nástroje pro sousedství a rozvojovou a mezinárodní spolupráci – Globální Evropa (NDICI – Globální Evropa) a pomoc na rozvojovou spolupráci se ZZÚ je začleněná do rozhodnutí o přidružení zámoří, včetně Grónska;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F.</w:t>
      </w:r>
      <w:r w:rsidRPr="0065078B">
        <w:rPr>
          <w:szCs w:val="24"/>
        </w:rPr>
        <w:tab/>
        <w:t>vzhledem k tomu, že devátý, desátý a jedenáctý ERF do souhrnného rozpočtu Unie začleněny nebyly a budou se až do svého uzavření provádět a vykazovat odděleně;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lastRenderedPageBreak/>
        <w:t>G.</w:t>
      </w:r>
      <w:r w:rsidRPr="0065078B">
        <w:rPr>
          <w:szCs w:val="24"/>
        </w:rPr>
        <w:tab/>
        <w:t>vzhledem k tomu, že ERF jsou řízeny téměř výlučně Generálním ředitelstvím Komise pro mezinárodní partnerství (GŘ INTPA), přičemž malý podíl (5 %) výdajů z ERF v roce 2022 řídilo Generální ředitelství pro evropskou civilní ochranu a operace humanitární pomoci (GŘ ECHO);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H.</w:t>
      </w:r>
      <w:r w:rsidRPr="0065078B">
        <w:rPr>
          <w:szCs w:val="24"/>
        </w:rPr>
        <w:tab/>
        <w:t>vzhledem k tomu, že rozvojová spolupráce se vyvíjí od tradičnějšího modelu dárce – příjemce směrem k většímu důrazu na společné zájmy, jež zahrnují nejen sociální odvětví, ale také udržitelné investice, obchod a rozvoj hospodářských odvětví s vysokou přidanou hodnotou, a na mezinárodní partnerství zaměřená na řešení globálních výzev; vzhledem k tomu, že podle S</w:t>
      </w:r>
      <w:r w:rsidR="00714BC0">
        <w:rPr>
          <w:szCs w:val="24"/>
        </w:rPr>
        <w:t xml:space="preserve">mlouvy o fungování </w:t>
      </w:r>
      <w:r w:rsidRPr="0065078B">
        <w:rPr>
          <w:szCs w:val="24"/>
        </w:rPr>
        <w:t>EU je „hlavním cílem politiky Unie [v oblasti rozvojové spolupráce] snížení a výhledově i vymýcení chudoby“;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I.</w:t>
      </w:r>
      <w:r w:rsidRPr="0065078B">
        <w:rPr>
          <w:szCs w:val="24"/>
        </w:rPr>
        <w:tab/>
        <w:t>vzhledem k tomu, že na základě přístupu „tým Evropa“ spolupracuje Unie v dané oblasti s členskými státy, s místními příjemci a s ostatními dárci, aby zajistila hmatatelný dopad a skutečně zásadní změnu v partnerských zemích;</w:t>
      </w:r>
    </w:p>
    <w:p w:rsidR="00E44451" w:rsidRPr="0065078B" w:rsidRDefault="00E44451" w:rsidP="00EE6BE5">
      <w:pPr>
        <w:pStyle w:val="NormalHanging12a"/>
        <w:keepNext/>
        <w:keepLines/>
        <w:ind w:left="0" w:firstLine="0"/>
        <w:rPr>
          <w:b/>
          <w:i/>
          <w:szCs w:val="24"/>
        </w:rPr>
      </w:pPr>
      <w:r w:rsidRPr="0065078B">
        <w:rPr>
          <w:b/>
          <w:i/>
          <w:szCs w:val="24"/>
        </w:rPr>
        <w:t>Plnění rozpočtu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1.</w:t>
      </w:r>
      <w:r w:rsidRPr="0065078B">
        <w:rPr>
          <w:szCs w:val="24"/>
        </w:rPr>
        <w:tab/>
        <w:t xml:space="preserve">konstatuje, že v roce 2022 mělo na finanční plnění 10. a 11. ERF (individuální závazky ve výši 853 milionů EUR a platby ve výši 2 386 milionů EUR) vliv rozhodnutí Rady </w:t>
      </w:r>
      <w:r w:rsidR="003B3525">
        <w:rPr>
          <w:szCs w:val="24"/>
        </w:rPr>
        <w:t>(</w:t>
      </w:r>
      <w:r w:rsidRPr="0065078B">
        <w:rPr>
          <w:szCs w:val="24"/>
        </w:rPr>
        <w:t>EU</w:t>
      </w:r>
      <w:r w:rsidR="003B3525">
        <w:rPr>
          <w:szCs w:val="24"/>
        </w:rPr>
        <w:t>)</w:t>
      </w:r>
      <w:r w:rsidRPr="0065078B">
        <w:rPr>
          <w:szCs w:val="24"/>
        </w:rPr>
        <w:t xml:space="preserve"> 2022/1223 o opětovném použití prostředků, jejichž přidělení na závazky bylo zrušeno, ve výši 600 milionů EUR z 10. a 11. ERF;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2.</w:t>
      </w:r>
      <w:r w:rsidRPr="0065078B">
        <w:rPr>
          <w:szCs w:val="24"/>
        </w:rPr>
        <w:tab/>
        <w:t>vítá rozhodnutí Rady, kterým bylo přiděleno 600 milionů EUR ze zrušených projektů 10. a 11. ERF na financování opatření zaměřených na řešení krize v oblasti potravinového zabezpečení a hospodářského otřesu v zemích AKT v důsledku útočné války Ruska proti Ukrajině; domnívá se, že vzhledem k mimořádně zoufalé situaci v oblasti potravinového zabezpečení v zemích AKT je třeba tyto fondy doplnit vhodnými opatřeními na posílení potravinové soběstačnosti místních komunit;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3.</w:t>
      </w:r>
      <w:r w:rsidRPr="0065078B">
        <w:rPr>
          <w:szCs w:val="24"/>
        </w:rPr>
        <w:tab/>
        <w:t>konstatuje, že v roce 2022 přispělo provádění ERF ke zlepšení v oblasti vody a hygieny, přístupu k elektřině, přístupu k právní pomoci, potravinového zabezpečení a výživy, ochrany životního prostředí, strategií zmírňování změny klimatu a přírodních ekosystémů, zdraví, vzdělávání a podnikání/zaměstnatelnosti;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4.</w:t>
      </w:r>
      <w:r w:rsidRPr="0065078B">
        <w:rPr>
          <w:szCs w:val="24"/>
        </w:rPr>
        <w:tab/>
        <w:t xml:space="preserve">konstatuje, že ERF tvoří 33,2 % portfolia GŘ INTPA, pokud jde o platby v roce 2022, které dosáhly výše 2 452 milionů EUR (tj. 98,08 % ročního cíle); konstatuje, že platby Evropské investiční banky (EIB) činily 461 milionů EUR; konstatuje, že dne 31. prosince 2020 uplynula lhůta ustanovení o skončení platnosti jedenáctého ERF, a proto nebyly v roce 2022 přijaty žádné nové závazky s výjimkou závazků z prostředků pocházejících z opětovného použití rezervy 10. a 11. ERF podle rozhodnutí Rady </w:t>
      </w:r>
      <w:r w:rsidR="003B3525">
        <w:rPr>
          <w:szCs w:val="24"/>
        </w:rPr>
        <w:t xml:space="preserve">(EU) </w:t>
      </w:r>
      <w:r w:rsidRPr="0065078B">
        <w:rPr>
          <w:szCs w:val="24"/>
        </w:rPr>
        <w:t xml:space="preserve">2022/1223 v rámci zvláštních opatření pro reakci Unie na krizi v oblasti potravinového zabezpečení a hospodářského otřesu v afrických, karibských a tichomořských zemích (AKT); konstatuje, že platby EIB v souvislosti s investiční </w:t>
      </w:r>
      <w:proofErr w:type="spellStart"/>
      <w:r w:rsidRPr="0065078B">
        <w:rPr>
          <w:szCs w:val="24"/>
        </w:rPr>
        <w:t>facilitou</w:t>
      </w:r>
      <w:proofErr w:type="spellEnd"/>
      <w:r w:rsidRPr="0065078B">
        <w:rPr>
          <w:szCs w:val="24"/>
        </w:rPr>
        <w:t xml:space="preserve"> pro AKT činily 400 milionů EUR;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5.</w:t>
      </w:r>
      <w:r w:rsidRPr="0065078B">
        <w:rPr>
          <w:szCs w:val="24"/>
        </w:rPr>
        <w:tab/>
        <w:t xml:space="preserve">zdůrazňuje význam přístupu „tým Evropa“ pro účinnost a viditelnost pomoci Unie a vítá iniciativu Komise prohloubit koordinaci s členskými státy a co nejlépe využít jejich stávajících odborných znalostí týkajících se partnerských zemí a zajistit silnější Evropu ve světě; bere na vědomí regionální iniciativy v rámci přístupu „tým Evropa“ na migrační trase přes západní Středomoří, kde jeho řídící skupina zahrnuje zástupce GŘ </w:t>
      </w:r>
      <w:r w:rsidRPr="0065078B">
        <w:rPr>
          <w:szCs w:val="24"/>
        </w:rPr>
        <w:lastRenderedPageBreak/>
        <w:t>NEAR a GŘ INTPA, kteří zajišťují soudržnost opatření a optimální využívání finančních zdrojů;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6.</w:t>
      </w:r>
      <w:r w:rsidRPr="0065078B">
        <w:rPr>
          <w:szCs w:val="24"/>
        </w:rPr>
        <w:tab/>
        <w:t>poukazuje na to, že v rámci 11. ERF bylo ukončeno 60 % smluv a že Komise by měla v roce 2024 dokončit uzavření 9. ERF; bere na vědomí pokrok dosažený při uzavírání 10. ERF, kde je ukončeno již 95,2 % smluv;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7.</w:t>
      </w:r>
      <w:r w:rsidRPr="0065078B">
        <w:rPr>
          <w:szCs w:val="24"/>
        </w:rPr>
        <w:tab/>
        <w:t>vítá úsilí GŘ INTPA o snížení objemu starého předběžného financování na cílovou hodnotu 40 % a starých nevypořádaných závazků na cílovou hodnotu 35 %; konstatuje, že GŘ INTPA tento cíl překročilo snížením starého předběžného financování ERF o 54,31 % a v případě starých nevypořádaných závazků ERF a v celé oblasti své působnosti o 52,51 %; konstatuje, že u nevypořádaných závazků dosáhlo v rámci plnění cíle 35 % pro ERF hodnoty 36,83 %;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8.</w:t>
      </w:r>
      <w:r w:rsidRPr="0065078B">
        <w:rPr>
          <w:szCs w:val="24"/>
        </w:rPr>
        <w:tab/>
        <w:t xml:space="preserve">konstatuje však, že podle zprávy Účetního dvora klíčový ukazatel výkonnosti GŘ INTPA týkající se snížení objemu starého předběžného financování nezohledňuje počet let, během nichž zůstává každá transakce předběžného financování otevřená, a Účetní dvůr se proto domnívá, že v plnění tohoto klíčového ukazatele výkonnosti se neodrážejí obtíže, s nimiž se setkal při zúčtování starších transakcí předběžného financování, z nichž některé byly otevřeny až 12 let; bere na vědomí odpověď Komise, že pokud jde o stárnutí neuzavřených faktur a předběžného financování, které zůstávají nezúčtovány po dobu až 12 let, většina těchto starých plateb předběžného financování souvisí se soudními spory; vyzývá Komisi, aby o těchto soudních sporech i nadále informovala Parlament, jak již činí v návaznosti na doporučení Parlamentu č. 2015/PAR/0463; dále konstatuje, že v zájmu snížení starého předběžného financování a řešení stárnutí faktur již Komise zavedla roční kontroly, přičemž 93 % plateb ERF v roce 2022 bylo provedeno včas, využívá přehled správy portfolia (aktualizovaný v říjnu 2023), který pracovníkům umožňuje sledovat stárnutí předběžného financování a dlouho neuhrazené faktury, a přijímá další opatření, včetně </w:t>
      </w:r>
      <w:r w:rsidRPr="0065078B">
        <w:rPr>
          <w:i/>
          <w:iCs/>
          <w:szCs w:val="24"/>
        </w:rPr>
        <w:t>ad hoc</w:t>
      </w:r>
      <w:r w:rsidRPr="0065078B">
        <w:rPr>
          <w:szCs w:val="24"/>
        </w:rPr>
        <w:t xml:space="preserve"> kampaní, seminářů a pokynů;</w:t>
      </w:r>
    </w:p>
    <w:p w:rsidR="00E44451" w:rsidRPr="0065078B" w:rsidRDefault="00E44451" w:rsidP="0065078B">
      <w:pPr>
        <w:spacing w:after="240"/>
        <w:ind w:left="567" w:hanging="567"/>
        <w:rPr>
          <w:rFonts w:eastAsia="Calibri"/>
          <w:szCs w:val="24"/>
        </w:rPr>
      </w:pPr>
      <w:r w:rsidRPr="0065078B">
        <w:rPr>
          <w:szCs w:val="24"/>
        </w:rPr>
        <w:t>9.</w:t>
      </w:r>
      <w:r w:rsidRPr="0065078B">
        <w:rPr>
          <w:szCs w:val="24"/>
        </w:rPr>
        <w:tab/>
        <w:t>konstatuje, že GŘ INTPA dosáhlo svého cíle nemít v rámci ERF více než 13 % starých smluv po skončení platnosti; konstatuje, že v rámci ERF činil výsledný podíl těchto smluv 10,56 % a v rámci souhrnného rozpočtu Unie 8,39 %;</w:t>
      </w:r>
    </w:p>
    <w:p w:rsidR="00E44451" w:rsidRPr="0065078B" w:rsidRDefault="00E44451" w:rsidP="0065078B">
      <w:pPr>
        <w:spacing w:after="240"/>
        <w:ind w:left="567" w:hanging="567"/>
        <w:rPr>
          <w:rFonts w:eastAsia="Calibri"/>
          <w:szCs w:val="24"/>
        </w:rPr>
      </w:pPr>
      <w:r w:rsidRPr="0065078B">
        <w:rPr>
          <w:szCs w:val="24"/>
        </w:rPr>
        <w:t>10.</w:t>
      </w:r>
      <w:r w:rsidRPr="0065078B">
        <w:rPr>
          <w:szCs w:val="24"/>
        </w:rPr>
        <w:tab/>
        <w:t>poukazuje na to, že objem zbývajících závazků ERF dosahoval v roce 2022 12,6 %, tj. 8 250 milionů EUR;</w:t>
      </w:r>
    </w:p>
    <w:p w:rsidR="00E44451" w:rsidRPr="0065078B" w:rsidRDefault="00E44451" w:rsidP="00EE6BE5">
      <w:pPr>
        <w:pStyle w:val="NormalHanging12a"/>
        <w:keepNext/>
        <w:keepLines/>
        <w:ind w:left="0" w:firstLine="0"/>
        <w:rPr>
          <w:b/>
          <w:i/>
          <w:szCs w:val="24"/>
        </w:rPr>
      </w:pPr>
      <w:r w:rsidRPr="0065078B">
        <w:rPr>
          <w:b/>
          <w:i/>
          <w:szCs w:val="24"/>
        </w:rPr>
        <w:t>Dopad činností ve finančních výkazech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11.</w:t>
      </w:r>
      <w:r w:rsidRPr="0065078B">
        <w:rPr>
          <w:szCs w:val="24"/>
        </w:rPr>
        <w:tab/>
        <w:t>konstatuje, že objem předběžného financování se snížil o 239 milionů EUR, do značné míry proto, že v důsledku menšího počtu podepsaných smluv se snížil počet vyplacených záloh (2 118 milionů EUR v roce 2021 ve srovnání s 853 miliony EUR v roce 2022), a že snížení objemu předběžného financování a dalších plateb vedlo k tomu, že se o 34 milionů EUR zvýšil objem hotovosti a jejích ekvivalentů;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12.</w:t>
      </w:r>
      <w:r w:rsidRPr="0065078B">
        <w:rPr>
          <w:szCs w:val="24"/>
        </w:rPr>
        <w:tab/>
        <w:t>bere na vědomí zvýšení výdajů příštích období o 123 milionů EUR v důsledku toho, že se na konci roku zvýšil počet neukončených smluv, pro které nebyly do konce roku potvrzeny žádné žádosti o úhradu nákladů, a výdaje proto bylo nutné odhadnout;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13.</w:t>
      </w:r>
      <w:r w:rsidRPr="0065078B">
        <w:rPr>
          <w:szCs w:val="24"/>
        </w:rPr>
        <w:tab/>
        <w:t xml:space="preserve">bere na vědomí rovněž celkový pokles provozních nákladů o 74 milionů EUR, zejména v důsledku likvidace </w:t>
      </w:r>
      <w:proofErr w:type="spellStart"/>
      <w:r w:rsidRPr="0065078B">
        <w:rPr>
          <w:szCs w:val="24"/>
        </w:rPr>
        <w:t>svěřenských</w:t>
      </w:r>
      <w:proofErr w:type="spellEnd"/>
      <w:r w:rsidRPr="0065078B">
        <w:rPr>
          <w:szCs w:val="24"/>
        </w:rPr>
        <w:t xml:space="preserve"> fondů, což vedlo ke snížení příspěvků potřebných k </w:t>
      </w:r>
      <w:r w:rsidRPr="0065078B">
        <w:rPr>
          <w:szCs w:val="24"/>
        </w:rPr>
        <w:lastRenderedPageBreak/>
        <w:t>pokrytí jejich výdajů, a že výdaje související s pomocí při mimořádných událostech se zvýšily, protože prostředky z 10. a 11. ERF, jejichž přidělení na závazky bylo zrušeno, byly znovu použity na opatření proti negativním dopadům války na Ukrajině;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14.</w:t>
      </w:r>
      <w:r w:rsidRPr="0065078B">
        <w:rPr>
          <w:szCs w:val="24"/>
        </w:rPr>
        <w:tab/>
        <w:t>zdůrazňuje, že ohledně dopadů vystoupení Spojeného království z Unie dospěl Účetní dvůr k závěru, že neexistují žádné finanční dopady, které by se měly v účetní závěrce ERF za rok 2022 vykazovat, a že účetní závěrka ERF ke dni 31. prosinci 2022 správně odráží stav procesu vystoupení k tomuto datu;</w:t>
      </w:r>
    </w:p>
    <w:p w:rsidR="00E44451" w:rsidRPr="0065078B" w:rsidRDefault="00E44451" w:rsidP="00EE6BE5">
      <w:pPr>
        <w:pStyle w:val="NormalHanging12a"/>
        <w:keepNext/>
        <w:keepLines/>
        <w:ind w:left="0" w:firstLine="0"/>
        <w:rPr>
          <w:b/>
          <w:i/>
          <w:szCs w:val="24"/>
        </w:rPr>
      </w:pPr>
      <w:r w:rsidRPr="0065078B">
        <w:rPr>
          <w:b/>
          <w:i/>
          <w:szCs w:val="24"/>
        </w:rPr>
        <w:t>Spolehlivost účetní závěrky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15.</w:t>
      </w:r>
      <w:r w:rsidRPr="0065078B">
        <w:rPr>
          <w:szCs w:val="24"/>
        </w:rPr>
        <w:tab/>
        <w:t>konstatuje, že rozpočet 9. ERF (2000–2007) činil pouze 13,8 miliardy EUR, rozpočet 10. ERF (2008–2013) 22,7 miliardy EUR, tedy téměř dvojnásobek, a rozpočet 11. ERF vzrostl na vysokou částku 30,5 miliardy EUR, z čehož 29,1 miliardy EUR bylo vyčleněno pro země AKT, 0,4 miliardy EUR na ZZÚ a 1 miliarda EUR na správní náklady;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16.</w:t>
      </w:r>
      <w:r w:rsidRPr="0065078B">
        <w:rPr>
          <w:szCs w:val="24"/>
        </w:rPr>
        <w:tab/>
        <w:t>bere na vědomí oznámení Komise z října 2021 o uzavření 8. ERF; poukazuje na to, že v roční účetní závěrce ERF za rozpočtový rok 2022 Komise uvedla, že všechny činnosti 8. ERF byly dokončeny a že všechny smlouvy a finanční rozhodnutí byly v účetní závěrce ERF uzavřeny a zbývající otevřené inkasní příkazy byly převedeny do 9. ERF; poukazuje nicméně na to, že v účetní závěrce stále figurovaly finanční informace o 8. ERF a že některé zůstatky 8. ERF byly v roce 2022 stále ještě otevřené; konstatuje, že k provoznímu uzavření 8. ERF došlo podle plánu v roce 2021 a že účetní uzávěrka 8. ERF dosud nebyla uzavřena v plném rozsahu kvůli probíhajícím inkasním příkazům;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17.</w:t>
      </w:r>
      <w:r w:rsidRPr="0065078B">
        <w:rPr>
          <w:szCs w:val="24"/>
        </w:rPr>
        <w:tab/>
        <w:t>konstatuje, že Účetní dvůr ve své výroční zprávě o činnostech financovaných z devátého, desátého a jedenáctého ERF na rozpočtový rok 2022 dospěl k závěru, že roční účetní závěrka za rozpočtový rok, který skončil dne 31. prosince 2022, „ve všech významných ohledech věrně“ zobrazuje finanční situaci ERF a že výsledky jejich operací, peněžních toků a změn v čistých aktivech za daný rok jsou v souladu s ustanoveními nařízení Rady (EU) 2018/1877</w:t>
      </w:r>
      <w:r w:rsidRPr="0065078B">
        <w:rPr>
          <w:rStyle w:val="FootnoteReference"/>
          <w:szCs w:val="24"/>
        </w:rPr>
        <w:footnoteReference w:id="29"/>
      </w:r>
      <w:r w:rsidRPr="0065078B">
        <w:rPr>
          <w:szCs w:val="24"/>
        </w:rPr>
        <w:t xml:space="preserve"> (dále jen „finanční nařízení pro ERF“) a s účetními standardy pro veřejný sektor;</w:t>
      </w:r>
    </w:p>
    <w:p w:rsidR="00E44451" w:rsidRPr="0065078B" w:rsidRDefault="00E44451" w:rsidP="00EE6BE5">
      <w:pPr>
        <w:pStyle w:val="NormalHanging12a"/>
        <w:keepNext/>
        <w:keepLines/>
        <w:ind w:left="0" w:firstLine="0"/>
        <w:rPr>
          <w:b/>
          <w:i/>
          <w:szCs w:val="24"/>
        </w:rPr>
      </w:pPr>
      <w:r w:rsidRPr="0065078B">
        <w:rPr>
          <w:b/>
          <w:i/>
          <w:szCs w:val="24"/>
        </w:rPr>
        <w:t>Legalita a správnost operací, na nichž se zakládá účetní závěrka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18.</w:t>
      </w:r>
      <w:r w:rsidRPr="0065078B">
        <w:rPr>
          <w:szCs w:val="24"/>
        </w:rPr>
        <w:tab/>
        <w:t>bere na vědomí výrok Účetního dvora, podle něhož jsou příjmy, na nichž se zakládá účetní závěrka za rozpočtový rok, který skončil dne 31. prosince 2022, ve všech významných ohledech legální a správné;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19.</w:t>
      </w:r>
      <w:r w:rsidRPr="0065078B">
        <w:rPr>
          <w:szCs w:val="24"/>
        </w:rPr>
        <w:tab/>
        <w:t xml:space="preserve">konstatuje, že provádění ERF se týká zemí, které čelí zhoršujícím se dopadům změny klimatu, úbytku biologické rozmanitosti a nedostatku potravin a jež jsou oslabeny v důsledku pandemie COVID-19, neodůvodněné a nevyprovokované válečné agrese Ruska proti Ukrajině a rostoucího zadlužení, nových a zapomenutých humanitárních krizí a konfliktů, což vytváří čím dál větší nerovnosti a chudobu; trvá proto na tom, že zbývající projekty v rámci ERF by se měly zaměřit na pokrok při provádění cílů udržitelného rozvoje; opakuje, že bezpečnost, vzájemně prospěšná partnerství a </w:t>
      </w:r>
      <w:r w:rsidRPr="0065078B">
        <w:rPr>
          <w:szCs w:val="24"/>
        </w:rPr>
        <w:lastRenderedPageBreak/>
        <w:t>mezinárodní spolupráce jsou základními podmínkami pro to, aby svět dosáhl pokroku v plnění cílů udržitelného rozvoje do roku 2030 a dále;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20.</w:t>
      </w:r>
      <w:r w:rsidRPr="0065078B">
        <w:rPr>
          <w:szCs w:val="24"/>
        </w:rPr>
        <w:tab/>
        <w:t>opět vyjadřuje své znepokojení nad mnoha možnými příčinami toho, že Účetní dvůr již poněkolikáté vydal záporný výrok o legalitě a správnosti výdajů v důsledku skutečnosti, že výdaje schválené v účetní závěrce za rozpočtový rok, který skončil dne 31. prosince 2022, jsou zatíženy významnou mírou chyb; zároveň konstatuje, že kontext, v němž probíhá provádění ERF, je riskantní a složitý, rychle se vyvíjí a vykazuje pozoruhodnou rozmanitost, pokud jde o zeměpisné rozptýlení, prováděcí subjekty a partnerské země a metody poskytování pomoci;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21.</w:t>
      </w:r>
      <w:r w:rsidRPr="0065078B">
        <w:rPr>
          <w:szCs w:val="24"/>
        </w:rPr>
        <w:tab/>
        <w:t xml:space="preserve">konstatuje, že Účetní dvůr, aby zkontroloval správnost operací, prověřil vzorek 140 operací, které byly reprezentativní pro celé rozpětí výdajů z ERF; dále konstatuje, že vzorek se skládal z 27 operací souvisejících s nouzovým </w:t>
      </w:r>
      <w:proofErr w:type="spellStart"/>
      <w:r w:rsidRPr="0065078B">
        <w:rPr>
          <w:szCs w:val="24"/>
        </w:rPr>
        <w:t>svěřenským</w:t>
      </w:r>
      <w:proofErr w:type="spellEnd"/>
      <w:r w:rsidRPr="0065078B">
        <w:rPr>
          <w:szCs w:val="24"/>
        </w:rPr>
        <w:t xml:space="preserve"> fondem pro Afriku, 98 operací schválených 20 delegacemi EU</w:t>
      </w:r>
      <w:r w:rsidRPr="0065078B">
        <w:rPr>
          <w:rStyle w:val="FootnoteReference"/>
          <w:szCs w:val="24"/>
        </w:rPr>
        <w:footnoteReference w:id="30"/>
      </w:r>
      <w:r w:rsidRPr="0065078B">
        <w:rPr>
          <w:szCs w:val="24"/>
        </w:rPr>
        <w:t xml:space="preserve"> a 15 plateb schválených ústředím Komise;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22.</w:t>
      </w:r>
      <w:r w:rsidRPr="0065078B">
        <w:rPr>
          <w:szCs w:val="24"/>
        </w:rPr>
        <w:tab/>
        <w:t>se znepokojením konstatuje, že ze 140 zkoumaných operací 57 (40,7 %) obsahovalo chyby, oproti 54 (38,8 %) v roce 2021 u téhož počtu operací; navíc zdůrazňuje, že Účetní dvůr vyčíslil 48 chyb (43 v roce 2021), na jejichž základě odhadl v rozpočtovém roce 2022 míru chyb na úrovni 7,1 % (4,6 % v roce 2021);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23.</w:t>
      </w:r>
      <w:r w:rsidRPr="0065078B">
        <w:rPr>
          <w:szCs w:val="24"/>
        </w:rPr>
        <w:tab/>
        <w:t>se znepokojením konstatuje, že podle typologie chyb činila odhadovaná míra chyb v rozpočtovém roce 2022 v souvislosti s neuskutečněnými výdaji 51 % (14,9 % v roce 2021), v souvislosti s nezpůsobilými výdaji 24 % (38,6 % v roce 2021), v souvislosti se závažným nedodržením pravidel pro zadávání veřejných zakázek 16 % (14,6 % v roce 2021), v souvislosti s absencí nezbytných podkladů 7 % (23,3 % v roce 2021) a v souvislosti s jinými druhy chyb 2 % (8,6 % v roce 2021); bere na vědomí odpověď Komise, že většina chyb, kterým by bylo možné se vyhnout, souvisí s nadměrným zúčtováním (výdaje, které nevznikly), což je způsobeno nedostatečným finančním výkaznictvím ze strany prováděcích partnerů v rámci nepřímého řízení a nemá vliv na provádění projektů;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24.</w:t>
      </w:r>
      <w:r w:rsidRPr="0065078B">
        <w:rPr>
          <w:szCs w:val="24"/>
        </w:rPr>
        <w:tab/>
        <w:t>bere na vědomí odpověď Komise, že v roce 2022 bylo přibližně 50 % celkových chyb způsobeno nadměrným zúčtováním, což je praxe, kdy jsou do účetní závěrky zahrnuty výdaje, které nevznikly, jako vzniklé výdaje, a jsou tedy dočasné, neboť po konečném zúčtování již nebudou existovat; dále bere na vědomí opatření, která Komise přijala s cílem usnadnit identifikaci vzniklých výdajů, a vyzývá Komisi, aby informovala orgán příslušný k udělení absolutoria o účincích těchto opatření;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25.</w:t>
      </w:r>
      <w:r w:rsidRPr="0065078B">
        <w:rPr>
          <w:szCs w:val="24"/>
        </w:rPr>
        <w:tab/>
        <w:t xml:space="preserve">konstatuje, že kontroly </w:t>
      </w:r>
      <w:r w:rsidRPr="0065078B">
        <w:rPr>
          <w:i/>
          <w:iCs/>
          <w:szCs w:val="24"/>
        </w:rPr>
        <w:t>ex ante</w:t>
      </w:r>
      <w:r w:rsidRPr="0065078B">
        <w:rPr>
          <w:szCs w:val="24"/>
        </w:rPr>
        <w:t xml:space="preserve"> prováděné GŘ INTPA v roce 2022 zabránily vyplacení nezpůsobilých výdajů v celkové výši 167,94 milionu EUR, což představuje 2,91 % celkové fakturované částky, přesahuje referenční hodnotu stanovenou GŘ INTPA pro tento ukazatel (2 %) a je vyšší než výsledek za rok 2021 (2,62 %); vybízí Komisi, aby dále zlepšovala kontrolní systémy;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26.</w:t>
      </w:r>
      <w:r w:rsidRPr="0065078B">
        <w:rPr>
          <w:b/>
          <w:i/>
          <w:color w:val="FF0000"/>
          <w:szCs w:val="24"/>
        </w:rPr>
        <w:tab/>
      </w:r>
      <w:r w:rsidRPr="0065078B">
        <w:rPr>
          <w:szCs w:val="24"/>
        </w:rPr>
        <w:t xml:space="preserve">je znepokojen tím, že v Beninu přidělila vnitrostátní schvalující osoba odpovědná za </w:t>
      </w:r>
      <w:r w:rsidRPr="0065078B">
        <w:rPr>
          <w:szCs w:val="24"/>
        </w:rPr>
        <w:lastRenderedPageBreak/>
        <w:t>ERF zakázku, jejímž účelem bylo posílit zapojení občanské společnosti v zemi, poradenské společnosti, čímž závažným způsobem porušila pravidla pro zadávání veřejných zakázek; se znepokojením konstatuje, že podle Komise uplatnila hodnotící komise svou „diskreční pravomoc“ k použití metody výpočtu, která nebyla v rámci tohoto řízení dostatečně zdokumentována; bere na vědomí opatření, která Komise přijala s cílem řešit nedostatky zjištěné v této delegaci a zabránit podobným problémům v jiných delegacích; konstatuje, že míra chyb v delegaci EU v Beninu představovala přibližně 30 % celkové chyby, a že pokud by nebyla zahrnuta, celková chyba by činila přibližně 4,7 % namísto 7,1 %; připomíná zásadní význam transparentnosti a odpovědnosti pro nevládní organizace, které mají jednat v plném souladu s finančními pravidly a hodnotami Unie, zejména při správě finančních prostředků Unie, a zdůrazňuje, že by měly být podporovány kontrolní a monitorovací systémy nevládních organizací, zejména těch, které působí ve třetích zemích; připomíná, že nevládní organizace podléhají stejné úrovni kontroly a vyšetřování jako jakýkoli jiný příjemce finančních prostředků Unie;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27.</w:t>
      </w:r>
      <w:r w:rsidRPr="0065078B">
        <w:rPr>
          <w:szCs w:val="24"/>
        </w:rPr>
        <w:tab/>
        <w:t>se znepokojením konstatuje, že odhadovaná míra chyb systematicky překračuje prahovou hodnotu významnosti (2 %); se znepokojením konstatuje, že ve srovnání s rozpočtovým rokem 2021 činí nárůst odhadované míry chyb 2,5 %, zatímco mezi rozpočtovými roky 2020 a 2021 činil tento nárůst 0,8 %;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28.</w:t>
      </w:r>
      <w:r w:rsidRPr="0065078B">
        <w:rPr>
          <w:szCs w:val="24"/>
        </w:rPr>
        <w:tab/>
        <w:t>konstatuje, že v roce 2022 vydala Komise 333 inkasních příkazů na 293 smluv v celkové výši 62,92 milionu EUR;</w:t>
      </w:r>
    </w:p>
    <w:p w:rsidR="00E44451" w:rsidRPr="0065078B" w:rsidRDefault="00E44451" w:rsidP="00EE6BE5">
      <w:pPr>
        <w:pStyle w:val="NormalHanging12a"/>
        <w:keepNext/>
        <w:keepLines/>
        <w:ind w:left="0" w:firstLine="0"/>
        <w:rPr>
          <w:b/>
          <w:i/>
          <w:szCs w:val="24"/>
        </w:rPr>
      </w:pPr>
      <w:r w:rsidRPr="0065078B">
        <w:rPr>
          <w:b/>
          <w:i/>
          <w:szCs w:val="24"/>
        </w:rPr>
        <w:t>Transparentnost a účinnost systémů monitorování a věrohodnosti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29.</w:t>
      </w:r>
      <w:r w:rsidRPr="0065078B">
        <w:rPr>
          <w:szCs w:val="24"/>
        </w:rPr>
        <w:tab/>
        <w:t>bere na vědomí připomínku Účetního dvora, že Komise a její prováděcí partneři se dopustili více chyb v operacích týkajících se programových odhadů a grantů a dohod o přiznání příspěvku uzavřených s přijímajícími zeměmi, mezinárodními organizacemi a agenturami členských států než u jiných forem podpory (například u dohod na stavební práce, dodávky a služby); navíc poznamenává, že z 99 operací tohoto typu kontrolovaných Účetním dvorem bylo 46 zatíženo vyčíslitelnými chybami, které představovaly 86 % odhadované míry chyb; bere na vědomí, že GŘ INTPA v současné době přezkoumává svou kontrolní strategii, včetně požadavků na podávání zpráv, a zkoumá možná nápravná opatření; žádá Komisi, aby orgán příslušný k udělení absolutoria informovala o své revidované kontrolní strategii;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30.</w:t>
      </w:r>
      <w:r w:rsidRPr="0065078B">
        <w:rPr>
          <w:szCs w:val="24"/>
        </w:rPr>
        <w:tab/>
        <w:t>konstatuje, že podle zprávy Účetního dvora měla Komise ve 23 případech vyčíslitelných chyb a v pěti případech nevyčíslitelných chyb dostatek informací k tomu, aby těmto chybám předešla nebo aby je odhalila a před schválením výdajů napravila; s odvoláním na posouzení Účetního dvora rovněž konstatuje, že kdyby Komise řádně využila všechny informace, které měla k dispozici, byla by odhadovaná míra chyb o 5,5 procentního bodu nižší, přičemž v roce 2021 byla nižší o 2,4 procentního bodu; bere na vědomí odpověď Komise, že většina chyb, kterým by bylo možné se vyhnout, je způsobena nedostatečným finančním výkaznictvím ze strany prováděcích partnerů v rámci nepřímého řízení; bere na vědomí závazek Komise přezkoumat svou kontrolní strategii, včetně požadavků na podávání zpráv, a vyzývá Komisi, aby podala zprávu o přijatých nápravných opatřeních;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31.</w:t>
      </w:r>
      <w:r w:rsidRPr="0065078B">
        <w:rPr>
          <w:szCs w:val="24"/>
        </w:rPr>
        <w:tab/>
        <w:t xml:space="preserve">na základě zprávy Účetního dvora konstatuje, že 22 operací obsahujících vyčíslitelné chyby, které k odhadované míře chyb přispěly 2,3 procentního bodu, bylo předmětem </w:t>
      </w:r>
      <w:r w:rsidRPr="0065078B">
        <w:rPr>
          <w:szCs w:val="24"/>
        </w:rPr>
        <w:lastRenderedPageBreak/>
        <w:t xml:space="preserve">auditu nebo ověření výdajů; kromě toho konstatuje, že kontrolní systém GŘ INTPA je založen na kontrolách </w:t>
      </w:r>
      <w:r w:rsidRPr="0065078B">
        <w:rPr>
          <w:i/>
          <w:iCs/>
          <w:szCs w:val="24"/>
        </w:rPr>
        <w:t>ex ante</w:t>
      </w:r>
      <w:r w:rsidRPr="0065078B">
        <w:rPr>
          <w:szCs w:val="24"/>
        </w:rPr>
        <w:t xml:space="preserve"> a že informace uvedené v auditních zprávách či zprávách o ověření popisující činnost, která byla skutečně provedena, neumožnily Účetnímu dvoru posoudit, zda bylo během těchto kontrol </w:t>
      </w:r>
      <w:r w:rsidRPr="0065078B">
        <w:rPr>
          <w:i/>
          <w:iCs/>
          <w:szCs w:val="24"/>
        </w:rPr>
        <w:t>ex ante</w:t>
      </w:r>
      <w:r w:rsidRPr="0065078B">
        <w:rPr>
          <w:szCs w:val="24"/>
        </w:rPr>
        <w:t xml:space="preserve"> možné chyby zjistit a opravit, neboť zprávy nepokrývaly 100 % vykázaných výdajů ani nebyly dostatečně podrobné, aby bylo možné potvrdit, zda byly položky, u kterých Účetní dvůr odhalil chyby, součástí kontrol </w:t>
      </w:r>
      <w:r w:rsidRPr="0065078B">
        <w:rPr>
          <w:i/>
          <w:iCs/>
          <w:szCs w:val="24"/>
        </w:rPr>
        <w:t>ex ante</w:t>
      </w:r>
      <w:r w:rsidRPr="0065078B">
        <w:rPr>
          <w:szCs w:val="24"/>
        </w:rPr>
        <w:t>; v této souvislosti konstatuje, že Komise pravidelně aktualizuje podmínky pro ověřování výdajů s cílem zlepšit úplnost a jasnost podávání zpráv; vyzývá Komisi, aby orgán příslušný k udělení absolutoria informovala o dosažených zlepšeních;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32.</w:t>
      </w:r>
      <w:r w:rsidRPr="0065078B">
        <w:rPr>
          <w:szCs w:val="24"/>
        </w:rPr>
        <w:tab/>
        <w:t>zdůrazňuje, že Účetní dvůr zjistil, že ve dvou výdajových oblastech jsou operace díky zvláštním platebním podmínkám méně náchylné k chybám: a) rozpočtová podpora a b) projekty financované více dárci a realizované mezinárodními organizacemi, u nichž se uplatňuje „nominální přístup“; bere na vědomí, že v roce 2022 Účetní dvůr kontroloval dvě operace rozpočtové podpory a osm projektů s „nominálním přístupem“ řízených mezinárodními organizacemi;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33.</w:t>
      </w:r>
      <w:r w:rsidRPr="0065078B">
        <w:rPr>
          <w:szCs w:val="24"/>
        </w:rPr>
        <w:tab/>
        <w:t>zdůrazňuje, že důležitou úlohu hrají místní prováděcí partneři a že je třeba jim zajistit podporu a budování kapacit; konstatuje, že s postupným ukončováním projektů ERF by mělo být zachováno místní know-how týkající se nakládání s finančními prostředky Unie s cílem využít je pro projekty v rámci Nástroje pro sousedství a rozvojovou a mezinárodní spolupráci (NDICI) – Globální Evropa; zdůrazňuje, že projekty Unie by měly být předmětem hodnocení, monitorování a podávání zpráv, aby se zjistila jejich účinnost a zamezilo se nezamýšleným negativním dopadům;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34.</w:t>
      </w:r>
      <w:r w:rsidRPr="0065078B">
        <w:rPr>
          <w:szCs w:val="24"/>
        </w:rPr>
        <w:tab/>
        <w:t>je znepokojen tím, že stejně jako v předchozích letech některé mezinárodní organizace umožnily pouze omezený přístup k dokumentům (např. ve formátu pouze pro čtení), což bránilo plánování, provádění a kontrole kvality auditu Účetního dvora a vedlo ke zpoždění; konstatuje, že otázky týkající se kontroly byly při několika příležitostech projednány se subjekty OSN a se Světovou bankou, mimo jiné v rámci společných schůzí technické referenční skupiny a pracovní skupiny FAFA EU-OSN, a že byly zřízeny společné technické skupiny, které budou otázky týkající se auditu a kontroly pravidelně projednávat; dále konstatuje, že Komise spolupracuje s příslušnými mezinárodními organizacemi a zintenzivnila s nimi komunikaci o přístupu Účetního dvora k dokumentům; vybízí Komisi, aby toto úsilí zvýšila;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35.</w:t>
      </w:r>
      <w:r w:rsidRPr="0065078B">
        <w:rPr>
          <w:szCs w:val="24"/>
        </w:rPr>
        <w:tab/>
        <w:t xml:space="preserve">bere na vědomí, že podle odhadu uvedeného v jedenácté studii GŘ INTPA týkající se zbytkové chybovosti, jejíž provedení v roce 2022 zadalo generální ředitelství externímu dodavateli, je celková zbytková chybovost již sedmým rokem po sobě pod </w:t>
      </w:r>
      <w:proofErr w:type="gramStart"/>
      <w:r w:rsidRPr="0065078B">
        <w:rPr>
          <w:szCs w:val="24"/>
        </w:rPr>
        <w:t>2%</w:t>
      </w:r>
      <w:proofErr w:type="gramEnd"/>
      <w:r w:rsidRPr="0065078B">
        <w:rPr>
          <w:szCs w:val="24"/>
        </w:rPr>
        <w:t xml:space="preserve"> prahem významnosti stanoveným Komisí: 1,15 % (1,14 % v roce 2021);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36.</w:t>
      </w:r>
      <w:r w:rsidRPr="0065078B">
        <w:rPr>
          <w:szCs w:val="24"/>
        </w:rPr>
        <w:tab/>
        <w:t xml:space="preserve">zdůrazňuje, že podle posouzení Účetního dvora není studie zbytkové chybovosti ověřovací zakázkou ani auditem a je založena na metodice a příručce pro výpočet zbytkové chybovosti, které poskytlo GŘ INTPA; konstatuje, že GŘ INTPA objasnilo, že studie zbytkové chybovosti má být klíčovým ukazatelem odhadovaného finančního dopadu zbytkových chyb, tj. měří řádné fungování systému vnitřní kontroly, a prokazuje tak nápravnou kapacitu Komise; zdůrazňuje, že stejně jako v předchozích letech zjistil Účetní dvůr ve studii určitá omezení; konstatuje, že Účetní dvůr na základě svého přezkumu metody výpočtu použité ve studii zbytkové chybovosti z roku 2022 dospěl k závěru, že zbytková chybovost byla podhodnocena, a že podle výpočtu </w:t>
      </w:r>
      <w:r w:rsidRPr="0065078B">
        <w:rPr>
          <w:szCs w:val="24"/>
        </w:rPr>
        <w:lastRenderedPageBreak/>
        <w:t>Účetního dvora činila zbytková chybovost 1,35 %; stejně jako v předchozích letech bere na vědomí rovněž stanovisko Účetního dvora, že metodika pro stanovení zbytkové chybovosti umožňuje dodavateli, aby se plně spoléhal na výsledky kontrol řízení, které provádí GŘ INTPA, a že spoléhat se na práci jiných auditorů je v rozporu s účelem studie zbytkové chybovosti;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37.</w:t>
      </w:r>
      <w:r w:rsidRPr="0065078B">
        <w:rPr>
          <w:szCs w:val="24"/>
        </w:rPr>
        <w:tab/>
        <w:t>konstatuje, že GŘ INTPA od roku 2018 významně snížilo rozsah výhrad (tj. podíl výdajů, na něž se výhrady vztahují) ve výročních zprávách o činnosti a že ani výroční zpráva o činnosti za rok 2022 neobsahuje žádné výhrady; konstatuje, že Účetní dvůr považuje neuvedení výhrad ve výroční zprávě o činnosti za rok 2022 za neopodstatněné, a domnívá se, že je zčásti důsledkem omezení studie zbytkové chybovosti;</w:t>
      </w:r>
      <w:r w:rsidR="00D122E1">
        <w:rPr>
          <w:szCs w:val="24"/>
        </w:rPr>
        <w:t xml:space="preserve"> </w:t>
      </w:r>
      <w:r w:rsidRPr="0065078B">
        <w:rPr>
          <w:szCs w:val="24"/>
        </w:rPr>
        <w:t>bere na vědomí odpověď Komise, že absence výhrad je odůvodněna správným uplatňováním metodiky a pokynů pro zbytkovou chybovost ze strany jejích ústředních útvarů;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38.</w:t>
      </w:r>
      <w:r w:rsidRPr="0065078B">
        <w:rPr>
          <w:szCs w:val="24"/>
        </w:rPr>
        <w:tab/>
        <w:t>konstatuje, že GŘ INTPA odhaduje celkovou rizikovou částku při platbě na 83,3 milionu EUR (1,4 % výdajů v roce 2022) a celkovou rizikovou částku při uzávěrce na 71,7 milionu EUR; dále konstatuje, že podle odhadu GŘ INTPA bude z rizikové částky při platbě v příštích letech kontrolami opraveno 11,6 milionu EUR (19 %) (tato částka se označuje jako „nápravná kapacita“);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39.</w:t>
      </w:r>
      <w:r w:rsidRPr="0065078B">
        <w:rPr>
          <w:szCs w:val="24"/>
        </w:rPr>
        <w:tab/>
        <w:t>konstatuje, že akční plán GŘ INTPA na rok 2022, který má řešit zjištěné nedostatky v kontrolách a vysoká rizika, zahrnuje zlepšení opatření přijatých v návaznosti na zjištění Účetního dvora a zjištění v oblasti zbytkové chybovosti a že v září 2022 byly přijaty nové verze příručky a metodiky pro stanovení zbytkové chybovosti s cílem řešit problémy, na které ve svých dřívějších připomínkách upozornil Účetní dvůr; bere na vědomí odpověď Komise, že pozměněná pravidla zabraňují nadměrnému spoléhání na předchozí kontrolní činnost, neboť nyní je nutné sledovat případy spoléhání na předchozí kontrolní činnost s ohledem na historické průměry; dále konstatuje, že Komise plně provedla doporučení Účetního dvora uvedené ve výroční zprávě za rok 2020, aby měl dodavatel studie zbytkové chybovosti povinnost informovat Komisi o veškerých podezřeních z podvodu proti rozpočtu Unie během její činnosti; vyjadřuje však politování nad tím, že Komise nepřijala doporučení obsažené ve výroční zprávě Účetního dvora za rok 2022, že má zlepšit metodiku pro stanovení zbytkové chybovosti a ověřovat její řádné uplatňování, a to s odůvodněním, že nepovažuje za nutné měnit metodiku uplatňovanou ve studii zbytkové chybovosti pro extrapolaci položek vysoké hodnoty;</w:t>
      </w:r>
    </w:p>
    <w:p w:rsidR="00E44451" w:rsidRPr="0065078B" w:rsidRDefault="00E44451" w:rsidP="00EE6BE5">
      <w:pPr>
        <w:pStyle w:val="NormalHanging12a"/>
        <w:keepNext/>
        <w:keepLines/>
        <w:ind w:left="0" w:firstLine="0"/>
        <w:rPr>
          <w:b/>
          <w:i/>
          <w:szCs w:val="24"/>
        </w:rPr>
      </w:pPr>
      <w:r w:rsidRPr="0065078B">
        <w:rPr>
          <w:b/>
          <w:i/>
          <w:szCs w:val="24"/>
        </w:rPr>
        <w:t>Prevence podvodů, jejich odhalování a náprava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40.</w:t>
      </w:r>
      <w:r w:rsidRPr="0065078B">
        <w:rPr>
          <w:szCs w:val="24"/>
        </w:rPr>
        <w:tab/>
        <w:t>bere na vědomí, že GŘ INTPA vypracovalo a od roku 2014 provádí strategii pro boj proti podvodům založenou na metodice poskytnuté Evropským úřadem pro boj proti podvodům (OLAF) a že od jejího vstupu v platnost byla tato strategie třikrát aktualizována; konstatuje, že GŘ INTPA se rozhodlo odložit posouzení své strategie boje proti podvodům v polovině období (původně plánované na rok 2022) z důvodu několika probíhajících auditů a aktualizací probíhajících pod vedením Útvaru interního auditu (ISA), Evropského účetního dvora (EÚD) a Evropský úřad pro boj proti podvodům (OLAF); konstatuje rovněž, že GŘ INTPA provedlo 90 % příslušného akčního plánu a že všechna opatření byla uskutečněna v ohlášených lhůtách, kromě jednoho, v jehož rámci zkoumalo GŘ spolu s úřadem OLAF možnost šíření anonymizovaných příkladů podvodů v rámci vnitřní sítě Komise, které bylo provedeno v roce 2023;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lastRenderedPageBreak/>
        <w:t>41.</w:t>
      </w:r>
      <w:r w:rsidRPr="0065078B">
        <w:rPr>
          <w:szCs w:val="24"/>
        </w:rPr>
        <w:tab/>
        <w:t>konstatuje, že GŘ INTPA rovněž přispělo ke strategii Komise v oblasti boje proti podvodům a přijalo opatření v návaznosti na finanční doporučení úřadu OLAF vydaná v letech 2018–2022, což vedlo k tomu, že bylo uzavřeno pouze 24 % finančních doporučení, přičemž 76 % finančních doporučení bylo realizováno formou návazných opatření; vítá výsledky dosažené během roku 2022, jako je vstup v platnost nových interních pokynů pro nakládání s informacemi o podvodech, posílený systém jmenování v rámci sítě GŘ INTPA pro boj proti podvodům, zahájení externích osvětových akcí zaměřených na prováděcí partnery a příjemce GŘ INTPA, pokračující aktualizace všech interních internetových stránek, příruček a databází a výroční sdělení všem zaměstnancům o profesních etických normách, prevenci a odhalování podvodů a pravidlech pro zveřejňování informací;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42.</w:t>
      </w:r>
      <w:r w:rsidRPr="0065078B">
        <w:rPr>
          <w:szCs w:val="24"/>
        </w:rPr>
        <w:tab/>
        <w:t>konstatuje, že na konci roku 2022 bylo GŘ INTPA informováno o 24 probíhajících vyšetřováních a úřad OLAF je informoval o uzavření šesti vyšetřování, na jejichž základě vydal finanční nebo správní doporučení, o uzavření sedmi vyšetřování bez doporučení a o postoupení dvou případů Úřadu evropského veřejného žalobce; konstatuje, že GŘ INTPA systematicky předávalo úřadu OLAF všechny případy podezření na podvod nebo nesrovnalost a pozorně se řídilo všemi jeho finančními doporučeními;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43.</w:t>
      </w:r>
      <w:r w:rsidRPr="0065078B">
        <w:rPr>
          <w:szCs w:val="24"/>
        </w:rPr>
        <w:tab/>
        <w:t xml:space="preserve">konstatuje, že prvním prioritním cílem strategie GŘ INTPA v oblasti boje proti podvodům na období 2021–2024 je zvýšit vnitřní a vnější povědomí o otázkách souvisejících s podvody, a to i nabízením možností školení; vyjadřuje však politování nad tím, že při své pracovní cestě, během níž Účetní dvůr navštívil čtyři delegace, zjistil nedostatečnou </w:t>
      </w:r>
      <w:proofErr w:type="spellStart"/>
      <w:r w:rsidRPr="0065078B">
        <w:rPr>
          <w:szCs w:val="24"/>
        </w:rPr>
        <w:t>proškolenost</w:t>
      </w:r>
      <w:proofErr w:type="spellEnd"/>
      <w:r w:rsidRPr="0065078B">
        <w:rPr>
          <w:szCs w:val="24"/>
        </w:rPr>
        <w:t xml:space="preserve"> v oblasti předcházení podvodům (zaměstnanci v posledních pěti letech neprošli školením v oblasti předcházení podvodům);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44.</w:t>
      </w:r>
      <w:r w:rsidRPr="0065078B">
        <w:rPr>
          <w:szCs w:val="24"/>
        </w:rPr>
        <w:tab/>
        <w:t>vítá skutečnost, že GŘ INTPA optimalizovalo využívání systému včasného odhalování rizik a vylučování hospodářských subjektů jako nástroje pro stíhání podvodů a posílilo opatření proti podvodům v oblasti rozpočtové podpory;</w:t>
      </w:r>
    </w:p>
    <w:p w:rsidR="00E44451" w:rsidRPr="0065078B" w:rsidRDefault="00E44451" w:rsidP="00EE6BE5">
      <w:pPr>
        <w:pStyle w:val="NormalHanging12a"/>
        <w:keepNext/>
        <w:keepLines/>
        <w:ind w:left="0" w:firstLine="0"/>
        <w:rPr>
          <w:b/>
          <w:i/>
          <w:szCs w:val="24"/>
        </w:rPr>
      </w:pPr>
      <w:r w:rsidRPr="0065078B">
        <w:rPr>
          <w:b/>
          <w:i/>
          <w:szCs w:val="24"/>
        </w:rPr>
        <w:t>Rozpočtová podpora Unie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45.</w:t>
      </w:r>
      <w:r w:rsidRPr="0065078B">
        <w:rPr>
          <w:szCs w:val="24"/>
        </w:rPr>
        <w:tab/>
        <w:t>konstatuje, že v roce 2022 činily prostředky rozpočtové podpory vyplacené v rámci ERF 105,2 milionu EUR;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46.</w:t>
      </w:r>
      <w:r w:rsidRPr="0065078B">
        <w:rPr>
          <w:szCs w:val="24"/>
        </w:rPr>
        <w:tab/>
        <w:t>pro porovnání konstatuje, že třetím největším portfoliem rozpočtové podpory byla v roce 2022 Ukrajina, kde hodnota probíhajících operací dosáhla téměř 800 milionů EUR;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47.</w:t>
      </w:r>
      <w:r w:rsidRPr="0065078B">
        <w:rPr>
          <w:szCs w:val="24"/>
        </w:rPr>
        <w:tab/>
        <w:t>poukazuje na to, že v posledních třech letech bylo v rámci rozpočtové podpory EU vyplaceno celkem 6 miliard EUR – 3 miliardy EUR v roce 2020, 1,2 miliardy EUR v roce 2021 a 1,8 miliardy EUR v roce 2022; konstatuje rovněž, že rozpočtová podpora představovala 15 % plateb Evropské komise v rámci Nástroje pro sousedství a rozvojovou a mezinárodní spolupráci – Globální Evropa (NDICI – Globální Evropa), nástroje předvstupní pomoci (NPP III), rozhodnutí o přidružení zámoří včetně Grónska (DOAG) nebo v rámci předchozích nástrojů;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48.</w:t>
      </w:r>
      <w:r w:rsidRPr="0065078B">
        <w:rPr>
          <w:szCs w:val="24"/>
        </w:rPr>
        <w:tab/>
        <w:t xml:space="preserve">konstatuje, že největším příjemcem rozpočtové podpory se v roce 2022 stalo evropské sousedství (38 %), po němž následovaly subsaharská Afrika (24 %), Asie (18 %), západní Balkán (8 %), Latinská Amerika (6 %), karibská oblast (2 %), zámořské země a území (2 %) a tichomořský region (2 %), a že z hlediska typu dohod převažují dohody o </w:t>
      </w:r>
      <w:r w:rsidRPr="0065078B">
        <w:rPr>
          <w:szCs w:val="24"/>
        </w:rPr>
        <w:lastRenderedPageBreak/>
        <w:t>provádění odvětvových reforem (SPRC) nad dohodami o posilování státní správy a odolnosti (SRBC) a dohodami o cílech udržitelného rozvoje (SDGC), kdy na první typ dohod připadá 74 % hodnoty portfolia a na zbývající dva typy 24,5 % a 1,5 %;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49.</w:t>
      </w:r>
      <w:r w:rsidRPr="0065078B">
        <w:rPr>
          <w:szCs w:val="24"/>
        </w:rPr>
        <w:tab/>
        <w:t>připomíná, že Účetní dvůr při auditu správnosti</w:t>
      </w:r>
      <w:r w:rsidRPr="0065078B">
        <w:rPr>
          <w:rStyle w:val="FootnoteReference"/>
          <w:szCs w:val="24"/>
        </w:rPr>
        <w:footnoteReference w:id="31"/>
      </w:r>
      <w:r w:rsidR="00D122E1">
        <w:rPr>
          <w:szCs w:val="24"/>
        </w:rPr>
        <w:t xml:space="preserve"> </w:t>
      </w:r>
      <w:r w:rsidRPr="0065078B">
        <w:rPr>
          <w:szCs w:val="24"/>
        </w:rPr>
        <w:t>nemůže zjišťovat, co se stane poté, kdy Komise rozpočtovou podporu přijímající zemi vyplatí, protože tyto prostředky se pak slučují s vlastními rozpočtovými zdroji dané země;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50.</w:t>
      </w:r>
      <w:r w:rsidRPr="0065078B">
        <w:rPr>
          <w:color w:val="00B050"/>
          <w:szCs w:val="24"/>
        </w:rPr>
        <w:tab/>
      </w:r>
      <w:r w:rsidRPr="0065078B">
        <w:rPr>
          <w:szCs w:val="24"/>
        </w:rPr>
        <w:t>konstatuje, že v roce 2022 byly největšími příjemci plateb z ERF Mosambik, Súdán a Demokratická republika Kongo a mezi nejvíce finančně podporovaná odvětví patřily vláda a občanská společnost, zemědělství, energetika a sociální infrastruktura a služby; konstatuje, že provádění ERF se týká zemí, které čelí zhoršujícím se dopadům změny klimatu, úbytku biologické rozmanitosti a nedostatku potravin a jsou oslabeny rostoucím zadlužením a novými a zapomenutými humanitárními krizemi a konflikty, což vede k rostoucí nerovnosti a chudobě; vyzývá k tomu, aby byl ERF podmíněný, pokud existují důkazy o porušování lidských práv, a aby byl posuzován s ohledem na korupci a daňové úniky;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51.</w:t>
      </w:r>
      <w:r w:rsidRPr="0065078B">
        <w:rPr>
          <w:szCs w:val="24"/>
        </w:rPr>
        <w:tab/>
        <w:t>vyzývá k větší koordinaci mezi Komisí, ESVČ a delegacemi EU s cílem usnadnit diskuse a spolupráci s příslušnými aktéry na místě, aby bylo možné určit projekty, které nejlépe splňují cíle účinnosti rozvoje;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52.</w:t>
      </w:r>
      <w:r w:rsidRPr="0065078B">
        <w:rPr>
          <w:szCs w:val="24"/>
        </w:rPr>
        <w:tab/>
        <w:t>konstatuje, že místní a nevládní subjekty jsou partnery, kteří mají dobré předpoklady k tomu, aby poskytovali pomoc Unie lidem v nouzi, zejména v odlehlých oblastech; zdůrazňuje, že posílená spolupráce Unie s těmito organizacemi by mohla urychlit účinnost rozvojové spolupráce;</w:t>
      </w:r>
    </w:p>
    <w:p w:rsidR="00E44451" w:rsidRPr="0065078B" w:rsidRDefault="00E44451" w:rsidP="00EE6BE5">
      <w:pPr>
        <w:keepNext/>
        <w:keepLines/>
        <w:spacing w:after="240"/>
        <w:rPr>
          <w:b/>
          <w:i/>
          <w:szCs w:val="24"/>
        </w:rPr>
      </w:pPr>
      <w:r w:rsidRPr="0065078B">
        <w:rPr>
          <w:b/>
          <w:i/>
          <w:szCs w:val="24"/>
        </w:rPr>
        <w:t>Opatření v návaznosti na udělení absolutoria za rok 2021</w:t>
      </w:r>
    </w:p>
    <w:p w:rsidR="00E44451" w:rsidRPr="0065078B" w:rsidRDefault="00E44451" w:rsidP="0065078B">
      <w:pPr>
        <w:spacing w:after="240"/>
        <w:ind w:left="567" w:hanging="567"/>
        <w:rPr>
          <w:szCs w:val="24"/>
        </w:rPr>
      </w:pPr>
      <w:r w:rsidRPr="0065078B">
        <w:rPr>
          <w:szCs w:val="24"/>
        </w:rPr>
        <w:t>53.</w:t>
      </w:r>
      <w:r w:rsidRPr="0065078B">
        <w:rPr>
          <w:szCs w:val="24"/>
        </w:rPr>
        <w:tab/>
        <w:t xml:space="preserve">na základě zprávy Komise o opatřeních následujících po udělení absolutoria za rok 2021 konstatuje, že probíhá digitalizace kontrol vnější činnosti, v jejímž rámci mají být přijaty korporátní postupy a nástroje, a že nadcházející přechod ke korporátnímu systému </w:t>
      </w:r>
      <w:proofErr w:type="spellStart"/>
      <w:r w:rsidRPr="0065078B">
        <w:rPr>
          <w:szCs w:val="24"/>
        </w:rPr>
        <w:t>eAudit</w:t>
      </w:r>
      <w:proofErr w:type="spellEnd"/>
      <w:r w:rsidRPr="0065078B">
        <w:rPr>
          <w:szCs w:val="24"/>
        </w:rPr>
        <w:t xml:space="preserve"> přispěje k systematičtějšímu a integrovanějšímu monitorování zjištění vyplývajících z auditů a ověřování, a tím k větší ucelenosti návazného procesu;</w:t>
      </w:r>
    </w:p>
    <w:p w:rsidR="00E44451" w:rsidRPr="0065078B" w:rsidRDefault="00E44451" w:rsidP="0065078B">
      <w:pPr>
        <w:spacing w:after="240"/>
        <w:ind w:left="567" w:hanging="567"/>
        <w:rPr>
          <w:szCs w:val="24"/>
        </w:rPr>
      </w:pPr>
      <w:r w:rsidRPr="0065078B">
        <w:rPr>
          <w:szCs w:val="24"/>
        </w:rPr>
        <w:t>54.</w:t>
      </w:r>
      <w:r w:rsidRPr="0065078B">
        <w:rPr>
          <w:szCs w:val="24"/>
        </w:rPr>
        <w:tab/>
        <w:t>konstatuje, že v roce 2023 začala opět probíhat společná školení se zaměstnanci OSN a že Komise se s OSN dohodla na zřízení společných technických skupin, kde se budou pravidelně projednávat otázky týkající se auditu a kontroly, a že Komise bude i nadále přijímat opatření k nalezení praktických a dlouhodobých řešení těchto otázek;</w:t>
      </w:r>
    </w:p>
    <w:p w:rsidR="00E44451" w:rsidRPr="0065078B" w:rsidRDefault="00E44451" w:rsidP="0065078B">
      <w:pPr>
        <w:spacing w:after="240"/>
        <w:ind w:left="567" w:hanging="567"/>
        <w:rPr>
          <w:szCs w:val="24"/>
        </w:rPr>
      </w:pPr>
      <w:r w:rsidRPr="0065078B">
        <w:rPr>
          <w:szCs w:val="24"/>
        </w:rPr>
        <w:t>55.</w:t>
      </w:r>
      <w:r w:rsidRPr="0065078B">
        <w:rPr>
          <w:szCs w:val="24"/>
        </w:rPr>
        <w:tab/>
        <w:t>konstatuje, že GŘ INTPA v roce 2022 posoudilo systémová zjištění, k nimž dospělo ověřování výdajů u akcí prováděných 20 globálně působícími mezinárodními organizacemi, které mají centralizované řízení auditních úkolů, a že v lednu 2023 sdělilo svá zjištění i navrhovaná zmírňující opatření příslušným zaměstnancům ústředí a delegací;</w:t>
      </w:r>
    </w:p>
    <w:p w:rsidR="00E44451" w:rsidRPr="0065078B" w:rsidRDefault="00E44451" w:rsidP="0065078B">
      <w:pPr>
        <w:spacing w:after="240"/>
        <w:ind w:left="567" w:hanging="567"/>
        <w:rPr>
          <w:szCs w:val="24"/>
        </w:rPr>
      </w:pPr>
      <w:r w:rsidRPr="0065078B">
        <w:rPr>
          <w:szCs w:val="24"/>
        </w:rPr>
        <w:t>56.</w:t>
      </w:r>
      <w:r w:rsidRPr="0065078B">
        <w:rPr>
          <w:szCs w:val="24"/>
        </w:rPr>
        <w:tab/>
        <w:t xml:space="preserve">konstatuje, že Komise a její partnerské instituce (včetně rozvojových finančních institucí a rozvojových agentur) aktivně spolupracují s místními organizacemi působícími v soukromém sektoru, aby s nimi jednaly o výzvách a možnostech zlepšení </w:t>
      </w:r>
      <w:r w:rsidRPr="0065078B">
        <w:rPr>
          <w:szCs w:val="24"/>
        </w:rPr>
        <w:lastRenderedPageBreak/>
        <w:t>přístupu ke zdrojům financování prostřednictvím finančních nástrojů, jako jsou operace kombinovaného financování, a že s pomocí delegací EU a národních investičních fór probíhá v partnerství s partnerskými zeměmi dialog o příslušných oblastech politiky; zdůrazňuje význam mobilizace soukromého sektoru pro překlenutí mezery ve financování rozvoje a dosažení cílů udržitelného rozvoje;</w:t>
      </w:r>
    </w:p>
    <w:p w:rsidR="00E44451" w:rsidRPr="0065078B" w:rsidRDefault="00E44451" w:rsidP="0065078B">
      <w:pPr>
        <w:spacing w:after="240"/>
        <w:ind w:left="567" w:hanging="567"/>
        <w:rPr>
          <w:szCs w:val="24"/>
        </w:rPr>
      </w:pPr>
      <w:r w:rsidRPr="0065078B">
        <w:rPr>
          <w:szCs w:val="24"/>
        </w:rPr>
        <w:t>57.</w:t>
      </w:r>
      <w:r w:rsidRPr="0065078B">
        <w:rPr>
          <w:szCs w:val="24"/>
        </w:rPr>
        <w:tab/>
        <w:t xml:space="preserve">vítá strategii </w:t>
      </w:r>
      <w:proofErr w:type="spellStart"/>
      <w:r w:rsidRPr="0065078B">
        <w:rPr>
          <w:szCs w:val="24"/>
        </w:rPr>
        <w:t>Global</w:t>
      </w:r>
      <w:proofErr w:type="spellEnd"/>
      <w:r w:rsidRPr="0065078B">
        <w:rPr>
          <w:szCs w:val="24"/>
        </w:rPr>
        <w:t xml:space="preserve"> </w:t>
      </w:r>
      <w:proofErr w:type="spellStart"/>
      <w:r w:rsidRPr="0065078B">
        <w:rPr>
          <w:szCs w:val="24"/>
        </w:rPr>
        <w:t>Gateway</w:t>
      </w:r>
      <w:proofErr w:type="spellEnd"/>
      <w:r w:rsidRPr="0065078B">
        <w:rPr>
          <w:szCs w:val="24"/>
        </w:rPr>
        <w:t xml:space="preserve"> jako koordinovanou reakci Unie na globální výzvy; je toho názoru, že v době nových geostrategických výzev musí zahraniční a bezpečnostní politika Unie a aktéři rozvojové spolupráce lépe koordinovat svou činnost, aby se zvýšila přítomnost a viditelnost Unie ve světě prostřednictvím tvrdých a měkkých investic do infrastruktury, které vytvářejí vnitrostátní hodnotu v partnerských zemích prostřednictvím spolupráce se soukromým sektorem a rozvojovými finančními institucemi, v souladu s cíli udržitelného rozvoje;</w:t>
      </w:r>
    </w:p>
    <w:p w:rsidR="00E44451" w:rsidRPr="0065078B" w:rsidRDefault="00E44451" w:rsidP="0065078B">
      <w:pPr>
        <w:pStyle w:val="NormalHanging12a"/>
        <w:rPr>
          <w:szCs w:val="24"/>
        </w:rPr>
      </w:pPr>
      <w:r w:rsidRPr="0065078B">
        <w:rPr>
          <w:szCs w:val="24"/>
        </w:rPr>
        <w:t>58.</w:t>
      </w:r>
      <w:r w:rsidRPr="0065078B">
        <w:rPr>
          <w:szCs w:val="24"/>
        </w:rPr>
        <w:tab/>
        <w:t>připomíná, že globální krize způsobily a prohloubily nerovnosti v rámci jednotlivých zemí i mezi nimi, což oslabilo sociální soudržnost, a v této souvislosti vítá vytvoření ukazatele nerovnosti (I-</w:t>
      </w:r>
      <w:proofErr w:type="spellStart"/>
      <w:r w:rsidRPr="0065078B">
        <w:rPr>
          <w:szCs w:val="24"/>
        </w:rPr>
        <w:t>Marker</w:t>
      </w:r>
      <w:proofErr w:type="spellEnd"/>
      <w:r w:rsidRPr="0065078B">
        <w:rPr>
          <w:szCs w:val="24"/>
        </w:rPr>
        <w:t>), jenž má sloužit jako spolehlivý systém podávání zpráv a srovnávání, pokud jde o příspěvek všech intervencí ke snižování nerovností;</w:t>
      </w:r>
    </w:p>
    <w:p w:rsidR="00E44451" w:rsidRPr="0065078B" w:rsidRDefault="00E44451" w:rsidP="0065078B">
      <w:pPr>
        <w:spacing w:after="240"/>
        <w:ind w:left="567" w:hanging="567"/>
        <w:rPr>
          <w:szCs w:val="24"/>
        </w:rPr>
      </w:pPr>
      <w:r w:rsidRPr="0065078B">
        <w:rPr>
          <w:szCs w:val="24"/>
        </w:rPr>
        <w:t>59.</w:t>
      </w:r>
      <w:r w:rsidRPr="0065078B">
        <w:rPr>
          <w:szCs w:val="24"/>
        </w:rPr>
        <w:tab/>
        <w:t>opakuje doporučení Účetního dvora adresovaná Komisi:</w:t>
      </w:r>
    </w:p>
    <w:p w:rsidR="00E44451" w:rsidRPr="0065078B" w:rsidRDefault="00E44451" w:rsidP="0065078B">
      <w:pPr>
        <w:spacing w:after="240"/>
        <w:ind w:left="1134" w:hanging="567"/>
        <w:rPr>
          <w:szCs w:val="24"/>
        </w:rPr>
      </w:pPr>
      <w:r w:rsidRPr="0065078B">
        <w:rPr>
          <w:szCs w:val="24"/>
        </w:rPr>
        <w:t>a)</w:t>
      </w:r>
      <w:r w:rsidRPr="0065078B">
        <w:rPr>
          <w:szCs w:val="24"/>
        </w:rPr>
        <w:tab/>
        <w:t>dbát na to, aby byly včas zúčtovány účetní zůstatky u uzavřených ERF;</w:t>
      </w:r>
    </w:p>
    <w:p w:rsidR="00E44451" w:rsidRPr="0065078B" w:rsidRDefault="00E44451" w:rsidP="0065078B">
      <w:pPr>
        <w:spacing w:after="240"/>
        <w:ind w:left="1134" w:hanging="567"/>
        <w:rPr>
          <w:szCs w:val="24"/>
        </w:rPr>
      </w:pPr>
      <w:r w:rsidRPr="0065078B">
        <w:rPr>
          <w:szCs w:val="24"/>
        </w:rPr>
        <w:t>b)</w:t>
      </w:r>
      <w:r w:rsidRPr="0065078B">
        <w:rPr>
          <w:szCs w:val="24"/>
        </w:rPr>
        <w:tab/>
        <w:t>dbát na to, aby v roční účetní závěrce byly včas zúčtovány předběžné financování a faktury;</w:t>
      </w:r>
    </w:p>
    <w:p w:rsidR="00E44451" w:rsidRPr="0065078B" w:rsidRDefault="00E44451" w:rsidP="0065078B">
      <w:pPr>
        <w:spacing w:after="240"/>
        <w:ind w:left="1134" w:hanging="567"/>
        <w:rPr>
          <w:szCs w:val="24"/>
        </w:rPr>
      </w:pPr>
      <w:r w:rsidRPr="0065078B">
        <w:rPr>
          <w:szCs w:val="24"/>
        </w:rPr>
        <w:t>c)</w:t>
      </w:r>
      <w:r w:rsidRPr="0065078B">
        <w:rPr>
          <w:szCs w:val="24"/>
        </w:rPr>
        <w:tab/>
        <w:t>přijmout opatření ke zkvalitnění kontrolních systémů delegací EU pro zúčtování předběžného financování;</w:t>
      </w:r>
    </w:p>
    <w:p w:rsidR="00E44451" w:rsidRPr="0065078B" w:rsidRDefault="00E44451" w:rsidP="0065078B">
      <w:pPr>
        <w:spacing w:after="240"/>
        <w:ind w:left="1134" w:hanging="567"/>
        <w:rPr>
          <w:szCs w:val="24"/>
        </w:rPr>
      </w:pPr>
      <w:r w:rsidRPr="0065078B">
        <w:rPr>
          <w:szCs w:val="24"/>
        </w:rPr>
        <w:t>d)</w:t>
      </w:r>
      <w:r w:rsidRPr="0065078B">
        <w:rPr>
          <w:szCs w:val="24"/>
        </w:rPr>
        <w:tab/>
        <w:t>připomínat povinnost dodržování pravidel v oblasti DPH a provádět příslušné kontroly;</w:t>
      </w:r>
    </w:p>
    <w:p w:rsidR="00E44451" w:rsidRPr="0065078B" w:rsidRDefault="00E44451" w:rsidP="0065078B">
      <w:pPr>
        <w:spacing w:after="240"/>
        <w:ind w:left="1134" w:hanging="567"/>
        <w:rPr>
          <w:szCs w:val="24"/>
        </w:rPr>
      </w:pPr>
      <w:r w:rsidRPr="0065078B">
        <w:rPr>
          <w:szCs w:val="24"/>
        </w:rPr>
        <w:t>e)</w:t>
      </w:r>
      <w:r w:rsidRPr="0065078B">
        <w:rPr>
          <w:szCs w:val="24"/>
        </w:rPr>
        <w:tab/>
        <w:t xml:space="preserve">posílit kontroly </w:t>
      </w:r>
      <w:r w:rsidRPr="0065078B">
        <w:rPr>
          <w:i/>
          <w:iCs/>
          <w:szCs w:val="24"/>
        </w:rPr>
        <w:t>ex ante</w:t>
      </w:r>
      <w:r w:rsidRPr="0065078B">
        <w:rPr>
          <w:szCs w:val="24"/>
        </w:rPr>
        <w:t xml:space="preserve"> před schválením výdajů;</w:t>
      </w:r>
    </w:p>
    <w:p w:rsidR="00E44451" w:rsidRPr="0065078B" w:rsidRDefault="00E44451" w:rsidP="0065078B">
      <w:pPr>
        <w:spacing w:after="240"/>
        <w:ind w:left="1134" w:hanging="567"/>
        <w:rPr>
          <w:szCs w:val="24"/>
        </w:rPr>
      </w:pPr>
      <w:r w:rsidRPr="0065078B">
        <w:rPr>
          <w:szCs w:val="24"/>
        </w:rPr>
        <w:t>f)</w:t>
      </w:r>
      <w:r w:rsidRPr="0065078B">
        <w:rPr>
          <w:szCs w:val="24"/>
        </w:rPr>
        <w:tab/>
        <w:t>zlepšit metodiku týkající se zbytkové chybovosti a ověřovat, že je řádným způsobem uplatňována.</w:t>
      </w:r>
    </w:p>
    <w:sectPr w:rsidR="00E44451" w:rsidRPr="0065078B" w:rsidSect="00EA3C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42E" w:rsidRPr="00EA3CB6" w:rsidRDefault="008B742E">
      <w:r w:rsidRPr="00EA3CB6">
        <w:separator/>
      </w:r>
    </w:p>
  </w:endnote>
  <w:endnote w:type="continuationSeparator" w:id="0">
    <w:p w:rsidR="008B742E" w:rsidRPr="00EA3CB6" w:rsidRDefault="008B742E">
      <w:r w:rsidRPr="00EA3C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451" w:rsidRPr="00EA3CB6" w:rsidRDefault="00E44451" w:rsidP="00474F1E">
    <w:pPr>
      <w:pStyle w:val="EPFooter"/>
    </w:pPr>
    <w:r w:rsidRPr="00EA3CB6">
      <w:t>PE</w:t>
    </w:r>
    <w:r w:rsidRPr="00EA3CB6">
      <w:rPr>
        <w:rStyle w:val="HideTWBExt"/>
      </w:rPr>
      <w:t>&lt;NoPE&gt;</w:t>
    </w:r>
    <w:r w:rsidRPr="00EA3CB6">
      <w:t>753.512</w:t>
    </w:r>
    <w:r w:rsidRPr="00EA3CB6">
      <w:rPr>
        <w:rStyle w:val="HideTWBExt"/>
      </w:rPr>
      <w:t>&lt;/NoPE&gt;&lt;Version&gt;</w:t>
    </w:r>
    <w:r w:rsidRPr="00EA3CB6">
      <w:t>v03-00</w:t>
    </w:r>
    <w:r w:rsidRPr="00EA3CB6">
      <w:rPr>
        <w:rStyle w:val="HideTWBExt"/>
      </w:rPr>
      <w:t>&lt;/Version&gt;</w:t>
    </w:r>
    <w:r w:rsidRPr="00EA3CB6">
      <w:tab/>
    </w:r>
    <w:r w:rsidRPr="00EA3CB6">
      <w:fldChar w:fldCharType="begin"/>
    </w:r>
    <w:r w:rsidRPr="00EA3CB6">
      <w:instrText xml:space="preserve"> PAGE  \* MERGEFORMAT </w:instrText>
    </w:r>
    <w:r w:rsidRPr="00EA3CB6">
      <w:fldChar w:fldCharType="separate"/>
    </w:r>
    <w:r w:rsidR="00EA3CB6" w:rsidRPr="00EA3CB6">
      <w:rPr>
        <w:noProof/>
      </w:rPr>
      <w:t>2</w:t>
    </w:r>
    <w:r w:rsidRPr="00EA3CB6">
      <w:fldChar w:fldCharType="end"/>
    </w:r>
    <w:r w:rsidRPr="00EA3CB6">
      <w:t>/</w:t>
    </w:r>
    <w:r w:rsidR="00E05C49">
      <w:fldChar w:fldCharType="begin"/>
    </w:r>
    <w:r w:rsidR="00E05C49">
      <w:instrText xml:space="preserve"> NUMPAGES  \* MERGEFORMAT </w:instrText>
    </w:r>
    <w:r w:rsidR="00E05C49">
      <w:fldChar w:fldCharType="separate"/>
    </w:r>
    <w:r w:rsidR="00EA3CB6" w:rsidRPr="00EA3CB6">
      <w:rPr>
        <w:noProof/>
      </w:rPr>
      <w:t>18</w:t>
    </w:r>
    <w:r w:rsidR="00E05C49">
      <w:rPr>
        <w:noProof/>
      </w:rPr>
      <w:fldChar w:fldCharType="end"/>
    </w:r>
    <w:r w:rsidRPr="00EA3CB6">
      <w:tab/>
    </w:r>
    <w:r w:rsidRPr="00EA3CB6">
      <w:rPr>
        <w:rStyle w:val="HideTWBExt"/>
      </w:rPr>
      <w:t>&lt;PathFdR&gt;</w:t>
    </w:r>
    <w:r w:rsidRPr="00EA3CB6">
      <w:t>RR\1299097CS.docx</w:t>
    </w:r>
    <w:r w:rsidRPr="00EA3CB6">
      <w:rPr>
        <w:rStyle w:val="HideTWBExt"/>
      </w:rPr>
      <w:t>&lt;/PathFdR&gt;</w:t>
    </w:r>
  </w:p>
  <w:p w:rsidR="00E44451" w:rsidRPr="00EA3CB6" w:rsidRDefault="00E44451" w:rsidP="00474F1E">
    <w:pPr>
      <w:pStyle w:val="EPFooter2"/>
    </w:pPr>
    <w:r w:rsidRPr="00EA3CB6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451" w:rsidRPr="00EA3CB6" w:rsidRDefault="00E44451" w:rsidP="00474F1E">
    <w:pPr>
      <w:pStyle w:val="EPFooter"/>
    </w:pPr>
    <w:r w:rsidRPr="00EA3CB6">
      <w:rPr>
        <w:rStyle w:val="HideTWBExt"/>
      </w:rPr>
      <w:t>&lt;PathFdR&gt;</w:t>
    </w:r>
    <w:r w:rsidRPr="00EA3CB6">
      <w:t>RR\1299097CS.docx</w:t>
    </w:r>
    <w:r w:rsidRPr="00EA3CB6">
      <w:rPr>
        <w:rStyle w:val="HideTWBExt"/>
      </w:rPr>
      <w:t>&lt;/PathFdR&gt;</w:t>
    </w:r>
    <w:r w:rsidRPr="00EA3CB6">
      <w:tab/>
    </w:r>
    <w:r w:rsidRPr="00EA3CB6">
      <w:tab/>
      <w:t>PE</w:t>
    </w:r>
    <w:r w:rsidRPr="00EA3CB6">
      <w:rPr>
        <w:rStyle w:val="HideTWBExt"/>
      </w:rPr>
      <w:t>&lt;NoPE&gt;</w:t>
    </w:r>
    <w:r w:rsidRPr="00EA3CB6">
      <w:t>753.512</w:t>
    </w:r>
    <w:r w:rsidRPr="00EA3CB6">
      <w:rPr>
        <w:rStyle w:val="HideTWBExt"/>
      </w:rPr>
      <w:t>&lt;/NoPE&gt;&lt;Version&gt;</w:t>
    </w:r>
    <w:r w:rsidRPr="00EA3CB6">
      <w:t>v03-00</w:t>
    </w:r>
    <w:r w:rsidRPr="00EA3CB6">
      <w:rPr>
        <w:rStyle w:val="HideTWBExt"/>
      </w:rPr>
      <w:t>&lt;/Version&gt;</w:t>
    </w:r>
  </w:p>
  <w:p w:rsidR="00E44451" w:rsidRPr="00EA3CB6" w:rsidRDefault="00E44451" w:rsidP="00474F1E">
    <w:pPr>
      <w:pStyle w:val="EPFooter2"/>
    </w:pPr>
    <w:r w:rsidRPr="00EA3CB6">
      <w:t>CS</w:t>
    </w:r>
    <w:r w:rsidRPr="00EA3CB6">
      <w:tab/>
    </w:r>
    <w:r w:rsidRPr="00EA3CB6">
      <w:rPr>
        <w:b w:val="0"/>
        <w:i/>
        <w:color w:val="C0C0C0"/>
        <w:sz w:val="22"/>
      </w:rPr>
      <w:t>Jednotná v rozmanitosti</w:t>
    </w:r>
    <w:r w:rsidRPr="00EA3CB6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3CB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3CB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3C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42E" w:rsidRPr="00EA3CB6" w:rsidRDefault="008B742E">
      <w:r w:rsidRPr="00EA3CB6">
        <w:separator/>
      </w:r>
    </w:p>
  </w:footnote>
  <w:footnote w:type="continuationSeparator" w:id="0">
    <w:p w:rsidR="008B742E" w:rsidRPr="00EA3CB6" w:rsidRDefault="008B742E">
      <w:r w:rsidRPr="00EA3CB6">
        <w:continuationSeparator/>
      </w:r>
    </w:p>
  </w:footnote>
  <w:footnote w:id="1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E6BE5">
        <w:rPr>
          <w:color w:val="000000" w:themeColor="text1"/>
          <w:sz w:val="24"/>
          <w:lang w:val="cs-CZ"/>
        </w:rPr>
        <w:t>Úř</w:t>
      </w:r>
      <w:proofErr w:type="spellEnd"/>
      <w:r w:rsidRPr="00EE6BE5">
        <w:rPr>
          <w:color w:val="000000" w:themeColor="text1"/>
          <w:sz w:val="24"/>
          <w:lang w:val="cs-CZ"/>
        </w:rPr>
        <w:t xml:space="preserve">. </w:t>
      </w:r>
      <w:proofErr w:type="spellStart"/>
      <w:proofErr w:type="gramStart"/>
      <w:r w:rsidRPr="00EE6BE5">
        <w:rPr>
          <w:color w:val="000000" w:themeColor="text1"/>
          <w:sz w:val="24"/>
          <w:lang w:val="cs-CZ"/>
        </w:rPr>
        <w:t>věst</w:t>
      </w:r>
      <w:proofErr w:type="spellEnd"/>
      <w:proofErr w:type="gramEnd"/>
      <w:r w:rsidRPr="00EE6BE5">
        <w:rPr>
          <w:color w:val="000000" w:themeColor="text1"/>
          <w:sz w:val="24"/>
          <w:lang w:val="cs-CZ"/>
        </w:rPr>
        <w:t xml:space="preserve">. </w:t>
      </w:r>
      <w:r w:rsidR="00E05C49">
        <w:rPr>
          <w:color w:val="000000" w:themeColor="text1"/>
          <w:sz w:val="24"/>
          <w:lang w:val="cs-CZ"/>
        </w:rPr>
        <w:t xml:space="preserve">C, </w:t>
      </w:r>
      <w:r w:rsidRPr="00EE6BE5">
        <w:rPr>
          <w:color w:val="000000" w:themeColor="text1"/>
          <w:sz w:val="24"/>
          <w:lang w:val="cs-CZ"/>
        </w:rPr>
        <w:t xml:space="preserve">C/2023/103, </w:t>
      </w:r>
      <w:proofErr w:type="gramStart"/>
      <w:r w:rsidRPr="00EE6BE5">
        <w:rPr>
          <w:color w:val="000000" w:themeColor="text1"/>
          <w:sz w:val="24"/>
          <w:lang w:val="cs-CZ"/>
        </w:rPr>
        <w:t>4.10.2023</w:t>
      </w:r>
      <w:proofErr w:type="gramEnd"/>
      <w:r w:rsidRPr="00EA3CB6">
        <w:rPr>
          <w:sz w:val="24"/>
          <w:lang w:val="cs-CZ"/>
        </w:rPr>
        <w:t>.</w:t>
      </w:r>
    </w:p>
  </w:footnote>
  <w:footnote w:id="2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E6BE5">
        <w:rPr>
          <w:color w:val="000000" w:themeColor="text1"/>
          <w:sz w:val="24"/>
          <w:lang w:val="cs-CZ"/>
        </w:rPr>
        <w:t>Úř</w:t>
      </w:r>
      <w:proofErr w:type="spellEnd"/>
      <w:r w:rsidRPr="00EE6BE5">
        <w:rPr>
          <w:color w:val="000000" w:themeColor="text1"/>
          <w:sz w:val="24"/>
          <w:lang w:val="cs-CZ"/>
        </w:rPr>
        <w:t xml:space="preserve">. </w:t>
      </w:r>
      <w:proofErr w:type="spellStart"/>
      <w:proofErr w:type="gramStart"/>
      <w:r w:rsidRPr="00EE6BE5">
        <w:rPr>
          <w:color w:val="000000" w:themeColor="text1"/>
          <w:sz w:val="24"/>
          <w:lang w:val="cs-CZ"/>
        </w:rPr>
        <w:t>věst</w:t>
      </w:r>
      <w:proofErr w:type="spellEnd"/>
      <w:proofErr w:type="gramEnd"/>
      <w:r w:rsidRPr="00EE6BE5">
        <w:rPr>
          <w:color w:val="000000" w:themeColor="text1"/>
          <w:sz w:val="24"/>
          <w:lang w:val="cs-CZ"/>
        </w:rPr>
        <w:t xml:space="preserve">. </w:t>
      </w:r>
      <w:r w:rsidR="00E05C49">
        <w:rPr>
          <w:color w:val="000000" w:themeColor="text1"/>
          <w:sz w:val="24"/>
          <w:lang w:val="cs-CZ"/>
        </w:rPr>
        <w:t xml:space="preserve">C, </w:t>
      </w:r>
      <w:r w:rsidRPr="00EE6BE5">
        <w:rPr>
          <w:color w:val="000000" w:themeColor="text1"/>
          <w:sz w:val="24"/>
          <w:lang w:val="cs-CZ"/>
        </w:rPr>
        <w:t xml:space="preserve">C/2023/109, </w:t>
      </w:r>
      <w:proofErr w:type="gramStart"/>
      <w:r w:rsidRPr="00EE6BE5">
        <w:rPr>
          <w:color w:val="000000" w:themeColor="text1"/>
          <w:sz w:val="24"/>
          <w:lang w:val="cs-CZ"/>
        </w:rPr>
        <w:t>12.10.2023</w:t>
      </w:r>
      <w:proofErr w:type="gramEnd"/>
      <w:r w:rsidRPr="00EA3CB6">
        <w:rPr>
          <w:sz w:val="24"/>
          <w:lang w:val="cs-CZ"/>
        </w:rPr>
        <w:t>.</w:t>
      </w:r>
    </w:p>
  </w:footnote>
  <w:footnote w:id="3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317, </w:t>
      </w:r>
      <w:proofErr w:type="gramStart"/>
      <w:r w:rsidRPr="00EA3CB6">
        <w:rPr>
          <w:sz w:val="24"/>
          <w:lang w:val="cs-CZ"/>
        </w:rPr>
        <w:t>15.12.2000</w:t>
      </w:r>
      <w:proofErr w:type="gramEnd"/>
      <w:r w:rsidRPr="00EA3CB6">
        <w:rPr>
          <w:sz w:val="24"/>
          <w:lang w:val="cs-CZ"/>
        </w:rPr>
        <w:t>, s. 3.</w:t>
      </w:r>
    </w:p>
  </w:footnote>
  <w:footnote w:id="4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287, </w:t>
      </w:r>
      <w:proofErr w:type="gramStart"/>
      <w:r w:rsidRPr="00EA3CB6">
        <w:rPr>
          <w:sz w:val="24"/>
          <w:lang w:val="cs-CZ"/>
        </w:rPr>
        <w:t>4.11.2010</w:t>
      </w:r>
      <w:proofErr w:type="gramEnd"/>
      <w:r w:rsidRPr="00EA3CB6">
        <w:rPr>
          <w:sz w:val="24"/>
          <w:lang w:val="cs-CZ"/>
        </w:rPr>
        <w:t>, s. 3.</w:t>
      </w:r>
    </w:p>
  </w:footnote>
  <w:footnote w:id="5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 344, </w:t>
      </w:r>
      <w:proofErr w:type="gramStart"/>
      <w:r w:rsidRPr="00EA3CB6">
        <w:rPr>
          <w:sz w:val="24"/>
          <w:lang w:val="cs-CZ"/>
        </w:rPr>
        <w:t>19.12.2013</w:t>
      </w:r>
      <w:proofErr w:type="gramEnd"/>
      <w:r w:rsidRPr="00EA3CB6">
        <w:rPr>
          <w:sz w:val="24"/>
          <w:lang w:val="cs-CZ"/>
        </w:rPr>
        <w:t>, s. 1.</w:t>
      </w:r>
    </w:p>
  </w:footnote>
  <w:footnote w:id="6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355, </w:t>
      </w:r>
      <w:proofErr w:type="gramStart"/>
      <w:r w:rsidRPr="00EA3CB6">
        <w:rPr>
          <w:sz w:val="24"/>
          <w:lang w:val="cs-CZ"/>
        </w:rPr>
        <w:t>7.10.2021</w:t>
      </w:r>
      <w:proofErr w:type="gramEnd"/>
      <w:r w:rsidRPr="00EA3CB6">
        <w:rPr>
          <w:sz w:val="24"/>
          <w:lang w:val="cs-CZ"/>
        </w:rPr>
        <w:t>, s. 6.</w:t>
      </w:r>
    </w:p>
  </w:footnote>
  <w:footnote w:id="7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 L 156, </w:t>
      </w:r>
      <w:proofErr w:type="gramStart"/>
      <w:r w:rsidRPr="00EA3CB6">
        <w:rPr>
          <w:sz w:val="24"/>
          <w:lang w:val="cs-CZ"/>
        </w:rPr>
        <w:t>29.5.1998</w:t>
      </w:r>
      <w:proofErr w:type="gramEnd"/>
      <w:r w:rsidRPr="00EA3CB6">
        <w:rPr>
          <w:sz w:val="24"/>
          <w:lang w:val="cs-CZ"/>
        </w:rPr>
        <w:t>, s. 108.</w:t>
      </w:r>
    </w:p>
  </w:footnote>
  <w:footnote w:id="8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317, </w:t>
      </w:r>
      <w:proofErr w:type="gramStart"/>
      <w:r w:rsidRPr="00EA3CB6">
        <w:rPr>
          <w:sz w:val="24"/>
          <w:lang w:val="cs-CZ"/>
        </w:rPr>
        <w:t>15.12.20</w:t>
      </w:r>
      <w:r w:rsidR="00716486">
        <w:rPr>
          <w:sz w:val="24"/>
          <w:lang w:val="cs-CZ"/>
        </w:rPr>
        <w:t>0</w:t>
      </w:r>
      <w:r w:rsidRPr="00EA3CB6">
        <w:rPr>
          <w:sz w:val="24"/>
          <w:lang w:val="cs-CZ"/>
        </w:rPr>
        <w:t>0</w:t>
      </w:r>
      <w:proofErr w:type="gramEnd"/>
      <w:r w:rsidRPr="00EA3CB6">
        <w:rPr>
          <w:sz w:val="24"/>
          <w:lang w:val="cs-CZ"/>
        </w:rPr>
        <w:t>, s. 355.</w:t>
      </w:r>
    </w:p>
  </w:footnote>
  <w:footnote w:id="9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 210, </w:t>
      </w:r>
      <w:proofErr w:type="gramStart"/>
      <w:r w:rsidRPr="00EA3CB6">
        <w:rPr>
          <w:sz w:val="24"/>
          <w:lang w:val="cs-CZ"/>
        </w:rPr>
        <w:t>6.8.2013</w:t>
      </w:r>
      <w:proofErr w:type="gramEnd"/>
      <w:r w:rsidRPr="00EA3CB6">
        <w:rPr>
          <w:sz w:val="24"/>
          <w:lang w:val="cs-CZ"/>
        </w:rPr>
        <w:t>, s. 1.</w:t>
      </w:r>
    </w:p>
  </w:footnote>
  <w:footnote w:id="10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 L 191, </w:t>
      </w:r>
      <w:proofErr w:type="gramStart"/>
      <w:r w:rsidRPr="00EA3CB6">
        <w:rPr>
          <w:sz w:val="24"/>
          <w:lang w:val="cs-CZ"/>
        </w:rPr>
        <w:t>7.7.1998</w:t>
      </w:r>
      <w:proofErr w:type="gramEnd"/>
      <w:r w:rsidRPr="00EA3CB6">
        <w:rPr>
          <w:sz w:val="24"/>
          <w:lang w:val="cs-CZ"/>
        </w:rPr>
        <w:t>, s. 53.</w:t>
      </w:r>
    </w:p>
  </w:footnote>
  <w:footnote w:id="11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83, </w:t>
      </w:r>
      <w:proofErr w:type="gramStart"/>
      <w:r w:rsidRPr="00EA3CB6">
        <w:rPr>
          <w:sz w:val="24"/>
          <w:lang w:val="cs-CZ"/>
        </w:rPr>
        <w:t>1.4.2003</w:t>
      </w:r>
      <w:proofErr w:type="gramEnd"/>
      <w:r w:rsidRPr="00EA3CB6">
        <w:rPr>
          <w:sz w:val="24"/>
          <w:lang w:val="cs-CZ"/>
        </w:rPr>
        <w:t>, s. 1.</w:t>
      </w:r>
    </w:p>
  </w:footnote>
  <w:footnote w:id="12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78, </w:t>
      </w:r>
      <w:proofErr w:type="gramStart"/>
      <w:r w:rsidRPr="00EA3CB6">
        <w:rPr>
          <w:sz w:val="24"/>
          <w:lang w:val="cs-CZ"/>
        </w:rPr>
        <w:t>19.3.2008</w:t>
      </w:r>
      <w:proofErr w:type="gramEnd"/>
      <w:r w:rsidRPr="00EA3CB6">
        <w:rPr>
          <w:sz w:val="24"/>
          <w:lang w:val="cs-CZ"/>
        </w:rPr>
        <w:t>, s. 1.</w:t>
      </w:r>
    </w:p>
  </w:footnote>
  <w:footnote w:id="13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 L 58, </w:t>
      </w:r>
      <w:proofErr w:type="gramStart"/>
      <w:r w:rsidRPr="00EA3CB6">
        <w:rPr>
          <w:sz w:val="24"/>
          <w:lang w:val="cs-CZ"/>
        </w:rPr>
        <w:t>3.3.2015</w:t>
      </w:r>
      <w:proofErr w:type="gramEnd"/>
      <w:r w:rsidRPr="00EA3CB6">
        <w:rPr>
          <w:sz w:val="24"/>
          <w:lang w:val="cs-CZ"/>
        </w:rPr>
        <w:t>, s. 17.</w:t>
      </w:r>
    </w:p>
  </w:footnote>
  <w:footnote w:id="14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 L 307, </w:t>
      </w:r>
      <w:proofErr w:type="gramStart"/>
      <w:r w:rsidRPr="00EA3CB6">
        <w:rPr>
          <w:sz w:val="24"/>
          <w:lang w:val="cs-CZ"/>
        </w:rPr>
        <w:t>3.12.2018</w:t>
      </w:r>
      <w:proofErr w:type="gramEnd"/>
      <w:r w:rsidRPr="00EA3CB6">
        <w:rPr>
          <w:sz w:val="24"/>
          <w:lang w:val="cs-CZ"/>
        </w:rPr>
        <w:t>, s. 1.</w:t>
      </w:r>
    </w:p>
  </w:footnote>
  <w:footnote w:id="15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</w:t>
      </w:r>
      <w:r w:rsidR="00E05C49">
        <w:rPr>
          <w:sz w:val="24"/>
          <w:lang w:val="cs-CZ"/>
        </w:rPr>
        <w:t xml:space="preserve">C, </w:t>
      </w:r>
      <w:r w:rsidRPr="00EA3CB6">
        <w:rPr>
          <w:sz w:val="24"/>
          <w:lang w:val="cs-CZ"/>
        </w:rPr>
        <w:t xml:space="preserve">C/2023/103, </w:t>
      </w:r>
      <w:proofErr w:type="gramStart"/>
      <w:r w:rsidRPr="00EA3CB6">
        <w:rPr>
          <w:sz w:val="24"/>
          <w:lang w:val="cs-CZ"/>
        </w:rPr>
        <w:t>4.10.2023</w:t>
      </w:r>
      <w:proofErr w:type="gramEnd"/>
      <w:r w:rsidRPr="00EA3CB6">
        <w:rPr>
          <w:sz w:val="24"/>
          <w:lang w:val="cs-CZ"/>
        </w:rPr>
        <w:t>.</w:t>
      </w:r>
    </w:p>
  </w:footnote>
  <w:footnote w:id="16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</w:t>
      </w:r>
      <w:r w:rsidR="00E05C49">
        <w:rPr>
          <w:sz w:val="24"/>
          <w:lang w:val="cs-CZ"/>
        </w:rPr>
        <w:t xml:space="preserve">C, </w:t>
      </w:r>
      <w:r w:rsidRPr="00EA3CB6">
        <w:rPr>
          <w:sz w:val="24"/>
          <w:lang w:val="cs-CZ"/>
        </w:rPr>
        <w:t xml:space="preserve">C/2023/109, </w:t>
      </w:r>
      <w:proofErr w:type="gramStart"/>
      <w:r w:rsidRPr="00EA3CB6">
        <w:rPr>
          <w:sz w:val="24"/>
          <w:lang w:val="cs-CZ"/>
        </w:rPr>
        <w:t>12.10.2023</w:t>
      </w:r>
      <w:proofErr w:type="gramEnd"/>
      <w:r w:rsidRPr="00EA3CB6">
        <w:rPr>
          <w:sz w:val="24"/>
          <w:lang w:val="cs-CZ"/>
        </w:rPr>
        <w:t>.</w:t>
      </w:r>
    </w:p>
  </w:footnote>
  <w:footnote w:id="17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317, </w:t>
      </w:r>
      <w:proofErr w:type="gramStart"/>
      <w:r w:rsidRPr="00EA3CB6">
        <w:rPr>
          <w:sz w:val="24"/>
          <w:lang w:val="cs-CZ"/>
        </w:rPr>
        <w:t>15.12.2000</w:t>
      </w:r>
      <w:proofErr w:type="gramEnd"/>
      <w:r w:rsidRPr="00EA3CB6">
        <w:rPr>
          <w:sz w:val="24"/>
          <w:lang w:val="cs-CZ"/>
        </w:rPr>
        <w:t>, s. 3.</w:t>
      </w:r>
    </w:p>
  </w:footnote>
  <w:footnote w:id="18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287, </w:t>
      </w:r>
      <w:proofErr w:type="gramStart"/>
      <w:r w:rsidRPr="00EA3CB6">
        <w:rPr>
          <w:sz w:val="24"/>
          <w:lang w:val="cs-CZ"/>
        </w:rPr>
        <w:t>4.11.2010</w:t>
      </w:r>
      <w:proofErr w:type="gramEnd"/>
      <w:r w:rsidRPr="00EA3CB6">
        <w:rPr>
          <w:sz w:val="24"/>
          <w:lang w:val="cs-CZ"/>
        </w:rPr>
        <w:t>, s. 3.</w:t>
      </w:r>
    </w:p>
  </w:footnote>
  <w:footnote w:id="19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 344, </w:t>
      </w:r>
      <w:proofErr w:type="gramStart"/>
      <w:r w:rsidRPr="00EA3CB6">
        <w:rPr>
          <w:sz w:val="24"/>
          <w:lang w:val="cs-CZ"/>
        </w:rPr>
        <w:t>19.12.2013</w:t>
      </w:r>
      <w:proofErr w:type="gramEnd"/>
      <w:r w:rsidRPr="00EA3CB6">
        <w:rPr>
          <w:sz w:val="24"/>
          <w:lang w:val="cs-CZ"/>
        </w:rPr>
        <w:t>, s. 1.</w:t>
      </w:r>
    </w:p>
  </w:footnote>
  <w:footnote w:id="20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355, </w:t>
      </w:r>
      <w:proofErr w:type="gramStart"/>
      <w:r w:rsidRPr="00EA3CB6">
        <w:rPr>
          <w:sz w:val="24"/>
          <w:lang w:val="cs-CZ"/>
        </w:rPr>
        <w:t>7.10.2021</w:t>
      </w:r>
      <w:proofErr w:type="gramEnd"/>
      <w:r w:rsidRPr="00EA3CB6">
        <w:rPr>
          <w:sz w:val="24"/>
          <w:lang w:val="cs-CZ"/>
        </w:rPr>
        <w:t>, s. 6.</w:t>
      </w:r>
    </w:p>
  </w:footnote>
  <w:footnote w:id="21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 L 156, </w:t>
      </w:r>
      <w:proofErr w:type="gramStart"/>
      <w:r w:rsidRPr="00EA3CB6">
        <w:rPr>
          <w:sz w:val="24"/>
          <w:lang w:val="cs-CZ"/>
        </w:rPr>
        <w:t>29.5.1998</w:t>
      </w:r>
      <w:proofErr w:type="gramEnd"/>
      <w:r w:rsidRPr="00EA3CB6">
        <w:rPr>
          <w:sz w:val="24"/>
          <w:lang w:val="cs-CZ"/>
        </w:rPr>
        <w:t>, s. 108.</w:t>
      </w:r>
    </w:p>
  </w:footnote>
  <w:footnote w:id="22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317, </w:t>
      </w:r>
      <w:proofErr w:type="gramStart"/>
      <w:r w:rsidRPr="00EA3CB6">
        <w:rPr>
          <w:sz w:val="24"/>
          <w:lang w:val="cs-CZ"/>
        </w:rPr>
        <w:t>15.12.20</w:t>
      </w:r>
      <w:r w:rsidR="001C6D00">
        <w:rPr>
          <w:sz w:val="24"/>
          <w:lang w:val="cs-CZ"/>
        </w:rPr>
        <w:t>0</w:t>
      </w:r>
      <w:r w:rsidRPr="00EA3CB6">
        <w:rPr>
          <w:sz w:val="24"/>
          <w:lang w:val="cs-CZ"/>
        </w:rPr>
        <w:t>0</w:t>
      </w:r>
      <w:proofErr w:type="gramEnd"/>
      <w:r w:rsidRPr="00EA3CB6">
        <w:rPr>
          <w:sz w:val="24"/>
          <w:lang w:val="cs-CZ"/>
        </w:rPr>
        <w:t>, s. 355.</w:t>
      </w:r>
    </w:p>
  </w:footnote>
  <w:footnote w:id="23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 210, </w:t>
      </w:r>
      <w:proofErr w:type="gramStart"/>
      <w:r w:rsidRPr="00EA3CB6">
        <w:rPr>
          <w:sz w:val="24"/>
          <w:lang w:val="cs-CZ"/>
        </w:rPr>
        <w:t>6.8.2013</w:t>
      </w:r>
      <w:proofErr w:type="gramEnd"/>
      <w:r w:rsidRPr="00EA3CB6">
        <w:rPr>
          <w:sz w:val="24"/>
          <w:lang w:val="cs-CZ"/>
        </w:rPr>
        <w:t>, s. 1.</w:t>
      </w:r>
    </w:p>
  </w:footnote>
  <w:footnote w:id="24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 L 191, </w:t>
      </w:r>
      <w:proofErr w:type="gramStart"/>
      <w:r w:rsidRPr="00EA3CB6">
        <w:rPr>
          <w:sz w:val="24"/>
          <w:lang w:val="cs-CZ"/>
        </w:rPr>
        <w:t>7.7.1998</w:t>
      </w:r>
      <w:proofErr w:type="gramEnd"/>
      <w:r w:rsidRPr="00EA3CB6">
        <w:rPr>
          <w:sz w:val="24"/>
          <w:lang w:val="cs-CZ"/>
        </w:rPr>
        <w:t>, s. 53.</w:t>
      </w:r>
    </w:p>
  </w:footnote>
  <w:footnote w:id="25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83, </w:t>
      </w:r>
      <w:proofErr w:type="gramStart"/>
      <w:r w:rsidRPr="00EA3CB6">
        <w:rPr>
          <w:sz w:val="24"/>
          <w:lang w:val="cs-CZ"/>
        </w:rPr>
        <w:t>1.4.2003</w:t>
      </w:r>
      <w:proofErr w:type="gramEnd"/>
      <w:r w:rsidRPr="00EA3CB6">
        <w:rPr>
          <w:sz w:val="24"/>
          <w:lang w:val="cs-CZ"/>
        </w:rPr>
        <w:t>, s. 1.</w:t>
      </w:r>
    </w:p>
  </w:footnote>
  <w:footnote w:id="26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78, </w:t>
      </w:r>
      <w:proofErr w:type="gramStart"/>
      <w:r w:rsidRPr="00EA3CB6">
        <w:rPr>
          <w:sz w:val="24"/>
          <w:lang w:val="cs-CZ"/>
        </w:rPr>
        <w:t>19.3.2008</w:t>
      </w:r>
      <w:proofErr w:type="gramEnd"/>
      <w:r w:rsidRPr="00EA3CB6">
        <w:rPr>
          <w:sz w:val="24"/>
          <w:lang w:val="cs-CZ"/>
        </w:rPr>
        <w:t>, s. 1.</w:t>
      </w:r>
    </w:p>
  </w:footnote>
  <w:footnote w:id="27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 L 58, </w:t>
      </w:r>
      <w:proofErr w:type="gramStart"/>
      <w:r w:rsidRPr="00EA3CB6">
        <w:rPr>
          <w:sz w:val="24"/>
          <w:lang w:val="cs-CZ"/>
        </w:rPr>
        <w:t>3.3.2015</w:t>
      </w:r>
      <w:proofErr w:type="gramEnd"/>
      <w:r w:rsidRPr="00EA3CB6">
        <w:rPr>
          <w:sz w:val="24"/>
          <w:lang w:val="cs-CZ"/>
        </w:rPr>
        <w:t>, s. 17.</w:t>
      </w:r>
    </w:p>
  </w:footnote>
  <w:footnote w:id="28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 L 307, </w:t>
      </w:r>
      <w:proofErr w:type="gramStart"/>
      <w:r w:rsidRPr="00EA3CB6">
        <w:rPr>
          <w:sz w:val="24"/>
          <w:lang w:val="cs-CZ"/>
        </w:rPr>
        <w:t>3.12.2018</w:t>
      </w:r>
      <w:proofErr w:type="gramEnd"/>
      <w:r w:rsidRPr="00EA3CB6">
        <w:rPr>
          <w:sz w:val="24"/>
          <w:lang w:val="cs-CZ"/>
        </w:rPr>
        <w:t>, s. 1.</w:t>
      </w:r>
    </w:p>
  </w:footnote>
  <w:footnote w:id="29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r w:rsidRPr="00EA3CB6">
        <w:rPr>
          <w:sz w:val="24"/>
          <w:lang w:val="cs-CZ"/>
        </w:rPr>
        <w:t>Nařízení Rady (EU) 2018/1877 ze dne 26. listopadu 2018 o finančním nařízení pro 11. Evropský rozvojový fond a o zrušení nařízení (EU) 2015/323 (</w:t>
      </w:r>
      <w:proofErr w:type="spellStart"/>
      <w:r w:rsidRPr="00EA3CB6">
        <w:rPr>
          <w:sz w:val="24"/>
          <w:lang w:val="cs-CZ"/>
        </w:rPr>
        <w:t>Úř</w:t>
      </w:r>
      <w:proofErr w:type="spellEnd"/>
      <w:r w:rsidRPr="00EA3CB6">
        <w:rPr>
          <w:sz w:val="24"/>
          <w:lang w:val="cs-CZ"/>
        </w:rPr>
        <w:t xml:space="preserve">. </w:t>
      </w:r>
      <w:proofErr w:type="spellStart"/>
      <w:proofErr w:type="gramStart"/>
      <w:r w:rsidRPr="00EA3CB6">
        <w:rPr>
          <w:sz w:val="24"/>
          <w:lang w:val="cs-CZ"/>
        </w:rPr>
        <w:t>věst</w:t>
      </w:r>
      <w:proofErr w:type="spellEnd"/>
      <w:proofErr w:type="gramEnd"/>
      <w:r w:rsidRPr="00EA3CB6">
        <w:rPr>
          <w:sz w:val="24"/>
          <w:lang w:val="cs-CZ"/>
        </w:rPr>
        <w:t xml:space="preserve">. L 307, </w:t>
      </w:r>
      <w:proofErr w:type="gramStart"/>
      <w:r w:rsidRPr="00EA3CB6">
        <w:rPr>
          <w:sz w:val="24"/>
          <w:lang w:val="cs-CZ"/>
        </w:rPr>
        <w:t>3.12.2018</w:t>
      </w:r>
      <w:proofErr w:type="gramEnd"/>
      <w:r w:rsidRPr="00EA3CB6">
        <w:rPr>
          <w:sz w:val="24"/>
          <w:lang w:val="cs-CZ"/>
        </w:rPr>
        <w:t>, s. 1).</w:t>
      </w:r>
    </w:p>
  </w:footnote>
  <w:footnote w:id="30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r w:rsidRPr="00EA3CB6">
        <w:rPr>
          <w:sz w:val="24"/>
          <w:lang w:val="cs-CZ"/>
        </w:rPr>
        <w:t>Benin, Botswana, Burkina Faso, Džibutsko, Etiopie, Fidži, Gabon, Svatý Tomáš a Princův ostrov, Guinea-Bissau, Haiti, Pobřeží slonoviny, Libérie, Madagaskar, Malawi, Nigérie, Tanzanie, Gambie, Togo, Uganda a Zimbabwe.</w:t>
      </w:r>
    </w:p>
  </w:footnote>
  <w:footnote w:id="31">
    <w:p w:rsidR="00E44451" w:rsidRPr="00EA3CB6" w:rsidRDefault="00E44451" w:rsidP="00EA3CB6">
      <w:pPr>
        <w:pStyle w:val="FootnoteText"/>
        <w:ind w:left="567" w:hanging="567"/>
        <w:rPr>
          <w:sz w:val="24"/>
          <w:lang w:val="cs-CZ"/>
        </w:rPr>
      </w:pPr>
      <w:r w:rsidRPr="00EA3CB6">
        <w:rPr>
          <w:rStyle w:val="FootnoteReference"/>
          <w:sz w:val="24"/>
          <w:lang w:val="cs-CZ"/>
        </w:rPr>
        <w:footnoteRef/>
      </w:r>
      <w:r w:rsidR="00EA3CB6" w:rsidRPr="00EA3CB6">
        <w:rPr>
          <w:sz w:val="24"/>
          <w:lang w:val="cs-CZ"/>
        </w:rPr>
        <w:t xml:space="preserve"> </w:t>
      </w:r>
      <w:r w:rsidR="00EA3CB6" w:rsidRPr="00EA3CB6">
        <w:rPr>
          <w:sz w:val="24"/>
          <w:lang w:val="cs-CZ"/>
        </w:rPr>
        <w:tab/>
      </w:r>
      <w:r w:rsidRPr="00EA3CB6">
        <w:rPr>
          <w:sz w:val="24"/>
          <w:lang w:val="cs-CZ"/>
        </w:rPr>
        <w:t xml:space="preserve">Zvláštní zpráva Účetního dvora </w:t>
      </w:r>
      <w:r w:rsidR="001C6D00">
        <w:rPr>
          <w:sz w:val="24"/>
          <w:lang w:val="cs-CZ"/>
        </w:rPr>
        <w:t xml:space="preserve">č. </w:t>
      </w:r>
      <w:r w:rsidRPr="00EA3CB6">
        <w:rPr>
          <w:sz w:val="24"/>
          <w:lang w:val="cs-CZ"/>
        </w:rPr>
        <w:t>25/2019: Kvalita údajů v rozpočtové podpoře: nedostatky v některých ukazatelích a v ověřování platby variabilních tranší.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3C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3C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3C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0/2024"/>
    <w:docVar w:name="dvlangue" w:val="CS"/>
    <w:docVar w:name="dvnumam" w:val="0"/>
    <w:docVar w:name="dvpe" w:val="753.512"/>
    <w:docVar w:name="dvrapporteur" w:val="Zpravodaj: "/>
    <w:docVar w:name="dvtitre" w:val="1. Rozhodnutí Evropského parlamentu ze dne 11. dubna 2024 o udělení absolutoria za plnění rozpočtu devátého, desátého a jedenáctého Evropského rozvojového fondu na rozpočtový rok 2022(2023/2183(DEC))"/>
  </w:docVars>
  <w:rsids>
    <w:rsidRoot w:val="008B74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D00"/>
    <w:rsid w:val="001F32AE"/>
    <w:rsid w:val="002767FF"/>
    <w:rsid w:val="002B18FE"/>
    <w:rsid w:val="002B5493"/>
    <w:rsid w:val="00343214"/>
    <w:rsid w:val="00361C00"/>
    <w:rsid w:val="00395FA1"/>
    <w:rsid w:val="003B3525"/>
    <w:rsid w:val="003E15D4"/>
    <w:rsid w:val="003F34C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7E4"/>
    <w:rsid w:val="005C2568"/>
    <w:rsid w:val="006037C0"/>
    <w:rsid w:val="0065078B"/>
    <w:rsid w:val="006631B6"/>
    <w:rsid w:val="00680577"/>
    <w:rsid w:val="006C187E"/>
    <w:rsid w:val="006F74FA"/>
    <w:rsid w:val="00714BC0"/>
    <w:rsid w:val="0071648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C83"/>
    <w:rsid w:val="00865F67"/>
    <w:rsid w:val="00881A7B"/>
    <w:rsid w:val="008840E5"/>
    <w:rsid w:val="00884ACA"/>
    <w:rsid w:val="00887B3E"/>
    <w:rsid w:val="008B742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49E"/>
    <w:rsid w:val="00C61C0C"/>
    <w:rsid w:val="00C941CB"/>
    <w:rsid w:val="00CC2357"/>
    <w:rsid w:val="00CF071A"/>
    <w:rsid w:val="00D058B8"/>
    <w:rsid w:val="00D122E1"/>
    <w:rsid w:val="00D56C11"/>
    <w:rsid w:val="00D834A0"/>
    <w:rsid w:val="00D872DF"/>
    <w:rsid w:val="00D91E21"/>
    <w:rsid w:val="00DA7FCD"/>
    <w:rsid w:val="00E05C49"/>
    <w:rsid w:val="00E20B63"/>
    <w:rsid w:val="00E365E1"/>
    <w:rsid w:val="00E44451"/>
    <w:rsid w:val="00E820A4"/>
    <w:rsid w:val="00EA3CB6"/>
    <w:rsid w:val="00EB006A"/>
    <w:rsid w:val="00EB4772"/>
    <w:rsid w:val="00ED169E"/>
    <w:rsid w:val="00ED4235"/>
    <w:rsid w:val="00EE6BE5"/>
    <w:rsid w:val="00F04346"/>
    <w:rsid w:val="00F075DC"/>
    <w:rsid w:val="00F149E9"/>
    <w:rsid w:val="00F5134D"/>
    <w:rsid w:val="00F74202"/>
    <w:rsid w:val="00F87713"/>
    <w:rsid w:val="00FB4360"/>
    <w:rsid w:val="00FD0C70"/>
    <w:rsid w:val="00FF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DC2779"/>
  <w15:chartTrackingRefBased/>
  <w15:docId w15:val="{63DA63F2-2F11-48C5-8EDB-EE1300D3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444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44451"/>
    <w:pPr>
      <w:spacing w:before="480" w:after="240"/>
    </w:pPr>
  </w:style>
  <w:style w:type="paragraph" w:customStyle="1" w:styleId="PageHeading">
    <w:name w:val="PageHeading"/>
    <w:basedOn w:val="Normal"/>
    <w:rsid w:val="00E444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44451"/>
    <w:rPr>
      <w:b/>
    </w:rPr>
  </w:style>
  <w:style w:type="paragraph" w:customStyle="1" w:styleId="NormalHanging12a">
    <w:name w:val="NormalHanging12a"/>
    <w:basedOn w:val="Normal"/>
    <w:link w:val="NormalHanging12aChar"/>
    <w:rsid w:val="00E44451"/>
    <w:pPr>
      <w:spacing w:after="240"/>
      <w:ind w:left="567" w:hanging="567"/>
    </w:pPr>
  </w:style>
  <w:style w:type="paragraph" w:customStyle="1" w:styleId="EPFooter">
    <w:name w:val="EPFooter"/>
    <w:basedOn w:val="Normal"/>
    <w:rsid w:val="00E4445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E444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44451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locked/>
    <w:rsid w:val="00E44451"/>
    <w:rPr>
      <w:sz w:val="24"/>
      <w:lang w:val="cs-CZ"/>
    </w:rPr>
  </w:style>
  <w:style w:type="character" w:styleId="Hyperlink">
    <w:name w:val="Hyperlink"/>
    <w:basedOn w:val="DefaultParagraphFont"/>
    <w:rsid w:val="00E4445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6507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078B"/>
    <w:rPr>
      <w:rFonts w:ascii="Segoe UI" w:hAnsi="Segoe UI" w:cs="Segoe UI"/>
      <w:sz w:val="18"/>
      <w:szCs w:val="18"/>
      <w:lang w:val="cs-CZ"/>
    </w:rPr>
  </w:style>
  <w:style w:type="paragraph" w:styleId="Footer">
    <w:name w:val="footer"/>
    <w:basedOn w:val="Normal"/>
    <w:link w:val="FooterChar"/>
    <w:rsid w:val="006507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5078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F4C22-AABF-4ED2-B8BE-A3108D6DA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6425</Words>
  <Characters>36195</Characters>
  <Application>Microsoft Office Word</Application>
  <DocSecurity>0</DocSecurity>
  <Lines>301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Karina Pesa</cp:lastModifiedBy>
  <cp:revision>3</cp:revision>
  <cp:lastPrinted>2004-11-19T15:42:00Z</cp:lastPrinted>
  <dcterms:created xsi:type="dcterms:W3CDTF">2024-05-15T12:33:00Z</dcterms:created>
  <dcterms:modified xsi:type="dcterms:W3CDTF">2024-10-30T18:51:00Z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P9_TA(2024)0279_</vt:lpwstr>
  </property>
  <property fmtid="{D5CDD505-2E9C-101B-9397-08002B2CF9AE}" pid="4" name="&lt;Type&gt;">
    <vt:lpwstr>RR</vt:lpwstr>
  </property>
</Properties>
</file>