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2E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2E11" w:rsidRDefault="00956325" w:rsidP="0010095E">
            <w:pPr>
              <w:pStyle w:val="EPName"/>
            </w:pPr>
            <w:r w:rsidRPr="00412E11">
              <w:t>Európai Parlament</w:t>
            </w:r>
          </w:p>
          <w:p w:rsidR="00751A4A" w:rsidRPr="00412E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2E1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12E11" w:rsidRDefault="00187494" w:rsidP="0010095E">
            <w:pPr>
              <w:pStyle w:val="EPLogo"/>
            </w:pPr>
            <w:r w:rsidRPr="00412E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2E11" w:rsidRDefault="00D058B8" w:rsidP="004C5D52">
      <w:pPr>
        <w:pStyle w:val="LineTop"/>
      </w:pPr>
    </w:p>
    <w:p w:rsidR="00680577" w:rsidRPr="00412E11" w:rsidRDefault="00956325" w:rsidP="00680577">
      <w:pPr>
        <w:pStyle w:val="EPBodyTA1"/>
      </w:pPr>
      <w:r w:rsidRPr="00412E11">
        <w:t>ELFOGADOTT SZÖVEGEK</w:t>
      </w:r>
    </w:p>
    <w:p w:rsidR="00D058B8" w:rsidRPr="00412E11" w:rsidRDefault="00D058B8" w:rsidP="00D058B8">
      <w:pPr>
        <w:pStyle w:val="LineBottom"/>
      </w:pPr>
    </w:p>
    <w:p w:rsidR="00956325" w:rsidRPr="00412E11" w:rsidRDefault="00956325" w:rsidP="00956325">
      <w:pPr>
        <w:pStyle w:val="ATHeading1"/>
      </w:pPr>
      <w:bookmarkStart w:id="0" w:name="TANumber"/>
      <w:r w:rsidRPr="00412E11">
        <w:t>P9_</w:t>
      </w:r>
      <w:proofErr w:type="gramStart"/>
      <w:r w:rsidRPr="00412E11">
        <w:t>TA(</w:t>
      </w:r>
      <w:proofErr w:type="gramEnd"/>
      <w:r w:rsidRPr="00412E11">
        <w:t>2024)0</w:t>
      </w:r>
      <w:r w:rsidR="00B90DE7" w:rsidRPr="00412E11">
        <w:t>279</w:t>
      </w:r>
      <w:bookmarkEnd w:id="0"/>
    </w:p>
    <w:p w:rsidR="00956325" w:rsidRPr="00412E11" w:rsidRDefault="003907AF" w:rsidP="00956325">
      <w:pPr>
        <w:pStyle w:val="ATHeading2"/>
      </w:pPr>
      <w:r w:rsidRPr="00412E11">
        <w:rPr>
          <w:bCs/>
        </w:rPr>
        <w:t>2022. évi mentesítés: az EU általános költségvetése - (9</w:t>
      </w:r>
      <w:proofErr w:type="gramStart"/>
      <w:r w:rsidRPr="00412E11">
        <w:rPr>
          <w:bCs/>
        </w:rPr>
        <w:t>.,</w:t>
      </w:r>
      <w:proofErr w:type="gramEnd"/>
      <w:r w:rsidRPr="00412E11">
        <w:rPr>
          <w:bCs/>
        </w:rPr>
        <w:t xml:space="preserve"> 10. és 11.) EFA</w:t>
      </w:r>
    </w:p>
    <w:p w:rsidR="00956325" w:rsidRPr="00412E11" w:rsidRDefault="00956325" w:rsidP="00956325">
      <w:pPr>
        <w:rPr>
          <w:i/>
          <w:vanish/>
        </w:rPr>
      </w:pPr>
      <w:r w:rsidRPr="00412E11">
        <w:rPr>
          <w:i/>
        </w:rPr>
        <w:fldChar w:fldCharType="begin"/>
      </w:r>
      <w:r w:rsidRPr="00412E11">
        <w:rPr>
          <w:i/>
        </w:rPr>
        <w:instrText xml:space="preserve"> TC"(</w:instrText>
      </w:r>
      <w:bookmarkStart w:id="1" w:name="DocNumber"/>
      <w:r w:rsidRPr="00412E11">
        <w:rPr>
          <w:i/>
        </w:rPr>
        <w:instrText>A9-0110/2024</w:instrText>
      </w:r>
      <w:bookmarkEnd w:id="1"/>
      <w:r w:rsidRPr="00412E11">
        <w:rPr>
          <w:i/>
        </w:rPr>
        <w:instrText xml:space="preserve"> - Előadó: Joachim </w:instrText>
      </w:r>
      <w:proofErr w:type="spellStart"/>
      <w:r w:rsidRPr="00412E11">
        <w:rPr>
          <w:i/>
        </w:rPr>
        <w:instrText>Kuhs</w:instrText>
      </w:r>
      <w:proofErr w:type="spellEnd"/>
      <w:r w:rsidRPr="00412E11">
        <w:rPr>
          <w:i/>
        </w:rPr>
        <w:instrText xml:space="preserve">)"\l3 \n&gt; \* MERGEFORMAT </w:instrText>
      </w:r>
      <w:r w:rsidRPr="00412E11">
        <w:rPr>
          <w:i/>
        </w:rPr>
        <w:fldChar w:fldCharType="end"/>
      </w:r>
    </w:p>
    <w:p w:rsidR="00956325" w:rsidRPr="00412E11" w:rsidRDefault="00956325" w:rsidP="00956325">
      <w:pPr>
        <w:rPr>
          <w:vanish/>
        </w:rPr>
      </w:pPr>
      <w:bookmarkStart w:id="2" w:name="Commission"/>
      <w:r w:rsidRPr="00412E11">
        <w:rPr>
          <w:vanish/>
        </w:rPr>
        <w:t>Költségvetési Ellenőrző Bizottság</w:t>
      </w:r>
      <w:bookmarkEnd w:id="2"/>
    </w:p>
    <w:p w:rsidR="00956325" w:rsidRPr="00412E11" w:rsidRDefault="00956325" w:rsidP="00956325">
      <w:pPr>
        <w:rPr>
          <w:vanish/>
        </w:rPr>
      </w:pPr>
      <w:bookmarkStart w:id="3" w:name="PE"/>
      <w:r w:rsidRPr="00412E11">
        <w:rPr>
          <w:vanish/>
        </w:rPr>
        <w:t>PE753.512</w:t>
      </w:r>
      <w:bookmarkEnd w:id="3"/>
    </w:p>
    <w:p w:rsidR="00956325" w:rsidRPr="00412E11" w:rsidRDefault="003907AF" w:rsidP="00956325">
      <w:pPr>
        <w:pStyle w:val="ATHeading3"/>
      </w:pPr>
      <w:bookmarkStart w:id="4" w:name="Sujet"/>
      <w:r w:rsidRPr="00412E11">
        <w:t xml:space="preserve">1. </w:t>
      </w:r>
      <w:r w:rsidR="00956325" w:rsidRPr="00412E11">
        <w:t xml:space="preserve">Az Európai Parlament 2024. </w:t>
      </w:r>
      <w:r w:rsidRPr="00412E11">
        <w:t>április 11</w:t>
      </w:r>
      <w:r w:rsidR="00956325" w:rsidRPr="00412E11">
        <w:t>-i határozata a kilencedik, tizedik és tizenegyedik Európai Fejlesztési Alap 2022. évi pénzügyi évre szóló költségvetésének végrehajtására vonatkozó mentesítésről</w:t>
      </w:r>
      <w:bookmarkEnd w:id="4"/>
      <w:r w:rsidR="00956325" w:rsidRPr="00412E11">
        <w:t xml:space="preserve"> </w:t>
      </w:r>
      <w:bookmarkStart w:id="5" w:name="References"/>
      <w:r w:rsidR="00956325" w:rsidRPr="00412E11">
        <w:t>(2023/</w:t>
      </w:r>
      <w:proofErr w:type="gramStart"/>
      <w:r w:rsidR="00956325" w:rsidRPr="00412E11">
        <w:t>2183(</w:t>
      </w:r>
      <w:proofErr w:type="gramEnd"/>
      <w:r w:rsidR="00956325" w:rsidRPr="00412E11">
        <w:t>DEC))</w:t>
      </w:r>
      <w:bookmarkEnd w:id="5"/>
    </w:p>
    <w:p w:rsidR="00E46C5F" w:rsidRPr="00412E11" w:rsidRDefault="00E46C5F" w:rsidP="00E46C5F">
      <w:pPr>
        <w:pStyle w:val="EPComma"/>
      </w:pPr>
      <w:bookmarkStart w:id="6" w:name="TextBodyBegin"/>
      <w:bookmarkEnd w:id="6"/>
      <w:r w:rsidRPr="00412E11">
        <w:rPr>
          <w:i/>
        </w:rPr>
        <w:t>Az Európai Parlament</w:t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kilencedik, tizedik és tizenegyedik Európai Fejlesztési Alap 2022. évi pénzügyi évre vonatkozó pénzügyi kimutatásaira, valamint bevételi és kiadási kimutatásaira (</w:t>
      </w:r>
      <w:proofErr w:type="gramStart"/>
      <w:r w:rsidRPr="00412E11">
        <w:t>COM(</w:t>
      </w:r>
      <w:proofErr w:type="gramEnd"/>
      <w:r w:rsidRPr="00412E11">
        <w:t>2023)0392 – C9-0302/2023),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Európai Fejlesztési Alapokkal kapcsolatos pénzügyi </w:t>
      </w:r>
      <w:proofErr w:type="gramStart"/>
      <w:r w:rsidRPr="00412E11">
        <w:t>információkra</w:t>
      </w:r>
      <w:proofErr w:type="gramEnd"/>
      <w:r w:rsidRPr="00412E11">
        <w:t xml:space="preserve"> (COM(2023)0392),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Számvevőszéknek a kilencedik, tizedik és tizenegyedik Európai Fejlesztési Alap által támogatott tevékenységekről szóló, a 2022. évi pénzügyi évre vonatkozó éves jelentésére, a Bizottság válaszaival együtt</w:t>
      </w:r>
      <w:r w:rsidRPr="00412E11">
        <w:rPr>
          <w:rStyle w:val="FootnoteReference"/>
        </w:rPr>
        <w:footnoteReference w:id="1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(EUMSZ) 287. cikke szerinti megbízhatósági nyilatkozatára</w:t>
      </w:r>
      <w:r w:rsidRPr="00412E11">
        <w:rPr>
          <w:rStyle w:val="FootnoteReference"/>
        </w:rPr>
        <w:footnoteReference w:id="2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Európai Fejlesztési Alapok 2022. évi pénzügyi évre vonatkozó tevékenységeinek végrehajtására vonatkozóan a Bizottságnak adandó </w:t>
      </w:r>
      <w:proofErr w:type="gramStart"/>
      <w:r w:rsidRPr="00412E11">
        <w:t>mentesítésről</w:t>
      </w:r>
      <w:proofErr w:type="gramEnd"/>
      <w:r w:rsidRPr="00412E11">
        <w:t xml:space="preserve"> szóló, 2024. február 22-i tanácsi ajánlásokra (</w:t>
      </w:r>
      <w:r w:rsidR="00502099" w:rsidRPr="00412E11">
        <w:t>05889/2024 – C9</w:t>
      </w:r>
      <w:r w:rsidR="007A0992" w:rsidRPr="00412E11">
        <w:t>-</w:t>
      </w:r>
      <w:r w:rsidR="00502099" w:rsidRPr="00412E11">
        <w:t>0123/2024, 05891/2024 – C9</w:t>
      </w:r>
      <w:r w:rsidR="007A0992" w:rsidRPr="00412E11">
        <w:t>-</w:t>
      </w:r>
      <w:r w:rsidR="00502099" w:rsidRPr="00412E11">
        <w:t>0122/2024, 05892/2024 – C9</w:t>
      </w:r>
      <w:r w:rsidR="007A0992" w:rsidRPr="00412E11">
        <w:t>-</w:t>
      </w:r>
      <w:r w:rsidR="00502099" w:rsidRPr="00412E11">
        <w:t>0124/2024</w:t>
      </w:r>
      <w:r w:rsidRPr="00412E11">
        <w:t>),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Bizottság által benyújtott, a 2021. évi pénzügyi évre vonatkozó mentesítés nyomon követéséről szóló jelentésre (</w:t>
      </w:r>
      <w:proofErr w:type="gramStart"/>
      <w:r w:rsidRPr="00412E11">
        <w:t>COM(</w:t>
      </w:r>
      <w:proofErr w:type="gramEnd"/>
      <w:r w:rsidRPr="00412E11">
        <w:t>2023)</w:t>
      </w:r>
      <w:r w:rsidR="00BC0046" w:rsidRPr="00412E11">
        <w:t>0</w:t>
      </w:r>
      <w:r w:rsidRPr="00412E11">
        <w:t>384),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egyrészről az afrikai, karib-tengeri és csendes-óceáni államok (AKCS), másrészről az Európai Közösség és tagállamai közötti, 2000. június 23-án </w:t>
      </w:r>
      <w:proofErr w:type="spellStart"/>
      <w:r w:rsidRPr="00412E11">
        <w:t>Cotonouban</w:t>
      </w:r>
      <w:proofErr w:type="spellEnd"/>
      <w:r w:rsidRPr="00412E11">
        <w:t xml:space="preserve"> </w:t>
      </w:r>
      <w:r w:rsidRPr="00412E11">
        <w:lastRenderedPageBreak/>
        <w:t>(Benin) aláírt</w:t>
      </w:r>
      <w:r w:rsidRPr="00412E11">
        <w:rPr>
          <w:rStyle w:val="FootnoteReference"/>
        </w:rPr>
        <w:footnoteReference w:id="3"/>
      </w:r>
      <w:r w:rsidRPr="00412E11">
        <w:t xml:space="preserve"> és 2010. június 22-én Ouagadougouban (Burkina Faso) módosított partnerségi megállapodásra</w:t>
      </w:r>
      <w:r w:rsidRPr="00412E11">
        <w:rPr>
          <w:rStyle w:val="FootnoteReference"/>
        </w:rPr>
        <w:footnoteReference w:id="4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az Európai Unió és a tengerentúli országok és területek társulásáról szóló, 2013. november 25-i 2013/755/EU tanácsi határozatra („tengerentúli társulási határozat”)</w:t>
      </w:r>
      <w:r w:rsidRPr="00412E11">
        <w:rPr>
          <w:rStyle w:val="FootnoteReference"/>
        </w:rPr>
        <w:footnoteReference w:id="5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az Európai Unió és a tengerentúli országok és területek közötti, az egyrészről az Európai Unió, másrészről Grönland és a Dán Királyság közötti kapcsolatokat is magában foglaló társulásról szóló, 2021. október 5-i (EU) 2021/1764 tanácsi határozatra („a Grönlandra is kiterjedő tengerentúli társulásról szóló határozat”)</w:t>
      </w:r>
      <w:r w:rsidRPr="00412E11">
        <w:rPr>
          <w:rStyle w:val="FootnoteReference"/>
        </w:rPr>
        <w:footnoteReference w:id="6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 negyedik AKCS–EK egyezmény második pénzügyi jegyzőkönyve keretében nyújtott közösségi támogatás </w:t>
      </w:r>
      <w:proofErr w:type="gramStart"/>
      <w:r w:rsidRPr="00412E11">
        <w:t>finanszírozásáról</w:t>
      </w:r>
      <w:proofErr w:type="gramEnd"/>
      <w:r w:rsidRPr="00412E11">
        <w:t xml:space="preserve"> és igazgatásáról szóló, a tagállamok kormányainak a Tanács keretében ülésező képviselői között 1995. december 20-án létrejött belső megállapodás</w:t>
      </w:r>
      <w:r w:rsidRPr="00412E11">
        <w:rPr>
          <w:rStyle w:val="FootnoteReference"/>
        </w:rPr>
        <w:footnoteReference w:id="7"/>
      </w:r>
      <w:r w:rsidRPr="00412E11">
        <w:t xml:space="preserve"> 33. cikkére,</w:t>
      </w:r>
    </w:p>
    <w:p w:rsidR="00E46C5F" w:rsidRPr="00412E11" w:rsidRDefault="00E46C5F" w:rsidP="00E46C5F">
      <w:pPr>
        <w:pStyle w:val="NormalHanging12a"/>
      </w:pPr>
      <w:proofErr w:type="gramStart"/>
      <w:r w:rsidRPr="00412E11">
        <w:t>–</w:t>
      </w:r>
      <w:r w:rsidRPr="00412E11">
        <w:tab/>
        <w:t xml:space="preserve">tekintettel a tagállamok kormányainak a Tanács keretében ülésező képviselői közötti, a 2000. június 23-i, </w:t>
      </w:r>
      <w:proofErr w:type="spellStart"/>
      <w:r w:rsidRPr="00412E11">
        <w:t>Cotonouban</w:t>
      </w:r>
      <w:proofErr w:type="spellEnd"/>
      <w:r w:rsidRPr="00412E11">
        <w:t xml:space="preserve"> (Benin) aláírt, az afrikai, karibi és csendes-óceáni országok, valamint az Európai Közösség és tagállamai közötti partnerségi megállapodás pénzügyi jegyzőkönyve alapján nyújtandó közösségi támogatás finanszírozásáról és adminisztrációjáról, továbbá az EK-Szerződés negyedik részének hatálya alá tartozó tengerentúli országok és területek számára nyújtandó pénzügyi támogatás elosztásáról szóló, 2000. szeptember 18-i belső megállapodás</w:t>
      </w:r>
      <w:r w:rsidRPr="00412E11">
        <w:rPr>
          <w:rStyle w:val="FootnoteReference"/>
        </w:rPr>
        <w:footnoteReference w:id="8"/>
      </w:r>
      <w:r w:rsidRPr="00412E11">
        <w:t xml:space="preserve"> 32. cikkére,</w:t>
      </w:r>
      <w:proofErr w:type="gramEnd"/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Európai Unió tagállamai kormányainak a Tanács keretében ülésező képviselői közötti, az AKCS–EU partnerségi megállapodással összhangban a 2014–2020 közötti időtartamra szóló többéves pénzügyi keret értelmében nyújtandó európai uniós támogatás </w:t>
      </w:r>
      <w:proofErr w:type="gramStart"/>
      <w:r w:rsidRPr="00412E11">
        <w:t>finanszírozásáról</w:t>
      </w:r>
      <w:proofErr w:type="gramEnd"/>
      <w:r w:rsidRPr="00412E11">
        <w:t>, valamint az EUMSZ negyedik részének hatálya alá tartozó tengerentúli országok és területek számára nyújtandó pénzügyi támogatás elosztásáról szóló, 2013. június 24-i és 2013. június 26-i belső megállapodás</w:t>
      </w:r>
      <w:r w:rsidRPr="00412E11">
        <w:rPr>
          <w:rStyle w:val="FootnoteReference"/>
        </w:rPr>
        <w:footnoteReference w:id="9"/>
      </w:r>
      <w:r w:rsidRPr="00412E11">
        <w:t xml:space="preserve"> 11. 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az EUMSZ 319.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 negyedik AKCS–EU egyezmény értelmében folytatott fejlesztési </w:t>
      </w:r>
      <w:proofErr w:type="gramStart"/>
      <w:r w:rsidRPr="00412E11">
        <w:t>finanszírozási</w:t>
      </w:r>
      <w:proofErr w:type="gramEnd"/>
      <w:r w:rsidRPr="00412E11">
        <w:t xml:space="preserve"> együttműködésre vonatkozó, 1998. június 16-i pénzügyi szabályzat</w:t>
      </w:r>
      <w:r w:rsidRPr="00412E11">
        <w:rPr>
          <w:rStyle w:val="FootnoteReference"/>
        </w:rPr>
        <w:footnoteReference w:id="10"/>
      </w:r>
      <w:r w:rsidRPr="00412E11">
        <w:t xml:space="preserve"> 74.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kilencedik Európai Fejlesztési Alapra vonatkozó, 2003. március 27-i pénzügyi szabályzat</w:t>
      </w:r>
      <w:r w:rsidRPr="00412E11">
        <w:rPr>
          <w:rStyle w:val="FootnoteReference"/>
        </w:rPr>
        <w:footnoteReference w:id="11"/>
      </w:r>
      <w:r w:rsidRPr="00412E11">
        <w:t xml:space="preserve"> 119.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 10. Európai Fejlesztési Alapra alkalmazandó pénzügyi szabályzatról szóló, </w:t>
      </w:r>
      <w:r w:rsidRPr="00412E11">
        <w:lastRenderedPageBreak/>
        <w:t>2008. február 18-i 215/2008/EK tanácsi rendelet</w:t>
      </w:r>
      <w:r w:rsidRPr="00412E11">
        <w:rPr>
          <w:rStyle w:val="FootnoteReference"/>
        </w:rPr>
        <w:footnoteReference w:id="12"/>
      </w:r>
      <w:r w:rsidRPr="00412E11">
        <w:t xml:space="preserve"> 50.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11. Európai Fejlesztési Alapra alkalmazandó pénzügyi szabályzatról szóló, 2015. március 2-i (EU) 2015/323 tanácsi rendelet</w:t>
      </w:r>
      <w:r w:rsidRPr="00412E11">
        <w:rPr>
          <w:rStyle w:val="FootnoteReference"/>
        </w:rPr>
        <w:footnoteReference w:id="13"/>
      </w:r>
      <w:r w:rsidRPr="00412E11">
        <w:t xml:space="preserve"> 48.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11. Európai Fejlesztési Alapra alkalmazandó pénzügyi szabályzatról és az (EU) 2015/323 rendelet hatályon kívül helyezéséről szóló, 2018. november 26-i (EU) 2018/1877 tanácsi rendelet</w:t>
      </w:r>
      <w:r w:rsidRPr="00412E11">
        <w:rPr>
          <w:rStyle w:val="FootnoteReference"/>
        </w:rPr>
        <w:footnoteReference w:id="14"/>
      </w:r>
      <w:r w:rsidRPr="00412E11">
        <w:t xml:space="preserve"> 44.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eljárási szabályzata 99. cikkére és 100. cikke harmadik franciabekezdésére, valamint V. mellékletére,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Fejlesztési Bizottság véleményére,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Költségvetési Ellenőrző Bizottság jelentésére (A9-0110/2024),</w:t>
      </w:r>
    </w:p>
    <w:p w:rsidR="00E46C5F" w:rsidRPr="00412E11" w:rsidRDefault="00E46C5F" w:rsidP="00E46C5F">
      <w:pPr>
        <w:pStyle w:val="NormalHanging12a"/>
      </w:pPr>
      <w:r w:rsidRPr="00412E11">
        <w:t>1.</w:t>
      </w:r>
      <w:r w:rsidRPr="00412E11">
        <w:tab/>
      </w:r>
      <w:proofErr w:type="gramStart"/>
      <w:r w:rsidRPr="00412E11">
        <w:t>mentesítést</w:t>
      </w:r>
      <w:proofErr w:type="gramEnd"/>
      <w:r w:rsidRPr="00412E11">
        <w:t xml:space="preserve"> ad a Bizottság számára a kilencedik, tizedik és tizenegyedik Európai Fejlesztési Alap 2022. évi pénzügyi évre szóló költségvetésének végrehajtására vonatkozóan;</w:t>
      </w:r>
    </w:p>
    <w:p w:rsidR="00E46C5F" w:rsidRPr="00412E11" w:rsidRDefault="00E46C5F" w:rsidP="00E46C5F">
      <w:pPr>
        <w:pStyle w:val="NormalHanging12a"/>
      </w:pPr>
      <w:r w:rsidRPr="00412E11">
        <w:t>2.</w:t>
      </w:r>
      <w:r w:rsidRPr="00412E11">
        <w:tab/>
        <w:t>megjegyzéseit a mellékelt állásfoglalásban foglalja össze;</w:t>
      </w:r>
    </w:p>
    <w:p w:rsidR="00E46C5F" w:rsidRPr="00412E11" w:rsidRDefault="00E46C5F" w:rsidP="00E46C5F">
      <w:pPr>
        <w:pStyle w:val="NormalHanging12a"/>
      </w:pPr>
      <w:r w:rsidRPr="00412E11">
        <w:t>3.</w:t>
      </w:r>
      <w:r w:rsidRPr="00412E11">
        <w:tab/>
        <w:t>utasítja elnökét, hogy továbbítsa ezt a határozatot, valamint az annak szerves részét képező állásfoglalást a Tanácsnak, a Bizottságnak, a Számvevőszéknek és az Európai Beruházási Banknak</w:t>
      </w:r>
      <w:r w:rsidR="00BC0046" w:rsidRPr="00412E11">
        <w:t>,</w:t>
      </w:r>
      <w:r w:rsidRPr="00412E11">
        <w:t xml:space="preserve"> és gondoskodjon az </w:t>
      </w:r>
      <w:r w:rsidRPr="00412E11">
        <w:rPr>
          <w:i/>
        </w:rPr>
        <w:t>Európai Unió Hivatalos Lapjában</w:t>
      </w:r>
      <w:r w:rsidRPr="00412E11">
        <w:t xml:space="preserve"> (L sorozat) való közzétételükről.</w:t>
      </w:r>
    </w:p>
    <w:p w:rsidR="00E46C5F" w:rsidRPr="00412E11" w:rsidRDefault="00E46C5F" w:rsidP="00E46C5F"/>
    <w:p w:rsidR="00E46C5F" w:rsidRPr="00412E11" w:rsidRDefault="00E46C5F" w:rsidP="00E46C5F">
      <w:pPr>
        <w:pStyle w:val="PageHeading"/>
        <w:sectPr w:rsidR="00E46C5F" w:rsidRPr="00412E11" w:rsidSect="008F3F78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46C5F" w:rsidRPr="00412E11" w:rsidRDefault="00E46C5F" w:rsidP="00412E11">
      <w:pPr>
        <w:pStyle w:val="ATHeading3"/>
      </w:pPr>
      <w:bookmarkStart w:id="7" w:name="_Toc161395213"/>
      <w:bookmarkStart w:id="8" w:name="_Toc161925957"/>
      <w:r w:rsidRPr="00412E11">
        <w:lastRenderedPageBreak/>
        <w:t xml:space="preserve">2. </w:t>
      </w:r>
      <w:r w:rsidR="003907AF" w:rsidRPr="00412E11">
        <w:t xml:space="preserve">Az Európai Parlament 2024. április 11-i határozata </w:t>
      </w:r>
      <w:bookmarkEnd w:id="7"/>
      <w:bookmarkEnd w:id="8"/>
      <w:r w:rsidRPr="00412E11">
        <w:t>a kilencedik, tizedik és tizenegyedik Európai Fejlesztési Alap 2022. évi pénzügyi évre vonatkozó elszámolásának lezárásáról</w:t>
      </w:r>
      <w:r w:rsidR="003907AF" w:rsidRPr="00412E11">
        <w:t xml:space="preserve"> </w:t>
      </w:r>
      <w:r w:rsidRPr="00412E11">
        <w:t>(2023/</w:t>
      </w:r>
      <w:proofErr w:type="gramStart"/>
      <w:r w:rsidRPr="00412E11">
        <w:t>2183(</w:t>
      </w:r>
      <w:proofErr w:type="gramEnd"/>
      <w:r w:rsidRPr="00412E11">
        <w:t>DEC))</w:t>
      </w:r>
    </w:p>
    <w:p w:rsidR="00E46C5F" w:rsidRPr="00412E11" w:rsidRDefault="00E46C5F" w:rsidP="00E46C5F">
      <w:pPr>
        <w:pStyle w:val="EPComma"/>
      </w:pPr>
      <w:r w:rsidRPr="00412E11">
        <w:rPr>
          <w:i/>
        </w:rPr>
        <w:t>Az Európai Parlament</w:t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kilencedik, tizedik és tizenegyedik Európai Fejlesztési Alap 2022. évi pénzügyi évre vonatkozó pénzügyi kimutatásaira, valamint bevételi és kiadási kimutatásaira (</w:t>
      </w:r>
      <w:proofErr w:type="gramStart"/>
      <w:r w:rsidRPr="00412E11">
        <w:t>COM(</w:t>
      </w:r>
      <w:proofErr w:type="gramEnd"/>
      <w:r w:rsidRPr="00412E11">
        <w:t>2023)0392 – C9-0302/2023),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Európai Fejlesztési Alapokkal kapcsolatos pénzügyi </w:t>
      </w:r>
      <w:proofErr w:type="gramStart"/>
      <w:r w:rsidRPr="00412E11">
        <w:t>információkra</w:t>
      </w:r>
      <w:proofErr w:type="gramEnd"/>
      <w:r w:rsidRPr="00412E11">
        <w:t xml:space="preserve"> (COM(2023)0392),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Számvevőszéknek a kilencedik, tizedik és tizenegyedik Európai Fejlesztési Alap által támogatott tevékenységekről szóló, a 2022. évi pénzügyi évre vonatkozó éves jelentésére, a Bizottság válaszaival együtt</w:t>
      </w:r>
      <w:r w:rsidRPr="00412E11">
        <w:rPr>
          <w:rStyle w:val="FootnoteReference"/>
        </w:rPr>
        <w:footnoteReference w:id="15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(EUMSZ) 287. cikke szerinti megbízhatósági nyilatkozatára</w:t>
      </w:r>
      <w:r w:rsidRPr="00412E11">
        <w:rPr>
          <w:rStyle w:val="FootnoteReference"/>
        </w:rPr>
        <w:footnoteReference w:id="16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Európai Fejlesztési Alapok 2022. évi pénzügyi évre vonatkozó tevékenységeinek végrehajtására vonatkozóan a Bizottságnak adandó </w:t>
      </w:r>
      <w:proofErr w:type="gramStart"/>
      <w:r w:rsidRPr="00412E11">
        <w:t>mentesítésről</w:t>
      </w:r>
      <w:proofErr w:type="gramEnd"/>
      <w:r w:rsidRPr="00412E11">
        <w:t xml:space="preserve"> szóló, 2024. február 22-i tanácsi ajánlásokra (</w:t>
      </w:r>
      <w:r w:rsidR="00502099" w:rsidRPr="00412E11">
        <w:t>05889/2024 – C9</w:t>
      </w:r>
      <w:r w:rsidR="007A0992" w:rsidRPr="00412E11">
        <w:t>-</w:t>
      </w:r>
      <w:r w:rsidR="00502099" w:rsidRPr="00412E11">
        <w:t>0123/2024, 05891/2024 – C9</w:t>
      </w:r>
      <w:r w:rsidR="007A0992" w:rsidRPr="00412E11">
        <w:t>-</w:t>
      </w:r>
      <w:r w:rsidR="00502099" w:rsidRPr="00412E11">
        <w:t>0122/2024, 05892/2024 – C9</w:t>
      </w:r>
      <w:r w:rsidR="007A0992" w:rsidRPr="00412E11">
        <w:t>-</w:t>
      </w:r>
      <w:r w:rsidR="00502099" w:rsidRPr="00412E11">
        <w:t>0124/2024</w:t>
      </w:r>
      <w:r w:rsidRPr="00412E11">
        <w:t>),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Bizottság által benyújtott, a 2021. évi pénzügyi évre vonatkozó mentesítés nyomon követéséről szóló jelentésre (</w:t>
      </w:r>
      <w:proofErr w:type="gramStart"/>
      <w:r w:rsidRPr="00412E11">
        <w:t>COM(</w:t>
      </w:r>
      <w:proofErr w:type="gramEnd"/>
      <w:r w:rsidRPr="00412E11">
        <w:t>2023)</w:t>
      </w:r>
      <w:r w:rsidR="00BC0046" w:rsidRPr="00412E11">
        <w:t>0</w:t>
      </w:r>
      <w:r w:rsidRPr="00412E11">
        <w:t>384),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egyrészről az afrikai, karib-tengeri és csendes-óceáni államok (AKCS), másrészről az Európai Közösség és tagállamai közötti, 2000. június 23-án </w:t>
      </w:r>
      <w:proofErr w:type="spellStart"/>
      <w:r w:rsidRPr="00412E11">
        <w:t>Cotonouban</w:t>
      </w:r>
      <w:proofErr w:type="spellEnd"/>
      <w:r w:rsidRPr="00412E11">
        <w:t xml:space="preserve"> (Benin) aláírt</w:t>
      </w:r>
      <w:r w:rsidRPr="00412E11">
        <w:rPr>
          <w:rStyle w:val="FootnoteReference"/>
        </w:rPr>
        <w:footnoteReference w:id="17"/>
      </w:r>
      <w:r w:rsidRPr="00412E11">
        <w:t xml:space="preserve"> és 2010. június 22-én Ouagadougouban (Burkina Faso) módosított partnerségi megállapodásra</w:t>
      </w:r>
      <w:r w:rsidRPr="00412E11">
        <w:rPr>
          <w:rStyle w:val="FootnoteReference"/>
        </w:rPr>
        <w:footnoteReference w:id="18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az Európai Unió és a tengerentúli országok és területek társulásáról szóló, 2013. november 25-i 2013/755/EU tanácsi határozatra („tengerentúli társulási határozat”)</w:t>
      </w:r>
      <w:r w:rsidRPr="00412E11">
        <w:rPr>
          <w:rStyle w:val="FootnoteReference"/>
        </w:rPr>
        <w:footnoteReference w:id="19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az Európai Unió és a tengerentúli országok és területek közötti, az egyrészről az Európai Unió, másrészről Grönland és a Dán Királyság közötti kapcsolatokat is magában foglaló társulásról szóló, 2021. október 5-i (EU) 2021/1764 tanácsi határozatra („a Grönlandra is kiterjedő tengerentúli társulásról szóló határozat”)</w:t>
      </w:r>
      <w:r w:rsidRPr="00412E11">
        <w:rPr>
          <w:rStyle w:val="FootnoteReference"/>
        </w:rPr>
        <w:footnoteReference w:id="20"/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 negyedik AKCS–EK egyezmény második pénzügyi jegyzőkönyve </w:t>
      </w:r>
      <w:r w:rsidRPr="00412E11">
        <w:lastRenderedPageBreak/>
        <w:t xml:space="preserve">keretében nyújtott közösségi támogatás </w:t>
      </w:r>
      <w:proofErr w:type="gramStart"/>
      <w:r w:rsidRPr="00412E11">
        <w:t>finanszírozásáról</w:t>
      </w:r>
      <w:proofErr w:type="gramEnd"/>
      <w:r w:rsidRPr="00412E11">
        <w:t xml:space="preserve"> és igazgatásáról szóló, a tagállamok kormányainak a Tanács keretében ülésező képviselői között 1995. december 20-án létrejött belső megállapodás</w:t>
      </w:r>
      <w:r w:rsidRPr="00412E11">
        <w:rPr>
          <w:rStyle w:val="FootnoteReference"/>
        </w:rPr>
        <w:footnoteReference w:id="21"/>
      </w:r>
      <w:r w:rsidRPr="00412E11">
        <w:t xml:space="preserve"> 33. cikkére,</w:t>
      </w:r>
    </w:p>
    <w:p w:rsidR="00E46C5F" w:rsidRPr="00412E11" w:rsidRDefault="00E46C5F" w:rsidP="00E46C5F">
      <w:pPr>
        <w:pStyle w:val="NormalHanging12a"/>
      </w:pPr>
      <w:proofErr w:type="gramStart"/>
      <w:r w:rsidRPr="00412E11">
        <w:t>–</w:t>
      </w:r>
      <w:r w:rsidRPr="00412E11">
        <w:tab/>
        <w:t xml:space="preserve">tekintettel a tagállamok kormányainak a Tanács keretében ülésező képviselői közötti, a 2000. június 23-i, </w:t>
      </w:r>
      <w:proofErr w:type="spellStart"/>
      <w:r w:rsidRPr="00412E11">
        <w:t>Cotonouban</w:t>
      </w:r>
      <w:proofErr w:type="spellEnd"/>
      <w:r w:rsidRPr="00412E11">
        <w:t xml:space="preserve"> (Benin) aláírt, az afrikai, karibi és csendes-óceáni országok, valamint az Európai Közösség és tagállamai közötti partnerségi megállapodás pénzügyi jegyzőkönyve alapján nyújtandó közösségi támogatás finanszírozásáról és adminisztrációjáról, továbbá az EK-Szerződés negyedik részének hatálya alá tartozó tengerentúli országok és területek számára nyújtandó pénzügyi támogatás elosztásáról szóló, 2000. szeptember 18-i belső megállapodás</w:t>
      </w:r>
      <w:r w:rsidRPr="00412E11">
        <w:rPr>
          <w:rStyle w:val="FootnoteReference"/>
        </w:rPr>
        <w:footnoteReference w:id="22"/>
      </w:r>
      <w:r w:rsidRPr="00412E11">
        <w:t xml:space="preserve"> 32. cikkére,</w:t>
      </w:r>
      <w:proofErr w:type="gramEnd"/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Európai Unió tagállamai kormányainak a Tanács keretében ülésező képviselői közötti, az AKCS–EU partnerségi megállapodással összhangban a 2014–2020 közötti időtartamra szóló többéves pénzügyi keret értelmében nyújtandó európai uniós támogatás </w:t>
      </w:r>
      <w:proofErr w:type="gramStart"/>
      <w:r w:rsidRPr="00412E11">
        <w:t>finanszírozásáról</w:t>
      </w:r>
      <w:proofErr w:type="gramEnd"/>
      <w:r w:rsidRPr="00412E11">
        <w:t>, valamint az EUMSZ negyedik részének hatálya alá tartozó tengerentúli országok és területek számára nyújtandó pénzügyi támogatás elosztásáról szóló, 2013. június 24-i és 2013. június 26-i belső megállapodás</w:t>
      </w:r>
      <w:r w:rsidRPr="00412E11">
        <w:rPr>
          <w:rStyle w:val="FootnoteReference"/>
        </w:rPr>
        <w:footnoteReference w:id="23"/>
      </w:r>
      <w:r w:rsidRPr="00412E11">
        <w:t xml:space="preserve"> 11. 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az EUMSZ 319.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 negyedik AKCS–EU egyezmény értelmében folytatott fejlesztési </w:t>
      </w:r>
      <w:proofErr w:type="gramStart"/>
      <w:r w:rsidRPr="00412E11">
        <w:t>finanszírozási</w:t>
      </w:r>
      <w:proofErr w:type="gramEnd"/>
      <w:r w:rsidRPr="00412E11">
        <w:t xml:space="preserve"> együttműködésre vonatkozó, 1998. június 16-i pénzügyi szabályzat</w:t>
      </w:r>
      <w:r w:rsidRPr="00412E11">
        <w:rPr>
          <w:rStyle w:val="FootnoteReference"/>
        </w:rPr>
        <w:footnoteReference w:id="24"/>
      </w:r>
      <w:r w:rsidRPr="00412E11">
        <w:t xml:space="preserve"> 74.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kilencedik Európai Fejlesztési Alapra vonatkozó, 2003. március 27-i pénzügyi szabályzat</w:t>
      </w:r>
      <w:r w:rsidRPr="00412E11">
        <w:rPr>
          <w:rStyle w:val="FootnoteReference"/>
        </w:rPr>
        <w:footnoteReference w:id="25"/>
      </w:r>
      <w:r w:rsidRPr="00412E11">
        <w:t xml:space="preserve"> 119.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10. Európai Fejlesztési Alapra alkalmazandó pénzügyi szabályzatról szóló, 2008. február 18-i 215/2008/EK tanácsi rendelet</w:t>
      </w:r>
      <w:r w:rsidRPr="00412E11">
        <w:rPr>
          <w:rStyle w:val="FootnoteReference"/>
        </w:rPr>
        <w:footnoteReference w:id="26"/>
      </w:r>
      <w:r w:rsidRPr="00412E11">
        <w:t xml:space="preserve"> 50.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11. Európai Fejlesztési Alapra alkalmazandó pénzügyi szabályzatról szóló, 2015. március 2-i (EU) 2015/323 tanácsi rendelet</w:t>
      </w:r>
      <w:r w:rsidRPr="00412E11">
        <w:rPr>
          <w:rStyle w:val="FootnoteReference"/>
        </w:rPr>
        <w:footnoteReference w:id="27"/>
      </w:r>
      <w:r w:rsidRPr="00412E11">
        <w:t xml:space="preserve"> 48.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11. Európai Fejlesztési Alapra alkalmazandó pénzügyi szabályzatról és az (EU) 2015/323 rendelet hatályon kívül helyezéséről szóló, 2018. november 26-i (EU) 2018/1877 tanácsi rendelet</w:t>
      </w:r>
      <w:r w:rsidRPr="00412E11">
        <w:rPr>
          <w:rStyle w:val="FootnoteReference"/>
        </w:rPr>
        <w:footnoteReference w:id="28"/>
      </w:r>
      <w:r w:rsidRPr="00412E11">
        <w:t xml:space="preserve"> 44. cikkére,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eljárási szabályzata 99. cikkére és 100. cikke harmadik franciabekezdésére, valamint V. mellékletére,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Fejlesztési Bizottság véleményére,</w:t>
      </w:r>
    </w:p>
    <w:p w:rsidR="00E46C5F" w:rsidRPr="00412E11" w:rsidRDefault="00E46C5F" w:rsidP="00E46C5F">
      <w:pPr>
        <w:pStyle w:val="NormalHanging12a"/>
      </w:pPr>
      <w:r w:rsidRPr="00412E11">
        <w:lastRenderedPageBreak/>
        <w:t>–</w:t>
      </w:r>
      <w:r w:rsidRPr="00412E11">
        <w:tab/>
        <w:t>tekintettel a Költségvetési Ellenőrző Bizottság jelentésére (A9-0110/2024),</w:t>
      </w:r>
    </w:p>
    <w:p w:rsidR="00E46C5F" w:rsidRPr="00412E11" w:rsidRDefault="00E46C5F" w:rsidP="00E46C5F">
      <w:pPr>
        <w:pStyle w:val="NormalHanging12a"/>
      </w:pPr>
      <w:r w:rsidRPr="00412E11">
        <w:t>1.</w:t>
      </w:r>
      <w:r w:rsidRPr="00412E11">
        <w:tab/>
        <w:t>jóváhagyja a kilencedik, tizedik és tizenegyedik Európai Fejlesztési Alap 2022. évi pénzügyi évre vonatkozó elszámolásának lezárását;</w:t>
      </w:r>
    </w:p>
    <w:p w:rsidR="00E46C5F" w:rsidRPr="00412E11" w:rsidRDefault="00E46C5F" w:rsidP="00E46C5F">
      <w:pPr>
        <w:pStyle w:val="NormalHanging12a"/>
      </w:pPr>
      <w:r w:rsidRPr="00412E11">
        <w:t>2.</w:t>
      </w:r>
      <w:r w:rsidRPr="00412E11">
        <w:tab/>
        <w:t>utasítja elnökét, hogy továbbítsa ezt a határozatot a Tanácsnak, a Bizottságnak, a Számvevőszéknek és az Európai Beruházási Banknak</w:t>
      </w:r>
      <w:r w:rsidR="00BC0046" w:rsidRPr="00412E11">
        <w:t>,</w:t>
      </w:r>
      <w:r w:rsidRPr="00412E11">
        <w:t xml:space="preserve"> és gondoskodjon az </w:t>
      </w:r>
      <w:r w:rsidRPr="00412E11">
        <w:rPr>
          <w:i/>
        </w:rPr>
        <w:t>Európai Unió Hivatalos Lapjában</w:t>
      </w:r>
      <w:r w:rsidRPr="00412E11">
        <w:t xml:space="preserve"> (L sorozat) való közzétételéről.</w:t>
      </w:r>
    </w:p>
    <w:p w:rsidR="00E46C5F" w:rsidRPr="00412E11" w:rsidRDefault="00E46C5F" w:rsidP="00E46C5F"/>
    <w:p w:rsidR="00E46C5F" w:rsidRPr="00412E11" w:rsidRDefault="00E46C5F" w:rsidP="00E46C5F">
      <w:pPr>
        <w:pStyle w:val="PageHeading"/>
        <w:sectPr w:rsidR="00E46C5F" w:rsidRPr="00412E11" w:rsidSect="008F3F7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E46C5F" w:rsidRPr="00412E11" w:rsidRDefault="00E46C5F" w:rsidP="00412E11">
      <w:pPr>
        <w:pStyle w:val="ATHeading3"/>
      </w:pPr>
      <w:bookmarkStart w:id="9" w:name="_Toc161395214"/>
      <w:bookmarkStart w:id="10" w:name="_Toc161925958"/>
      <w:r w:rsidRPr="00412E11">
        <w:lastRenderedPageBreak/>
        <w:t xml:space="preserve">3. </w:t>
      </w:r>
      <w:r w:rsidR="003907AF" w:rsidRPr="00412E11">
        <w:t xml:space="preserve">Az Európai Parlament 2024. április 11-i állásfoglalása </w:t>
      </w:r>
      <w:bookmarkEnd w:id="9"/>
      <w:bookmarkEnd w:id="10"/>
      <w:r w:rsidRPr="00412E11">
        <w:t>a kilencedik, tizedik és tizenegyedik Európai Fejlesztési Alap 2022. évi pénzügyi évre szóló költségvetésének végrehajtására vonatkozó mentesítésről szóló határozat szerves részét képező megjegyzésekkel</w:t>
      </w:r>
      <w:r w:rsidR="003907AF" w:rsidRPr="00412E11">
        <w:t xml:space="preserve"> </w:t>
      </w:r>
      <w:r w:rsidRPr="00412E11">
        <w:t>(2023/</w:t>
      </w:r>
      <w:proofErr w:type="gramStart"/>
      <w:r w:rsidRPr="00412E11">
        <w:t>2183(</w:t>
      </w:r>
      <w:proofErr w:type="gramEnd"/>
      <w:r w:rsidRPr="00412E11">
        <w:t>DEC))</w:t>
      </w:r>
    </w:p>
    <w:p w:rsidR="00E46C5F" w:rsidRPr="00412E11" w:rsidRDefault="00E46C5F" w:rsidP="00E46C5F">
      <w:pPr>
        <w:pStyle w:val="EPComma"/>
      </w:pPr>
      <w:r w:rsidRPr="00412E11">
        <w:rPr>
          <w:i/>
        </w:rPr>
        <w:t>Az Európai Parlament</w:t>
      </w:r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 kilencedik, tizedik és tizenegyedik Európai Fejlesztési Alap 2022. évi pénzügyi évre szóló költségvetésének végrehajtására vonatkozó </w:t>
      </w:r>
      <w:proofErr w:type="gramStart"/>
      <w:r w:rsidRPr="00412E11">
        <w:t>mentesítésről</w:t>
      </w:r>
      <w:proofErr w:type="gramEnd"/>
      <w:r w:rsidRPr="00412E11">
        <w:t xml:space="preserve"> szóló határozatára,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 xml:space="preserve">tekintettel az Európai Számvevőszék 35/2018. számú </w:t>
      </w:r>
      <w:proofErr w:type="spellStart"/>
      <w:r w:rsidRPr="00412E11">
        <w:t>különjelentésére</w:t>
      </w:r>
      <w:proofErr w:type="spellEnd"/>
      <w:r w:rsidRPr="00412E11">
        <w:t>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eljárási szabályzata 99. cikkére és 100. cikke harmadik franciabekezdésére, valamint V. mellékletére,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Fejlesztési Bizottság véleményére,</w:t>
      </w:r>
    </w:p>
    <w:p w:rsidR="00E46C5F" w:rsidRPr="00412E11" w:rsidRDefault="00E46C5F" w:rsidP="00E46C5F">
      <w:pPr>
        <w:pStyle w:val="NormalHanging12a"/>
      </w:pPr>
      <w:r w:rsidRPr="00412E11">
        <w:t>–</w:t>
      </w:r>
      <w:r w:rsidRPr="00412E11">
        <w:tab/>
        <w:t>tekintettel a Költségvetési Ellenőrző Bizottság jelentésére (A9-0110/2024),</w:t>
      </w:r>
    </w:p>
    <w:p w:rsidR="00E46C5F" w:rsidRPr="00412E11" w:rsidRDefault="00E46C5F" w:rsidP="00E46C5F">
      <w:pPr>
        <w:pStyle w:val="NormalHanging12a"/>
      </w:pPr>
      <w:proofErr w:type="gramStart"/>
      <w:r w:rsidRPr="00412E11">
        <w:t>A.</w:t>
      </w:r>
      <w:proofErr w:type="gramEnd"/>
      <w:r w:rsidRPr="00412E11">
        <w:tab/>
        <w:t xml:space="preserve">mivel az Európai Unió működéséről szóló szerződés 208–211. cikkében említett uniós fejlesztési együttműködés az Egyesült Nemzetek Szervezete 2030-ig tartó időszakra vonatkozó fenntartható fejlődési menetrendje (a továbbiakban: a 2030-ig tartó időszakra vonatkozó menetrend) és annak fenntartható fejlődési céljai által meghatározott </w:t>
      </w:r>
      <w:proofErr w:type="gramStart"/>
      <w:r w:rsidRPr="00412E11">
        <w:t>globális</w:t>
      </w:r>
      <w:proofErr w:type="gramEnd"/>
      <w:r w:rsidRPr="00412E11">
        <w:t xml:space="preserve"> kontextusban működik;</w:t>
      </w:r>
    </w:p>
    <w:p w:rsidR="00E46C5F" w:rsidRPr="00412E11" w:rsidRDefault="00E46C5F" w:rsidP="00E46C5F">
      <w:pPr>
        <w:pStyle w:val="NormalHanging12a"/>
      </w:pPr>
      <w:r w:rsidRPr="00412E11">
        <w:t>B.</w:t>
      </w:r>
      <w:r w:rsidRPr="00412E11">
        <w:tab/>
        <w:t>mivel az Unió számos fejlődő országgal ápol együttműködési kapcsolatot azzal a fő célkitűzéssel, hogy a kedvezményezett országoknak biztosított fejlesztési segély és technikai segítségnyújtás révén segítse a gazdasági, társadalmi és környezeti fejlődést, elsődlegesen abból a célból, hogy hosszú távon csökkentse és megszüntesse a szegénységet;</w:t>
      </w:r>
    </w:p>
    <w:p w:rsidR="00E46C5F" w:rsidRPr="00412E11" w:rsidRDefault="00E46C5F" w:rsidP="00E46C5F">
      <w:pPr>
        <w:pStyle w:val="NormalHanging12a"/>
      </w:pPr>
      <w:proofErr w:type="gramStart"/>
      <w:r w:rsidRPr="00412E11">
        <w:t>C.</w:t>
      </w:r>
      <w:r w:rsidRPr="00412E11">
        <w:tab/>
        <w:t xml:space="preserve">mivel 1959-től 2020-ig az Európai Fejlesztési Alapok (EFA) fejlesztési együttműködési támogatást nyújtottak az afrikai, karibi és csendes-óceáni (AKCS) országoknak és a tengerentúli országoknak és területeknek (TOT-ok); mivel az AKCS-országokkal és a TOT-okkal fenntartott uniós kapcsolatokat szabályozó keretet a 2000. június 23-án </w:t>
      </w:r>
      <w:proofErr w:type="spellStart"/>
      <w:r w:rsidRPr="00412E11">
        <w:t>Cotonouban</w:t>
      </w:r>
      <w:proofErr w:type="spellEnd"/>
      <w:r w:rsidRPr="00412E11">
        <w:t xml:space="preserve"> aláírt, 20 évre szóló, később ideiglenesen meghosszabbított partnerségi megállapodás (a továbbiakban: </w:t>
      </w:r>
      <w:proofErr w:type="spellStart"/>
      <w:r w:rsidRPr="00412E11">
        <w:t>Cotonoui</w:t>
      </w:r>
      <w:proofErr w:type="spellEnd"/>
      <w:r w:rsidRPr="00412E11">
        <w:t xml:space="preserve"> Megállapodás) képezte; mivel a </w:t>
      </w:r>
      <w:proofErr w:type="spellStart"/>
      <w:r w:rsidRPr="00412E11">
        <w:t>Szamoai</w:t>
      </w:r>
      <w:proofErr w:type="spellEnd"/>
      <w:r w:rsidRPr="00412E11">
        <w:t xml:space="preserve"> Megállapodást 2023. november 15-én írták alá;</w:t>
      </w:r>
      <w:proofErr w:type="gramEnd"/>
    </w:p>
    <w:p w:rsidR="00E46C5F" w:rsidRPr="00412E11" w:rsidRDefault="00E46C5F" w:rsidP="00E46C5F">
      <w:pPr>
        <w:pStyle w:val="NormalHanging12a"/>
      </w:pPr>
      <w:r w:rsidRPr="00412E11">
        <w:t>D.</w:t>
      </w:r>
      <w:r w:rsidRPr="00412E11">
        <w:tab/>
        <w:t xml:space="preserve">mivel a 11. EFA a hatályvesztésre vonatkozó rendelkezés 2020. december 31-i hatálybalépésével a végső szakaszába lépett; mivel azonban a meglévő </w:t>
      </w:r>
      <w:proofErr w:type="gramStart"/>
      <w:r w:rsidRPr="00412E11">
        <w:t>finanszírozási</w:t>
      </w:r>
      <w:proofErr w:type="gramEnd"/>
      <w:r w:rsidRPr="00412E11">
        <w:t xml:space="preserve"> megállapodásokra vonatkozó egyedi szerződéseket 2023. december 31-ig még aláírják, és az EFA által finanszírozott, folyamatban lévő projektek végrehajtása azok befejezéséig folytatódik;</w:t>
      </w:r>
    </w:p>
    <w:p w:rsidR="00E46C5F" w:rsidRPr="00412E11" w:rsidRDefault="00E46C5F" w:rsidP="00E46C5F">
      <w:pPr>
        <w:pStyle w:val="NormalHanging12a"/>
      </w:pPr>
      <w:r w:rsidRPr="00412E11">
        <w:t>E.</w:t>
      </w:r>
      <w:r w:rsidRPr="00412E11">
        <w:tab/>
      </w:r>
      <w:proofErr w:type="gramStart"/>
      <w:r w:rsidRPr="00412E11">
        <w:t>mivel</w:t>
      </w:r>
      <w:proofErr w:type="gramEnd"/>
      <w:r w:rsidRPr="00412E11">
        <w:t xml:space="preserve"> a 2021–2027-es többéves pénzügyi keretben az AKCS-országoknak nyújtandó fejlesztési együttműködési támogatás a Szomszédsági, Fejlesztési és Nemzetközi Együttműködési Eszköz (Globális Európa) elnevezésű eszközbe, a tengerentúli országoknak és területeknek nyújtandó fejlesztési együttműködési támogatás pedig a Grönlandot is magában foglaló tengerentúli társulási határozatba épül be;</w:t>
      </w:r>
    </w:p>
    <w:p w:rsidR="00E46C5F" w:rsidRPr="00412E11" w:rsidRDefault="00E46C5F" w:rsidP="00E46C5F">
      <w:pPr>
        <w:pStyle w:val="NormalHanging12a"/>
      </w:pPr>
      <w:r w:rsidRPr="00412E11">
        <w:lastRenderedPageBreak/>
        <w:t>F.</w:t>
      </w:r>
      <w:r w:rsidRPr="00412E11">
        <w:tab/>
      </w:r>
      <w:proofErr w:type="gramStart"/>
      <w:r w:rsidRPr="00412E11">
        <w:t>mivel</w:t>
      </w:r>
      <w:proofErr w:type="gramEnd"/>
      <w:r w:rsidRPr="00412E11">
        <w:t xml:space="preserve"> a 9., 10. és 11. EFA nem része az Unió általános költségvetésének, végrehajtásuk és a róluk szóló beszámolás lezárásukig továbbra is külön történik;</w:t>
      </w:r>
    </w:p>
    <w:p w:rsidR="00E46C5F" w:rsidRPr="00412E11" w:rsidRDefault="00E46C5F" w:rsidP="00E46C5F">
      <w:pPr>
        <w:pStyle w:val="NormalHanging12a"/>
      </w:pPr>
      <w:r w:rsidRPr="00412E11">
        <w:t>G.</w:t>
      </w:r>
      <w:r w:rsidRPr="00412E11">
        <w:tab/>
      </w:r>
      <w:proofErr w:type="gramStart"/>
      <w:r w:rsidRPr="00412E11">
        <w:t>mivel</w:t>
      </w:r>
      <w:proofErr w:type="gramEnd"/>
      <w:r w:rsidRPr="00412E11">
        <w:t xml:space="preserve"> az EFA-</w:t>
      </w:r>
      <w:proofErr w:type="spellStart"/>
      <w:r w:rsidRPr="00412E11">
        <w:t>kat</w:t>
      </w:r>
      <w:proofErr w:type="spellEnd"/>
      <w:r w:rsidRPr="00412E11">
        <w:t xml:space="preserve"> szinte teljes egészében a Bizottság Nemzetközi Partnerségek Főigazgatósága (DG INTPA) irányítja, a 2022. évi EFA-kiadások kis részét (5%) pedig az Európai Polgári Védelem és Humanitárius Segítségnyújtási Műveletek Főigazgatósága (DG ECHO) kezeli;</w:t>
      </w:r>
    </w:p>
    <w:p w:rsidR="00E46C5F" w:rsidRPr="00412E11" w:rsidRDefault="00E46C5F" w:rsidP="00E46C5F">
      <w:pPr>
        <w:pStyle w:val="NormalHanging12a"/>
      </w:pPr>
      <w:r w:rsidRPr="00412E11">
        <w:t>H.</w:t>
      </w:r>
      <w:r w:rsidRPr="00412E11">
        <w:tab/>
        <w:t xml:space="preserve">mivel a fejlesztési együttműködés a hagyományosabb adományozó-kedvezményezett modellből a kölcsönös érdekekre helyezett nagyobb hangsúly irányába fejlődik, amely nem csak a szociális ágazatokra terjed ki, hanem a fenntartható beruházásokra, a kereskedelemre és a magas hozzáadott értéket képviselő gazdasági ágazatok fejlesztésére, valamint a nemzetközi partnerségekre is a </w:t>
      </w:r>
      <w:proofErr w:type="gramStart"/>
      <w:r w:rsidRPr="00412E11">
        <w:t>globális</w:t>
      </w:r>
      <w:proofErr w:type="gramEnd"/>
      <w:r w:rsidRPr="00412E11">
        <w:t xml:space="preserve"> kihívások kezelése érdekében; mivel az EUMSZ szerint „az Unió fejlesztési együttműködési politikája elsődleges célként a szegénység mérséklésére, idővel pedig annak felszámolására irányul”;</w:t>
      </w:r>
    </w:p>
    <w:p w:rsidR="00E46C5F" w:rsidRPr="00412E11" w:rsidRDefault="00E46C5F" w:rsidP="00E46C5F">
      <w:pPr>
        <w:pStyle w:val="NormalHanging12a"/>
      </w:pPr>
      <w:r w:rsidRPr="00412E11">
        <w:t>I.</w:t>
      </w:r>
      <w:r w:rsidRPr="00412E11">
        <w:tab/>
        <w:t>mivel az Unió az „Európa együtt” megközelítés révén helyi szintű együttműködést folytat a tagállamokkal, a helyi kedvezményezettekkel és a többi adományozóval annak érdekében, hogy kézzelfogható hatást és átalakulást érjen el a partnerországokban;</w:t>
      </w:r>
    </w:p>
    <w:p w:rsidR="00E46C5F" w:rsidRPr="00412E11" w:rsidRDefault="00E46C5F" w:rsidP="00E46C5F">
      <w:pPr>
        <w:pStyle w:val="NormalHanging12a"/>
        <w:keepNext/>
        <w:keepLines/>
        <w:ind w:left="0" w:firstLine="0"/>
        <w:rPr>
          <w:b/>
          <w:i/>
        </w:rPr>
      </w:pPr>
      <w:r w:rsidRPr="00412E11">
        <w:rPr>
          <w:b/>
          <w:i/>
        </w:rPr>
        <w:t>A költségvetés végrehajtása</w:t>
      </w:r>
    </w:p>
    <w:p w:rsidR="00E46C5F" w:rsidRPr="00412E11" w:rsidRDefault="00E46C5F" w:rsidP="00E46C5F">
      <w:pPr>
        <w:pStyle w:val="NormalHanging12a"/>
      </w:pPr>
      <w:r w:rsidRPr="00412E11">
        <w:t>1.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2022-ben a 10. és 11. EFA pénzügyi végrehajtását (egyéni kötelezettségvállalások: 853 millió EUR; kifizetések: 2 386 millió EUR) a Tanács arra vonatkozó (EU) 2022/1223 határozata jellemezte, hogy 600 millió EUR-t újra felhasználnak a 10. és 11. EFA visszavont pénzeszközeiből;</w:t>
      </w:r>
    </w:p>
    <w:p w:rsidR="00E46C5F" w:rsidRPr="00412E11" w:rsidRDefault="00E46C5F" w:rsidP="00E46C5F">
      <w:pPr>
        <w:pStyle w:val="NormalHanging12a"/>
      </w:pPr>
      <w:proofErr w:type="gramStart"/>
      <w:r w:rsidRPr="00412E11">
        <w:t>2.</w:t>
      </w:r>
      <w:r w:rsidRPr="00412E11">
        <w:tab/>
        <w:t xml:space="preserve"> tudomásul veszi a Tanács határozatát, amely 600 millió EUR összeget különített el a tizedik és tizenegyedik EFA keretében visszavont projektekből olyan intézkedések finanszírozására, amelyek Oroszország Ukrajna elleni agresszív háborúját követően az afrikai, karibi és csendes-óceáni (AKCS) országokban kialakult élelmezésbiztonsági válság és gazdasági sokk kezelésére irányulnak; úgy véli, hogy tekintettel az AKCS-országok rendkívül súlyos élelmezésbiztonsági helyzetére, ezeket az alapokat megfelelő intézkedésekkel kell kiegészíteni a helyi közösségek élelmezési autonómiájának fokozása érdekében;</w:t>
      </w:r>
      <w:proofErr w:type="gramEnd"/>
    </w:p>
    <w:p w:rsidR="00E46C5F" w:rsidRPr="00412E11" w:rsidRDefault="00E46C5F" w:rsidP="00E46C5F">
      <w:pPr>
        <w:pStyle w:val="NormalHanging12a"/>
      </w:pPr>
      <w:r w:rsidRPr="00412E11">
        <w:t>3.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2022-ben az EFA végrehajtása hozzájárult a víz és a megfelelő higiénés körülmények, a villamos energiához való hozzáférés, a jogi segítségnyújtáshoz való hozzáférés, az élelmezésbiztonság és a táplálkozás, a környezetvédelem, az éghajlatváltozás mérséklésére irányuló stratégiák és a természetes ökoszisztémák, az egészségügy, az oktatás és a vállalkozói készség/alkalmazhatóság javításához;</w:t>
      </w:r>
    </w:p>
    <w:p w:rsidR="00E46C5F" w:rsidRPr="00412E11" w:rsidRDefault="00E46C5F" w:rsidP="00E46C5F">
      <w:pPr>
        <w:pStyle w:val="NormalHanging12a"/>
      </w:pPr>
      <w:r w:rsidRPr="00412E11">
        <w:t>4.</w:t>
      </w:r>
      <w:r w:rsidRPr="00412E11">
        <w:tab/>
        <w:t>megállapítja, hogy az EFA a DG INTPA portfóliójának 33,2%-át teszi ki a 2022-ben teljesített kifizetések tekintetében, amelyek 2</w:t>
      </w:r>
      <w:r w:rsidR="00502099" w:rsidRPr="00412E11">
        <w:t> </w:t>
      </w:r>
      <w:r w:rsidRPr="00412E11">
        <w:t xml:space="preserve">452 millió EUR-t tettek ki (ami az éves célkitűzés 98,08%-a); megállapítja, hogy az Európai Beruházási Bank (EBB) kifizetései 461 millió EUR-t tettek ki; </w:t>
      </w:r>
      <w:proofErr w:type="spellStart"/>
      <w:r w:rsidRPr="00412E11">
        <w:t>megjegyzi</w:t>
      </w:r>
      <w:proofErr w:type="spellEnd"/>
      <w:r w:rsidRPr="00412E11">
        <w:t xml:space="preserve">, hogy mivel a 11. EFA hatályvesztésre vonatkozó rendelkezése 2020. december 31-én lejárt, 2022-ben nem voltak új kötelezettségvállalások, kivéve a 10. és 11. EFA </w:t>
      </w:r>
      <w:proofErr w:type="spellStart"/>
      <w:r w:rsidRPr="00412E11">
        <w:t>tartalékának</w:t>
      </w:r>
      <w:proofErr w:type="spellEnd"/>
      <w:r w:rsidRPr="00412E11">
        <w:t xml:space="preserve"> a</w:t>
      </w:r>
      <w:r w:rsidR="003C43AE">
        <w:t>z (EU)</w:t>
      </w:r>
      <w:r w:rsidRPr="00412E11">
        <w:t xml:space="preserve"> 2022/1223 tanácsi határozat szerinti </w:t>
      </w:r>
      <w:proofErr w:type="spellStart"/>
      <w:r w:rsidRPr="00412E11">
        <w:t>újrafelhasználásából</w:t>
      </w:r>
      <w:proofErr w:type="spellEnd"/>
      <w:r w:rsidRPr="00412E11">
        <w:t xml:space="preserve"> származó pénzeszközök kötelezettségvállalásait, melyek az afrikai, karibi és csendes-óceáni (AKCS) </w:t>
      </w:r>
      <w:r w:rsidRPr="00412E11">
        <w:lastRenderedPageBreak/>
        <w:t>országokban jelentkező élelmezésbiztonsági válságra és gazdasági sokkra adott uniós válaszintézkedésekre vonatkozó különleges intézkedésekhez kapcsolódtak; megállapítja, hogy az EBB AKCS beruházási kerettel kapcsolatos kifizetései 400 millió EUR-t tettek ki;</w:t>
      </w:r>
    </w:p>
    <w:p w:rsidR="00E46C5F" w:rsidRPr="00412E11" w:rsidRDefault="00E46C5F" w:rsidP="00E46C5F">
      <w:pPr>
        <w:pStyle w:val="NormalHanging12a"/>
      </w:pPr>
      <w:proofErr w:type="gramStart"/>
      <w:r w:rsidRPr="00412E11">
        <w:t>5.</w:t>
      </w:r>
      <w:r w:rsidRPr="00412E11">
        <w:tab/>
        <w:t>hangsúlyozza az „Európa együtt” megközelítés fontosságát az uniós támogatás hatékonysága és láthatósága szempontjából, és üdvözli a Bizottság arra irányuló kezdeményezését, hogy elmélyítse a tagállamokkal való koordinációt, és a lehető legjobban kiaknázza a partnerországokban meglévő szakértelmüket, erősebb Európát biztosítva a világon; tudomásul veszi a nyugat-mediterrán migrációs útvonal mentén létrejött regionális „Európa együtt” kezdeményezéseket, amelyek irányítócsoportjában a DG NEAR és a DG INTPA képviselői egyaránt részt vesznek, biztosítva a fellépések koherenciáját és a pénzügyi forráso</w:t>
      </w:r>
      <w:proofErr w:type="gramEnd"/>
      <w:r w:rsidRPr="00412E11">
        <w:t xml:space="preserve">k </w:t>
      </w:r>
      <w:proofErr w:type="gramStart"/>
      <w:r w:rsidRPr="00412E11">
        <w:t>optimális</w:t>
      </w:r>
      <w:proofErr w:type="gramEnd"/>
      <w:r w:rsidRPr="00412E11">
        <w:t xml:space="preserve"> felhasználását;</w:t>
      </w:r>
    </w:p>
    <w:p w:rsidR="00E46C5F" w:rsidRPr="00412E11" w:rsidRDefault="00E46C5F" w:rsidP="00E46C5F">
      <w:pPr>
        <w:pStyle w:val="NormalHanging12a"/>
      </w:pPr>
      <w:r w:rsidRPr="00412E11">
        <w:t>6.</w:t>
      </w:r>
      <w:r w:rsidRPr="00412E11">
        <w:tab/>
        <w:t>rámutat, hogy a 11. EFA keretében a szerződések 60%-át lezárták, és hogy a Bizottságnak 2024-ben be kell fejeznie a 9. EFA lezárását; tudomásul veszi a 10. EFA lezárása terén elért előrehaladást, miszerint a szerződések 95,2%-át lezárták;</w:t>
      </w:r>
    </w:p>
    <w:p w:rsidR="00E46C5F" w:rsidRPr="00412E11" w:rsidRDefault="00E46C5F" w:rsidP="00E46C5F">
      <w:pPr>
        <w:pStyle w:val="NormalHanging12a"/>
      </w:pPr>
      <w:proofErr w:type="gramStart"/>
      <w:r w:rsidRPr="00412E11">
        <w:t>7.</w:t>
      </w:r>
      <w:r w:rsidRPr="00412E11">
        <w:tab/>
        <w:t>tudomásul veszi a DG INTPA arra irányuló erőfeszítéseit, hogy csökkentse a régi előfinanszírozások és a régi, fel nem használt kötelezettségvállalások szintjét (előbbi esetében 40%, utóbbi esetében 35% a célkitűzés); megállapítja, hogy a DG INTPA túlteljesítette a célt azáltal, hogy csökkentette az EFA régi előfinanszírozását 54,31%-</w:t>
      </w:r>
      <w:proofErr w:type="spellStart"/>
      <w:r w:rsidRPr="00412E11">
        <w:t>kal</w:t>
      </w:r>
      <w:proofErr w:type="spellEnd"/>
      <w:r w:rsidRPr="00412E11">
        <w:t>, valamint 52,51%-</w:t>
      </w:r>
      <w:proofErr w:type="spellStart"/>
      <w:r w:rsidRPr="00412E11">
        <w:t>kal</w:t>
      </w:r>
      <w:proofErr w:type="spellEnd"/>
      <w:r w:rsidRPr="00412E11">
        <w:t xml:space="preserve"> mind az EFA régi, fel nem használt kötelezettségvállalásait, mind az EFA teljes felelősségi körét illetően; </w:t>
      </w:r>
      <w:proofErr w:type="spellStart"/>
      <w:r w:rsidRPr="00412E11">
        <w:t>megjegyzi</w:t>
      </w:r>
      <w:proofErr w:type="spellEnd"/>
      <w:r w:rsidRPr="00412E11">
        <w:t>, hogy a fel nem használt kötelezettségvállalások tekintetében elérte az EFA-</w:t>
      </w:r>
      <w:proofErr w:type="spellStart"/>
      <w:r w:rsidRPr="00412E11">
        <w:t>kra</w:t>
      </w:r>
      <w:proofErr w:type="spellEnd"/>
      <w:r w:rsidRPr="00412E11">
        <w:t xml:space="preserve"> vonatkozó 35%-</w:t>
      </w:r>
      <w:proofErr w:type="spellStart"/>
      <w:r w:rsidRPr="00412E11">
        <w:t>os</w:t>
      </w:r>
      <w:proofErr w:type="spellEnd"/>
      <w:r w:rsidRPr="00412E11">
        <w:t xml:space="preserve"> célt, méghozzá 36,83%-</w:t>
      </w:r>
      <w:proofErr w:type="spellStart"/>
      <w:r w:rsidRPr="00412E11">
        <w:t>kal</w:t>
      </w:r>
      <w:proofErr w:type="spellEnd"/>
      <w:r w:rsidRPr="00412E11">
        <w:t>;</w:t>
      </w:r>
      <w:proofErr w:type="gramEnd"/>
    </w:p>
    <w:p w:rsidR="00E46C5F" w:rsidRPr="00412E11" w:rsidRDefault="00E46C5F" w:rsidP="00E46C5F">
      <w:pPr>
        <w:pStyle w:val="NormalHanging12a"/>
      </w:pPr>
      <w:proofErr w:type="gramStart"/>
      <w:r w:rsidRPr="00412E11">
        <w:t>8.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 azonban, hogy a Számvevőszék jelentése szerint a DG INTPA régi előfinanszírozás csökkentésére vonatkozó fő teljesítménymutatója nem veszi figyelembe azon évek számát, amelyekre vonatkozóan az egyes előfinanszírozási ügyletek nyitva maradtak, ezért a Számvevőszék úgy véli, hogy e fő teljesítménymutató elérése nem tükrözte a korábbi előfinanszírozási ügyletek klíringje során tapasztalt nehézségeket, amelyek közül néhány akár 12 évig is nyitott volt; tudomásul veszi a Bizottság válaszát, amely szerint ami a nyitott számlák és a legfeljebb 12 éve el nem számolt előfinanszírozások számviteli</w:t>
      </w:r>
      <w:proofErr w:type="gramEnd"/>
      <w:r w:rsidRPr="00412E11">
        <w:t xml:space="preserve"> </w:t>
      </w:r>
      <w:proofErr w:type="gramStart"/>
      <w:r w:rsidRPr="00412E11">
        <w:t xml:space="preserve">értékelését illeti, e régi előfinanszírozások többsége peres ügyekhez kapcsolódik; felhívja a Bizottságot, hogy továbbra is tegyen jelentést a Parlamentnek ezekről a peres ügyekről, amint azt a Parlament 2015/PAR/0463. sz. ajánlása nyomán már megtette; </w:t>
      </w:r>
      <w:proofErr w:type="spellStart"/>
      <w:r w:rsidRPr="00412E11">
        <w:t>megjegyzi</w:t>
      </w:r>
      <w:proofErr w:type="spellEnd"/>
      <w:r w:rsidRPr="00412E11">
        <w:t xml:space="preserve"> továbbá, hogy a régi előfinanszírozás csökkentése és a </w:t>
      </w:r>
      <w:proofErr w:type="spellStart"/>
      <w:r w:rsidRPr="00412E11">
        <w:t>korosított</w:t>
      </w:r>
      <w:proofErr w:type="spellEnd"/>
      <w:r w:rsidRPr="00412E11">
        <w:t xml:space="preserve"> számlák kezelése érdekében a Bizottság már bevezetett éves kontrollokat, 2022-ben az EFA-kifizetések 93%-át kellő időben teljesítették, egy (2023 októberében frissített) portfóliókezelési irányítópultot használ, amely lehetővé teszi a személyzet számára a felhasználatlan</w:t>
      </w:r>
      <w:proofErr w:type="gramEnd"/>
      <w:r w:rsidRPr="00412E11">
        <w:t xml:space="preserve"> </w:t>
      </w:r>
      <w:proofErr w:type="gramStart"/>
      <w:r w:rsidRPr="00412E11">
        <w:t>előfinanszírozás</w:t>
      </w:r>
      <w:proofErr w:type="gramEnd"/>
      <w:r w:rsidRPr="00412E11">
        <w:t xml:space="preserve"> felgyülemlésének nyomon követését és a régóta esedékes számlák nyomon követését, és további intézkedéseket hoz, többek között eseti kampányok, szemináriumok és iránymutatások formájában;</w:t>
      </w:r>
    </w:p>
    <w:p w:rsidR="00E46C5F" w:rsidRPr="00412E11" w:rsidRDefault="00E46C5F" w:rsidP="00E46C5F">
      <w:pPr>
        <w:spacing w:after="120"/>
        <w:ind w:left="567" w:hanging="567"/>
        <w:rPr>
          <w:rFonts w:eastAsia="Calibri"/>
          <w:szCs w:val="24"/>
        </w:rPr>
      </w:pPr>
      <w:r w:rsidRPr="00412E11">
        <w:t>9.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a DG INTPA teljesítette azt a célkitűzését, hogy az EFA régi, lejárt szerződéseinek legfeljebb 13%-a legyen érvényben; </w:t>
      </w:r>
      <w:proofErr w:type="spellStart"/>
      <w:r w:rsidRPr="00412E11">
        <w:t>megjegyzi</w:t>
      </w:r>
      <w:proofErr w:type="spellEnd"/>
      <w:r w:rsidRPr="00412E11">
        <w:t>, hogy az EFA esetében 10,56%-</w:t>
      </w:r>
      <w:proofErr w:type="spellStart"/>
      <w:r w:rsidRPr="00412E11">
        <w:t>os</w:t>
      </w:r>
      <w:proofErr w:type="spellEnd"/>
      <w:r w:rsidRPr="00412E11">
        <w:t>, az Unió általános költségvetése esetében pedig 8,39%-</w:t>
      </w:r>
      <w:proofErr w:type="spellStart"/>
      <w:r w:rsidRPr="00412E11">
        <w:t>os</w:t>
      </w:r>
      <w:proofErr w:type="spellEnd"/>
      <w:r w:rsidRPr="00412E11">
        <w:t xml:space="preserve"> eredményt ért el;</w:t>
      </w:r>
    </w:p>
    <w:p w:rsidR="00E46C5F" w:rsidRPr="00412E11" w:rsidRDefault="00E46C5F" w:rsidP="00E46C5F">
      <w:pPr>
        <w:spacing w:after="240"/>
        <w:ind w:left="567" w:hanging="567"/>
        <w:rPr>
          <w:rFonts w:eastAsia="Calibri"/>
          <w:szCs w:val="24"/>
        </w:rPr>
      </w:pPr>
      <w:r w:rsidRPr="00412E11">
        <w:t>10.</w:t>
      </w:r>
      <w:r w:rsidRPr="00412E11">
        <w:tab/>
        <w:t xml:space="preserve">rámutat, hogy az EFA-k fennálló kötelezettségvállalásainak összege 2022-ben elérte a </w:t>
      </w:r>
      <w:r w:rsidRPr="00412E11">
        <w:lastRenderedPageBreak/>
        <w:t>12,6%-</w:t>
      </w:r>
      <w:proofErr w:type="spellStart"/>
      <w:r w:rsidRPr="00412E11">
        <w:t>ot</w:t>
      </w:r>
      <w:proofErr w:type="spellEnd"/>
      <w:r w:rsidRPr="00412E11">
        <w:t>, azaz a 8 250 millió EUR-t;</w:t>
      </w:r>
    </w:p>
    <w:p w:rsidR="00E46C5F" w:rsidRPr="00412E11" w:rsidRDefault="00E46C5F" w:rsidP="00E46C5F">
      <w:pPr>
        <w:pStyle w:val="NormalHanging12a"/>
        <w:keepNext/>
        <w:keepLines/>
        <w:ind w:left="0" w:firstLine="0"/>
        <w:rPr>
          <w:b/>
          <w:i/>
        </w:rPr>
      </w:pPr>
      <w:r w:rsidRPr="00412E11">
        <w:rPr>
          <w:b/>
          <w:i/>
        </w:rPr>
        <w:t>A tevékenységek hatása a pénzügyi kimutatásokban</w:t>
      </w:r>
    </w:p>
    <w:p w:rsidR="00E46C5F" w:rsidRPr="00412E11" w:rsidRDefault="00E46C5F" w:rsidP="00E46C5F">
      <w:pPr>
        <w:pStyle w:val="NormalHanging12a"/>
      </w:pPr>
      <w:r w:rsidRPr="00412E11">
        <w:t>11.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az előfinanszírozás 239 millió EUR-val csökkent, ami nagyrészt annak tudható be, hogy az aláírt szerződések számának csökkenése miatt kevesebb előleget fizettek ki (2021-ben 2 118 millió EUR-t, szemben a 2022. évi 853 millió EUR-val), és hogy következésképpen a készpénz- és pénzeszköz-egyenértékesek állománya 34 millió EUR-val nőtt az előfinanszírozás és az egyéb kifizetések csökkenése miatt;</w:t>
      </w:r>
    </w:p>
    <w:p w:rsidR="00E46C5F" w:rsidRPr="00412E11" w:rsidRDefault="00E46C5F" w:rsidP="00E46C5F">
      <w:pPr>
        <w:pStyle w:val="NormalHanging12a"/>
      </w:pPr>
      <w:r w:rsidRPr="00412E11">
        <w:t>12.</w:t>
      </w:r>
      <w:r w:rsidRPr="00412E11">
        <w:tab/>
        <w:t xml:space="preserve">megállapítja, hogy az elhatárolt kiadások összege 123 millió EUR-val növekedett az olyan, év végén érvényben lévő szerződések számának növekedése miatt, amelyekre vonatkozóan az év végéig nem </w:t>
      </w:r>
      <w:proofErr w:type="spellStart"/>
      <w:r w:rsidRPr="00412E11">
        <w:t>validáltak</w:t>
      </w:r>
      <w:proofErr w:type="spellEnd"/>
      <w:r w:rsidRPr="00412E11">
        <w:t xml:space="preserve"> költségigénylést, így a kiadásokat meg kellett becsülni;</w:t>
      </w:r>
    </w:p>
    <w:p w:rsidR="00E46C5F" w:rsidRPr="00412E11" w:rsidRDefault="00E46C5F" w:rsidP="00E46C5F">
      <w:pPr>
        <w:pStyle w:val="NormalHanging12a"/>
      </w:pPr>
      <w:r w:rsidRPr="00412E11">
        <w:t>13.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 továbbá, hogy a működési költségek összességében 74 millió EUR-val csökkentek, főként a vagyonkezelői alapok felszámolása miatt, ami a kiadásaik fedezéséhez szükséges hozzájárulások csökkenését eredményezte, és hogy a sürgősségi segélyekkel kapcsolatos kiadások növekedtek, mivel a 10. és 11. EFA visszavont pénzeszközeit újra felhasználták az ukrajnai háború negatív hatásainak leküzdésére;</w:t>
      </w:r>
    </w:p>
    <w:p w:rsidR="00E46C5F" w:rsidRPr="00412E11" w:rsidRDefault="00E46C5F" w:rsidP="00E46C5F">
      <w:pPr>
        <w:pStyle w:val="NormalHanging12a"/>
      </w:pPr>
      <w:r w:rsidRPr="00412E11">
        <w:t>14.</w:t>
      </w:r>
      <w:r w:rsidRPr="00412E11">
        <w:tab/>
        <w:t>hangsúlyozza, hogy az Egyesült Királyság Európai Unióból való kilépésének hatását illetően a Számvevőszék arra a következtetésre jutott, hogy annak az EFA 2022. évi beszámolójára nincs olyan pénzügyi hatása, amelyről be kellene számolni, és hogy az EFA 2022. december 31-re vonatkozó beszámolója megfelelően tükrözi a kilépési folyamat akkori helyzetét;</w:t>
      </w:r>
    </w:p>
    <w:p w:rsidR="00E46C5F" w:rsidRPr="00412E11" w:rsidRDefault="00E46C5F" w:rsidP="00E46C5F">
      <w:pPr>
        <w:pStyle w:val="NormalHanging12a"/>
        <w:keepNext/>
        <w:keepLines/>
        <w:ind w:left="0" w:firstLine="0"/>
        <w:rPr>
          <w:b/>
          <w:i/>
        </w:rPr>
      </w:pPr>
      <w:r w:rsidRPr="00412E11">
        <w:rPr>
          <w:b/>
          <w:i/>
        </w:rPr>
        <w:t>A beszámoló megbízhatósága</w:t>
      </w:r>
    </w:p>
    <w:p w:rsidR="00E46C5F" w:rsidRPr="00412E11" w:rsidRDefault="00E46C5F" w:rsidP="00E46C5F">
      <w:pPr>
        <w:pStyle w:val="NormalHanging12a"/>
      </w:pPr>
      <w:r w:rsidRPr="00412E11">
        <w:t>15.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a 9. EFA (2000–2007) költségvetése csak 13,8 milliárd EUR volt, és hogy a 10. EFA (2008–2013) költségvetése csaknem megkétszereződött, 22,7 milliárd EUR-ra, továbbá hogy a 11. EFA magas összeget, 30,5 milliárd EUR-t biztosít, amelyből 29,1 milliárd EUR-t az AKCS-országoknak, illetve 0,4 milliárd EUR-t a TOT-oknak különítettek el, 1 milliárd EUR-t pedig az igazgatási költségekre fordítanak;</w:t>
      </w:r>
    </w:p>
    <w:p w:rsidR="00E46C5F" w:rsidRPr="00412E11" w:rsidRDefault="00E46C5F" w:rsidP="00E46C5F">
      <w:pPr>
        <w:pStyle w:val="NormalHanging12a"/>
      </w:pPr>
      <w:r w:rsidRPr="00412E11">
        <w:t>16.</w:t>
      </w:r>
      <w:r w:rsidRPr="00412E11">
        <w:tab/>
        <w:t>tudomásul veszi a Bizottság azon bejelentését, hogy 2021 októberében lezárja a 8. EFA-t; rámutat arra, hogy az EFA 2022. évi pénzügyi évre vonatkozó éves beszámolójában a Bizottság jelezte, hogy a 8. EFA valamennyi tevékenysége lezárult, és hogy az EFA elszámolásaiban minden szerződést és pénzügyi határozatot lezártak, valamint hogy a fennmaradó nyitott visszafizetési felszólításokat átutalták a 9. EFA-</w:t>
      </w:r>
      <w:proofErr w:type="spellStart"/>
      <w:r w:rsidRPr="00412E11">
        <w:t>ba</w:t>
      </w:r>
      <w:proofErr w:type="spellEnd"/>
      <w:r w:rsidRPr="00412E11">
        <w:t>; megállapítja azonban, hogy az elszámolásokban mégis még szerepeltek a 8. EFA-</w:t>
      </w:r>
      <w:proofErr w:type="spellStart"/>
      <w:r w:rsidRPr="00412E11">
        <w:t>ra</w:t>
      </w:r>
      <w:proofErr w:type="spellEnd"/>
      <w:r w:rsidRPr="00412E11">
        <w:t xml:space="preserve"> vonatkozó pénzügyi információk, és 2022-ben a 8. EFA egyes egyenlegei még mindig nem voltak elszámolva; </w:t>
      </w:r>
      <w:proofErr w:type="spellStart"/>
      <w:r w:rsidRPr="00412E11">
        <w:t>megjegyzi</w:t>
      </w:r>
      <w:proofErr w:type="spellEnd"/>
      <w:r w:rsidRPr="00412E11">
        <w:t>, hogy a 8. EFA operatív lezárására a terveknek megfelelően 2021-ben került sor, és hogy a 8. EFA teljes számviteli lezárása folyamatban lévő visszafizetési felszólítások miatt függőben van;</w:t>
      </w:r>
    </w:p>
    <w:p w:rsidR="00E46C5F" w:rsidRPr="00412E11" w:rsidRDefault="00E46C5F" w:rsidP="00E46C5F">
      <w:pPr>
        <w:pStyle w:val="NormalHanging12a"/>
      </w:pPr>
      <w:r w:rsidRPr="00412E11">
        <w:t>17.</w:t>
      </w:r>
      <w:r w:rsidRPr="00412E11">
        <w:tab/>
        <w:t xml:space="preserve">megállapítja, hogy a Számvevőszék a kilencedik, tizedik és tizenegyedik EFA által finanszírozott tevékenységekről szóló, a 2022. évi pénzügyi évre vonatkozó éves jelentésében arra a következtetésre jutott, hogy a 2022. december 31-én véget érő pénzügyi évre vonatkozó beszámoló minden lényegi szempontból híven és az (EU) </w:t>
      </w:r>
      <w:r w:rsidRPr="00412E11">
        <w:lastRenderedPageBreak/>
        <w:t>2018/1877 tanácsi rendelet</w:t>
      </w:r>
      <w:r w:rsidRPr="00412E11">
        <w:rPr>
          <w:rStyle w:val="FootnoteReference"/>
        </w:rPr>
        <w:footnoteReference w:id="29"/>
      </w:r>
      <w:r w:rsidRPr="00412E11">
        <w:t xml:space="preserve"> (az EFA pénzügyi szabályzata) előírásainak és a költségvetési számviteli standardoknak megfelelően tükrözi az EFA-k pénzügyi helyzetét, a tárgyévi műveletek eredményét, a pénzforgalmat és a nettó eszközállomány változásait;</w:t>
      </w:r>
    </w:p>
    <w:p w:rsidR="00E46C5F" w:rsidRPr="00412E11" w:rsidRDefault="00E46C5F" w:rsidP="00E46C5F">
      <w:pPr>
        <w:pStyle w:val="NormalHanging12a"/>
        <w:keepNext/>
        <w:keepLines/>
        <w:ind w:left="0" w:firstLine="0"/>
        <w:rPr>
          <w:b/>
          <w:i/>
        </w:rPr>
      </w:pPr>
      <w:r w:rsidRPr="00412E11">
        <w:rPr>
          <w:b/>
          <w:i/>
        </w:rPr>
        <w:t>A beszámoló alapjául szolgáló ügyletek jogszerűsége és szabályszerűsége</w:t>
      </w:r>
    </w:p>
    <w:p w:rsidR="00E46C5F" w:rsidRPr="00412E11" w:rsidRDefault="00E46C5F" w:rsidP="00E46C5F">
      <w:pPr>
        <w:pStyle w:val="NormalHanging12a"/>
      </w:pPr>
      <w:r w:rsidRPr="00412E11">
        <w:t>18.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 a Számvevőszék véleményét, miszerint a 2022. december 31-én véget érő évre vonatkozó beszámoló alapjául szolgáló bevételek minden lényeges szempontból jogszerűek és szabályszerűek;</w:t>
      </w:r>
    </w:p>
    <w:p w:rsidR="00E46C5F" w:rsidRPr="00412E11" w:rsidRDefault="00E46C5F" w:rsidP="00E46C5F">
      <w:pPr>
        <w:pStyle w:val="NormalHanging12a"/>
        <w:rPr>
          <w:szCs w:val="24"/>
        </w:rPr>
      </w:pPr>
      <w:r w:rsidRPr="00412E11">
        <w:t>19.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az Európai Fejlesztési Alap (EFA) végrehajtása olyan országokat érint, amelyek az éghajlatváltozás, a csökkenő </w:t>
      </w:r>
      <w:proofErr w:type="spellStart"/>
      <w:r w:rsidRPr="00412E11">
        <w:t>biodiverzitás</w:t>
      </w:r>
      <w:proofErr w:type="spellEnd"/>
      <w:r w:rsidRPr="00412E11">
        <w:t xml:space="preserve"> és a bizonytalan élelmiszer-ellátás súlyosbító hatásaival néznek szembe, és amelyeket a Covid19-világjárványnak és Oroszország Ukrajna elleni indokolatlan és provokáció nélkül indított agresszív háborújának következményei, valamint az adósságnövekedés, az új és a feledésbe merült humanitárius válságok és konfliktusok meggyengítettek, növelve az egyenlőtlenségeket és a szegénységet; ezért ragaszkodik ahhoz, hogy az EFA keretében fennmaradó projektek a fenntartható fejlődési célok végrehajtásának előmozdítására összpontosuljanak; megismétli, hogy a biztonság, a kölcsönösen előnyös partnerségek és a nemzetközi együttműködés alapvető feltételei annak, hogy a világ 2030-ig és azon túl is előrehaladást érjen el a fenntartható fejlődési célok terén;</w:t>
      </w:r>
    </w:p>
    <w:p w:rsidR="00E46C5F" w:rsidRPr="00412E11" w:rsidRDefault="00E46C5F" w:rsidP="00E46C5F">
      <w:pPr>
        <w:pStyle w:val="NormalHanging12a"/>
      </w:pPr>
      <w:r w:rsidRPr="00412E11">
        <w:t>20.</w:t>
      </w:r>
      <w:r w:rsidRPr="00412E11">
        <w:tab/>
        <w:t xml:space="preserve">ismételten aggodalmát fejezi ki amiatt, hogy számos lehetséges oka van annak, hogy a Számvevőszék egymást követően elutasító véleményeket adott a kiadások jogszerűségéről és szabályszerűségéről, mivel a 2022. december 31-én véget érő évre vonatkozó beszámolóban elfogadott kiadásokat lényeges hibaszint </w:t>
      </w:r>
      <w:proofErr w:type="spellStart"/>
      <w:r w:rsidRPr="00412E11">
        <w:t>jellemzi</w:t>
      </w:r>
      <w:proofErr w:type="spellEnd"/>
      <w:r w:rsidRPr="00412E11">
        <w:t xml:space="preserve">; </w:t>
      </w:r>
      <w:proofErr w:type="spellStart"/>
      <w:r w:rsidRPr="00412E11">
        <w:t>megjegyzi</w:t>
      </w:r>
      <w:proofErr w:type="spellEnd"/>
      <w:r w:rsidRPr="00412E11">
        <w:t xml:space="preserve"> ugyanakkor, hogy az EFA végrehajtásának háttere kockázatos, összetett és gyorsan változó, a földrajzi eloszlás, a végrehajtó szervezetek és a partnerországok, valamint a segítségnyújtási módszerek tekintetében figyelemreméltó különbségekkel;</w:t>
      </w:r>
    </w:p>
    <w:p w:rsidR="00E46C5F" w:rsidRPr="00412E11" w:rsidRDefault="00E46C5F" w:rsidP="00E46C5F">
      <w:pPr>
        <w:pStyle w:val="NormalHanging12a"/>
      </w:pPr>
      <w:r w:rsidRPr="00412E11">
        <w:t>21.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az ügyletek szabályszerűségének ellenőrzése céljából a Számvevőszék megvizsgált egy 140 ügyletből álló, az EFA-n belüli kiadások teljes körére nézve reprezentatív mintát; </w:t>
      </w:r>
      <w:proofErr w:type="spellStart"/>
      <w:r w:rsidRPr="00412E11">
        <w:t>megjegyzi</w:t>
      </w:r>
      <w:proofErr w:type="spellEnd"/>
      <w:r w:rsidRPr="00412E11">
        <w:t xml:space="preserve"> továbbá, hogy ez a minta a Szükséghelyzeti Alap Afrikáért uniós eszközhöz kapcsolódó 27 tranzakcióból, 20 uniós képviselet</w:t>
      </w:r>
      <w:r w:rsidRPr="00412E11">
        <w:rPr>
          <w:rStyle w:val="FootnoteReference"/>
        </w:rPr>
        <w:footnoteReference w:id="30"/>
      </w:r>
      <w:r w:rsidRPr="00412E11">
        <w:t xml:space="preserve"> által engedélyezett 98 tranzakcióból, valamint a Bizottság székhelyén jóváhagyott 15 kifizetésből állt;</w:t>
      </w:r>
    </w:p>
    <w:p w:rsidR="00E46C5F" w:rsidRPr="00412E11" w:rsidRDefault="00E46C5F" w:rsidP="00E46C5F">
      <w:pPr>
        <w:pStyle w:val="NormalHanging12a"/>
      </w:pPr>
      <w:r w:rsidRPr="00412E11">
        <w:t>22.</w:t>
      </w:r>
      <w:r w:rsidRPr="00412E11">
        <w:tab/>
        <w:t xml:space="preserve">aggodalommal </w:t>
      </w:r>
      <w:proofErr w:type="spellStart"/>
      <w:r w:rsidRPr="00412E11">
        <w:t>jegyzi</w:t>
      </w:r>
      <w:proofErr w:type="spellEnd"/>
      <w:r w:rsidRPr="00412E11">
        <w:t xml:space="preserve"> meg, hogy a 140 vizsgált tranzakcióból 57 (40,7%) tartalmazott hibát, míg 2021-ban ugyanennyi tranzakcióra 54 (38,8%) hiba jutott; hangsúlyozza továbbá, hogy a Számvevőszék 48 hibát számszerűsített (2021-ben 43-at), amely alapján a 2022. évi pénzügyi évre vonatkozó hibaszintet 7,1%-</w:t>
      </w:r>
      <w:proofErr w:type="spellStart"/>
      <w:r w:rsidRPr="00412E11">
        <w:t>ra</w:t>
      </w:r>
      <w:proofErr w:type="spellEnd"/>
      <w:r w:rsidRPr="00412E11">
        <w:t xml:space="preserve"> becsülte (2021-ben ez 4,6% volt);</w:t>
      </w:r>
    </w:p>
    <w:p w:rsidR="00E46C5F" w:rsidRPr="00412E11" w:rsidRDefault="00E46C5F" w:rsidP="00E46C5F">
      <w:pPr>
        <w:pStyle w:val="NormalHanging12a"/>
      </w:pPr>
      <w:r w:rsidRPr="00412E11">
        <w:t>23.</w:t>
      </w:r>
      <w:r w:rsidRPr="00412E11">
        <w:tab/>
        <w:t xml:space="preserve">aggodalommal állapítja meg, hogy a hibák tipológiája szerint a 2022. évi pénzügyi </w:t>
      </w:r>
      <w:r w:rsidRPr="00412E11">
        <w:lastRenderedPageBreak/>
        <w:t>évben a fel nem merült kiadásokhoz kapcsolódó becsült hibaszint 51% (2021-ben 14,9%), a nem támogatható kiadásokhoz kapcsolódó becsült hibaszint 24% (2021-ben 38,6%), a közbeszerzési szabályok súlyos megsértéséhez kapcsolódó becsült hibaszint 16% (2021-ben 14,6%), az alapvető bizonylatok hiányához kapcsolódó becsült hibaszint 7% (2021-ben 23,3%), az egyéb típusú hibákhoz kapcsolódó becsült hibaszint pedig 2% (2021-ben 8,6%) volt; tudomásul veszi a Bizottság válaszát, miszerint a legtöbb hiba, amelyet el lehetett volna kerülni, a túlzott mértékű elszámolással (fel nem merült kiadások) kapcsolatos, ami a végrehajtó partnerek által a közvetett irányításban nyújtott elégtelen pénzügyi beszámolásnak tudható be, és nem érinti a projektek végrehajtását;</w:t>
      </w:r>
    </w:p>
    <w:p w:rsidR="00E46C5F" w:rsidRPr="00412E11" w:rsidRDefault="00E46C5F" w:rsidP="00E46C5F">
      <w:pPr>
        <w:pStyle w:val="NormalHanging12a"/>
      </w:pPr>
      <w:r w:rsidRPr="00412E11">
        <w:t>24.</w:t>
      </w:r>
      <w:r w:rsidRPr="00412E11">
        <w:tab/>
        <w:t xml:space="preserve">tudomásul veszi a Bizottság válaszát, amely szerint 2022-ben az összesített hibák mintegy 50%-a </w:t>
      </w:r>
      <w:proofErr w:type="spellStart"/>
      <w:r w:rsidRPr="00412E11">
        <w:t>a</w:t>
      </w:r>
      <w:proofErr w:type="spellEnd"/>
      <w:r w:rsidRPr="00412E11">
        <w:t xml:space="preserve"> túlzott mértékű elszámolásból ered, amely gyakorlat szerint a fel nem merült kiadásokat felmerült kiadásként tüntetik fel az elszámolásokban, és ezért ideiglenesek, mivel azok a végleges elszámolást követően már nem fognak létezni; tudomásul veszi továbbá a Bizottság által a felmerült kiadások könnyebb azonosítása érdekében tett intézkedéseket, és felhívja a Bizottságot, hogy tájékoztassa a mentesítésért felelős hatóságot ezen intézkedések hatásairól;</w:t>
      </w:r>
    </w:p>
    <w:p w:rsidR="00E46C5F" w:rsidRPr="00412E11" w:rsidRDefault="00E46C5F" w:rsidP="00E46C5F">
      <w:pPr>
        <w:pStyle w:val="NormalHanging12a"/>
      </w:pPr>
      <w:r w:rsidRPr="00412E11">
        <w:t>25.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2022-ben a DG INTPA előzetes ellenőrzései megakadályozták összesen 167,94 millió EUR összegű nem támogatható kiadás kifizetését, ami a teljes kiszámlázott összeg 2,91%-</w:t>
      </w:r>
      <w:proofErr w:type="spellStart"/>
      <w:r w:rsidRPr="00412E11">
        <w:t>ának</w:t>
      </w:r>
      <w:proofErr w:type="spellEnd"/>
      <w:r w:rsidRPr="00412E11">
        <w:t xml:space="preserve"> felel meg, és meghaladja a DG INTPA által e mutatóra meghatározott referenciaértéket (2%), és meghaladja a 2021. évi eredményt (2,62%); </w:t>
      </w:r>
      <w:proofErr w:type="spellStart"/>
      <w:r w:rsidRPr="00412E11">
        <w:t>ösztönzi</w:t>
      </w:r>
      <w:proofErr w:type="spellEnd"/>
      <w:r w:rsidRPr="00412E11">
        <w:t xml:space="preserve"> a Bizottságot, hogy tökéletesítse tovább a kontrollrendszereket;</w:t>
      </w:r>
    </w:p>
    <w:p w:rsidR="00E46C5F" w:rsidRPr="00412E11" w:rsidRDefault="00E46C5F" w:rsidP="00E46C5F">
      <w:pPr>
        <w:pStyle w:val="NormalHanging12a"/>
      </w:pPr>
      <w:r w:rsidRPr="00412E11">
        <w:t>26.</w:t>
      </w:r>
      <w:r w:rsidRPr="00412E11">
        <w:rPr>
          <w:b/>
          <w:i/>
          <w:color w:val="FF0000"/>
        </w:rPr>
        <w:tab/>
      </w:r>
      <w:r w:rsidRPr="00412E11">
        <w:t xml:space="preserve">aggodalmát fejezi ki amiatt, hogy az EFA benini nemzeti programengedélyezője a közbeszerzési szabályok súlyos megsértésével kötött szerződést egy tanácsadó céggel az országban a civil társadalmi szerepvállalás megerősítésére; aggodalommal állapítja meg, hogy a Bizottság szerint az értékelőbizottság „mérlegelési jogkörét” használta egy olyan számítási módszer alkalmazására, amelyet az eljárás során nem dokumentáltak megfelelően; tudomásul veszi a Bizottság által ennél a küldöttségnél feltárt hiányosságok kezelése és más küldöttségek hasonló problémáinak elkerülése érdekében tett intézkedéseket; </w:t>
      </w:r>
      <w:proofErr w:type="spellStart"/>
      <w:r w:rsidRPr="00412E11">
        <w:t>megjegyzi</w:t>
      </w:r>
      <w:proofErr w:type="spellEnd"/>
      <w:r w:rsidRPr="00412E11">
        <w:t>, hogy a benini uniós küldöttség hibaszintje a teljes hiba mintegy 30%-át tette ki, és ha ezt nem vették volna figyelembe, a teljes hiba 7,1% helyett körülbelül 4,7% lett volna; emlékeztet arra, hogy az átláthatóság és az elszámoltathatóság alapvető fontosságú a nem kormányzati szervezetek számára, amelyeknek az uniós pénzügyi szabályokkal és értékekkel teljes összhangban kell eljárniuk, különösen az uniós alapok kezelése során, és hangsúlyozza, hogy a nem kormányzati szervezeteket támogatni kell ellenőrzési és felügyeleti rendszereikben, különösen azokat, amelyek harmadik országokban működnek; emlékeztet arra, hogy a nem kormányzati szervezeteket ugyanolyan szintű ellenőrzésnek és vizsgálatnak vetik alá, mint az uniós források bármely más kedvezményezettjét;</w:t>
      </w:r>
    </w:p>
    <w:p w:rsidR="00E46C5F" w:rsidRPr="00412E11" w:rsidRDefault="00E46C5F" w:rsidP="00E46C5F">
      <w:pPr>
        <w:pStyle w:val="NormalHanging12a"/>
      </w:pPr>
      <w:r w:rsidRPr="00412E11">
        <w:t>27.</w:t>
      </w:r>
      <w:r w:rsidRPr="00412E11">
        <w:tab/>
        <w:t>aggodalommal állapítja meg, hogy a becsült hibaszint szisztematikusan meghaladja a lényegességi küszöböt (2%); aggodalommal állapítja meg, hogy a 2021. évi pénzügyi évhez képest a becsült hibaszint 2,5%-</w:t>
      </w:r>
      <w:proofErr w:type="spellStart"/>
      <w:r w:rsidRPr="00412E11">
        <w:t>kal</w:t>
      </w:r>
      <w:proofErr w:type="spellEnd"/>
      <w:r w:rsidRPr="00412E11">
        <w:t xml:space="preserve"> nőtt, szemben a 2020-as és a 2021-es pénzügyi év közötti 0,8%-</w:t>
      </w:r>
      <w:proofErr w:type="spellStart"/>
      <w:r w:rsidRPr="00412E11">
        <w:t>os</w:t>
      </w:r>
      <w:proofErr w:type="spellEnd"/>
      <w:r w:rsidRPr="00412E11">
        <w:t xml:space="preserve"> növekedéssel;</w:t>
      </w:r>
    </w:p>
    <w:p w:rsidR="00E46C5F" w:rsidRPr="00412E11" w:rsidRDefault="00E46C5F" w:rsidP="00E46C5F">
      <w:pPr>
        <w:pStyle w:val="NormalHanging12a"/>
      </w:pPr>
      <w:r w:rsidRPr="00412E11">
        <w:t>28.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2022-ben a Bizottság 333 beszedési megbízást adott ki 293 szerződéssel kapcsolatban, összesen 62,92 millió EUR értékben;</w:t>
      </w:r>
    </w:p>
    <w:p w:rsidR="00E46C5F" w:rsidRPr="00412E11" w:rsidRDefault="00E46C5F" w:rsidP="00E46C5F">
      <w:pPr>
        <w:pStyle w:val="NormalHanging12a"/>
        <w:keepNext/>
        <w:keepLines/>
        <w:ind w:left="0" w:firstLine="0"/>
        <w:rPr>
          <w:b/>
          <w:i/>
        </w:rPr>
      </w:pPr>
      <w:r w:rsidRPr="00412E11">
        <w:rPr>
          <w:b/>
          <w:i/>
        </w:rPr>
        <w:lastRenderedPageBreak/>
        <w:t>Átláthatóság és az ellenőrző és minőségbiztosítási rendszerek hatékonysága</w:t>
      </w:r>
    </w:p>
    <w:p w:rsidR="00E46C5F" w:rsidRPr="00412E11" w:rsidRDefault="00E46C5F" w:rsidP="00E46C5F">
      <w:pPr>
        <w:pStyle w:val="NormalHanging12a"/>
      </w:pPr>
      <w:r w:rsidRPr="00412E11">
        <w:t>29.</w:t>
      </w:r>
      <w:r w:rsidRPr="00412E11">
        <w:tab/>
        <w:t>tudomásul veszi a Számvevőszék észrevételét, miszerint 2022-ben a Bizottság és végrehajtó partnerei a programbecslésekhez és vissza nem térítendő támogatásokhoz, valamint a kedvezményezett országokkal, nemzetközi szervezetekkel és tagállami ügynökségekkel kötött hozzájárulási és hatáskör-átruházási megállapodásokhoz kapcsolódó tranzakciókban több hibát követtek el, mint más támogatási formáknál (pl. építési beruházásokkal, valamint szállítási és szolgáltatási szerződésekkel kapcsolatos támogatásoknál); megállapítja továbbá, hogy a Számvevőszék által vizsgált 99 ilyen típusú tranzakcióból 46-nál merült fel számszerűsíthető hiba, amelyek a becsült hibaszint 86%-át tették ki; tudomásul veszi, hogy a DG INTPA jelenleg felülvizsgálja ellenőrzési stratégiáját, beleértve a jelentéstételi követelményeket is, és vizsgálja a lehetséges korrekciós intézkedéseket; kéri a Bizottságot, hogy tájékoztassa a mentesítésért felelős hatóságot felülvizsgált ellenőrzési stratégiájáról;</w:t>
      </w:r>
    </w:p>
    <w:p w:rsidR="00E46C5F" w:rsidRPr="00412E11" w:rsidRDefault="00E46C5F" w:rsidP="00E46C5F">
      <w:pPr>
        <w:pStyle w:val="NormalHanging12a"/>
      </w:pPr>
      <w:r w:rsidRPr="00412E11">
        <w:t>30.</w:t>
      </w:r>
      <w:r w:rsidRPr="00412E11">
        <w:tab/>
        <w:t xml:space="preserve">megállapítja, hogy a Számvevőszék jelentése szerint 23 számszerűsíthető hiba és öt nem számszerűsíthető hiba esetében a Bizottságnak elegendő információ állt rendelkezésére ahhoz, hogy a kiadások elfogadása előtt megelőzze, illetve feltárja és korrigálja a hibákat; </w:t>
      </w:r>
      <w:proofErr w:type="spellStart"/>
      <w:r w:rsidRPr="00412E11">
        <w:t>megjegyzi</w:t>
      </w:r>
      <w:proofErr w:type="spellEnd"/>
      <w:r w:rsidRPr="00412E11">
        <w:t xml:space="preserve"> továbbá, hogy a Számvevőszék értékelése szerint, ha a Bizottság megfelelően felhasználta volna a rendelkezésére álló összes információt, a becsült hibaszint 5,5 százalékponttal alacsonyabb lett volna, míg 2021-ben 2,4 százalékponttal alacsonyabb; tudomásul veszi a Bizottság válaszát, amely szerint a legtöbb olyan hiba, amelyet el lehetett volna kerülni, a végrehajtó partnerek által a közvetett irányításban nyújtott elégtelen pénzügyi beszámolásnak tudható be; tudomásul veszi a Bizottság azon kötelezettségvállalását, hogy felülvizsgálja ellenőrzési stratégiáját, beleértve a jelentéstételi követelményeket is, és felhívja a Bizottságot, hogy hivatkozzon a meghozott korrekciós intézkedésekre;</w:t>
      </w:r>
    </w:p>
    <w:p w:rsidR="00E46C5F" w:rsidRPr="00412E11" w:rsidRDefault="00E46C5F" w:rsidP="00E46C5F">
      <w:pPr>
        <w:pStyle w:val="NormalHanging12a"/>
      </w:pPr>
      <w:r w:rsidRPr="00412E11">
        <w:t>31.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a Számvevőszék jelentése szerint 22, számszerűsíthető hibával érintett tranzakció esetében került sor ellenőrzésre vagy költségvizsgálatra, ezek 2,3 százalékponttal járultak hozzá a becsült hibaszinthez; </w:t>
      </w:r>
      <w:proofErr w:type="spellStart"/>
      <w:r w:rsidRPr="00412E11">
        <w:t>megjegyzi</w:t>
      </w:r>
      <w:proofErr w:type="spellEnd"/>
      <w:r w:rsidRPr="00412E11">
        <w:t xml:space="preserve"> továbbá, hogy a DG INTPA kontrollrendszere előzetes ellenőrzéseken alapul, valamint hogy az ellenőrzésekről vagy költségvizsgálatokról szóló jelentésekben szereplő, a ténylegesen elvégzett munkára vonatkozó információk nem tették lehetővé a Számvevőszék számára annak megítélését, hogy az említett előzetes ellenőrzések során a hibák feltárhatók és korrigálhatók lettek volna-e, mivel a jelentések nem terjednek ki a bejelentett kiadások 100%-ára, és nem tartalmaznak elegendő részletet annak megerősítéséhez, hogy azok a tételek, amelyeknél a Számvevőszék hibákat tárt fel, az előzetes ellenőrzések részét képezték-e; e tekintetben </w:t>
      </w:r>
      <w:proofErr w:type="spellStart"/>
      <w:r w:rsidRPr="00412E11">
        <w:t>megjegyzi</w:t>
      </w:r>
      <w:proofErr w:type="spellEnd"/>
      <w:r w:rsidRPr="00412E11">
        <w:t>, hogy a Bizottság rendszeresen frissíti a kiadások ellenőrzésére vonatkozó feladatmeghatározást a jelentéstétel teljességének és egyértelműségének javítása érdekében; felkéri a Bizottságot, hogy az elért javulásról tájékoztassa a mentesítésért felelős hatóságot;</w:t>
      </w:r>
    </w:p>
    <w:p w:rsidR="00E46C5F" w:rsidRPr="00412E11" w:rsidRDefault="00E46C5F" w:rsidP="00E46C5F">
      <w:pPr>
        <w:pStyle w:val="NormalHanging12a"/>
      </w:pPr>
      <w:r w:rsidRPr="00412E11">
        <w:t>32.</w:t>
      </w:r>
      <w:r w:rsidRPr="00412E11">
        <w:tab/>
        <w:t>hangsúlyozza, hogy a Számvevőszék két olyan kifizetési területet azonosított, ahol a fizetési feltételek jellege miatt jellemzően kevesebb hiba fordul elő a tranzakciókban</w:t>
      </w:r>
      <w:r w:rsidR="007B3084" w:rsidRPr="00412E11">
        <w:t>:</w:t>
      </w:r>
      <w:r w:rsidRPr="00412E11">
        <w:t xml:space="preserve"> a) költségvetés-támogatás és b) nemzetközi szervezetek által lebonyolított olyan több támogatót tömörítő projektek, amelyeknél az ún. „feltételezéses megközelítést” alkalmazzák; </w:t>
      </w:r>
      <w:proofErr w:type="spellStart"/>
      <w:r w:rsidRPr="00412E11">
        <w:t>megjegyzi</w:t>
      </w:r>
      <w:proofErr w:type="spellEnd"/>
      <w:r w:rsidRPr="00412E11">
        <w:t>, hogy a Számvevőszék 2022-ben két költségvetés-támogatási tranzakciót és nyolc nemzetközi szervezetek által irányított „feltételezéses megközelítést” alkalmazó projektet ellenőrzött;</w:t>
      </w:r>
    </w:p>
    <w:p w:rsidR="00E46C5F" w:rsidRPr="00412E11" w:rsidRDefault="00E46C5F" w:rsidP="00E46C5F">
      <w:pPr>
        <w:pStyle w:val="NormalHanging12a"/>
      </w:pPr>
      <w:r w:rsidRPr="00412E11">
        <w:lastRenderedPageBreak/>
        <w:t>33.</w:t>
      </w:r>
      <w:r w:rsidRPr="00412E11">
        <w:tab/>
        <w:t xml:space="preserve">kiemeli a helyi végrehajtó partnerek szerepét, valamint támogatásuk és a kapacitásépítés biztosításának szükségességét; </w:t>
      </w:r>
      <w:proofErr w:type="spellStart"/>
      <w:r w:rsidRPr="00412E11">
        <w:t>megjegyzi</w:t>
      </w:r>
      <w:proofErr w:type="spellEnd"/>
      <w:r w:rsidRPr="00412E11">
        <w:t>, hogy az EFA-projektek fokozatos megszüntetésével meg kell őrizni az uniós alapok kezelésével kapcsolatos helyi szakismeretet annak a Szomszédsági, Fejlesztési és Nemzetközi Együttműködési Eszköz (NDICI) – Globális Európa projektjeiben való felhasználása érdekében; hangsúlyozza, hogy szükség lenne az uniós projektek értékelésére és nyomon követésére, valamint azokról jelentést kellene tenni hatékonyságuk meghatározása és a nem kívánt negatív hatások elkerülése érdekében;</w:t>
      </w:r>
    </w:p>
    <w:p w:rsidR="00E46C5F" w:rsidRPr="00412E11" w:rsidRDefault="00E46C5F" w:rsidP="00E46C5F">
      <w:pPr>
        <w:pStyle w:val="NormalHanging12a"/>
      </w:pPr>
      <w:r w:rsidRPr="00412E11">
        <w:t>34.</w:t>
      </w:r>
      <w:r w:rsidRPr="00412E11">
        <w:tab/>
        <w:t xml:space="preserve">aggodalmát fejezi ki amiatt, hogy a korábbi évekhez hasonlóan néhány nemzetközi szervezet csak korlátozott (például kizárólag az adatok megtekintésére feljogosító) hozzáférést biztosított a dokumentumokhoz, ami hátráltatta a számvevőszéki ellenőrzés tervezését és végrehajtását, csorbította annak minőség-ellenőrzését, valamint késedelmekhez vezetett; </w:t>
      </w:r>
      <w:proofErr w:type="spellStart"/>
      <w:r w:rsidRPr="00412E11">
        <w:t>megjegyzi</w:t>
      </w:r>
      <w:proofErr w:type="spellEnd"/>
      <w:r w:rsidRPr="00412E11">
        <w:t>, hogy az ENSZ-szervekkel és a Világbankkal több alkalommal is megvitattak a kontrollmechanizmusokkal kapcsolatos kérdéseket, többek között a közös technikai referenciacsoport és az EU–ENSZ FAFA munkacsoport ülései keretében, valamint hogy közös technikai csoportokat hoztak létre az ellenőrzési és kontrollmechanizmusokkal kapcsolatos kérdések rendszeres megvitatására; </w:t>
      </w:r>
      <w:proofErr w:type="spellStart"/>
      <w:r w:rsidRPr="00412E11">
        <w:t>megjegyzi</w:t>
      </w:r>
      <w:proofErr w:type="spellEnd"/>
      <w:r w:rsidRPr="00412E11">
        <w:t xml:space="preserve"> továbbá, hogy a Bizottság együttműködik az érintett nemzetközi szervezetekkel, és intenzívebb kommunikációt folytatott velük a Számvevőszék dokumentumokhoz való hozzáféréséről; </w:t>
      </w:r>
      <w:proofErr w:type="spellStart"/>
      <w:r w:rsidRPr="00412E11">
        <w:t>ösztönzi</w:t>
      </w:r>
      <w:proofErr w:type="spellEnd"/>
      <w:r w:rsidRPr="00412E11">
        <w:t xml:space="preserve"> a Bizottságot, hogy fokozza ezeket az erőfeszítéseket;</w:t>
      </w:r>
    </w:p>
    <w:p w:rsidR="00E46C5F" w:rsidRPr="00412E11" w:rsidRDefault="00E46C5F" w:rsidP="00E46C5F">
      <w:pPr>
        <w:pStyle w:val="NormalHanging12a"/>
      </w:pPr>
      <w:r w:rsidRPr="00412E11">
        <w:t>35.</w:t>
      </w:r>
      <w:r w:rsidRPr="00412E11">
        <w:tab/>
        <w:t>megállapítja, hogy a DG INTPA-</w:t>
      </w:r>
      <w:proofErr w:type="spellStart"/>
      <w:r w:rsidRPr="00412E11">
        <w:t>nak</w:t>
      </w:r>
      <w:proofErr w:type="spellEnd"/>
      <w:r w:rsidRPr="00412E11">
        <w:t xml:space="preserve"> a fennmaradó hibaarányra vonatkozó tizenegyedik vizsgálata, amelyet 2022-ben a főigazgatóság megbízásából egy külső szerződő fél végzett, úgy becsülte, hogy az általános fennmaradó hibaarány immár a hetedik egymást követő évben a Bizottság által meghatározott 2%-</w:t>
      </w:r>
      <w:proofErr w:type="spellStart"/>
      <w:r w:rsidRPr="00412E11">
        <w:t>os</w:t>
      </w:r>
      <w:proofErr w:type="spellEnd"/>
      <w:r w:rsidRPr="00412E11">
        <w:t xml:space="preserve"> lényegességi küszöb alatt van: 1,15% (2021-ben 1,14%);</w:t>
      </w:r>
    </w:p>
    <w:p w:rsidR="00E46C5F" w:rsidRPr="00412E11" w:rsidRDefault="00E46C5F" w:rsidP="00E46C5F">
      <w:pPr>
        <w:pStyle w:val="NormalHanging12a"/>
      </w:pPr>
      <w:r w:rsidRPr="00412E11">
        <w:t>36.</w:t>
      </w:r>
      <w:r w:rsidRPr="00412E11">
        <w:tab/>
        <w:t xml:space="preserve">hangsúlyozza, hogy a Számvevőszék értékelése szerint a fennmaradó hibaarányra vonatkozó vizsgálat nem minősül bizonyosságot nyújtó szolgáltatásnak vagy ellenőrzésnek, és a DG INTPA által rendelkezésre bocsátott, fennmaradó hibaarányra vonatkozó módszertanon és kézikönyvön alapul; </w:t>
      </w:r>
      <w:proofErr w:type="spellStart"/>
      <w:r w:rsidRPr="00412E11">
        <w:t>megjegyzi</w:t>
      </w:r>
      <w:proofErr w:type="spellEnd"/>
      <w:r w:rsidRPr="00412E11">
        <w:t xml:space="preserve">, hogy a DG INTPA egyértelművé teszi, hogy a fennmaradó hibaarányra vonatkozó vizsgálat a fennmaradó hibák becsült pénzügyi hatásának fő mutatója, azaz méri a belső kontrollrendszer megfelelő működését, és így demonstrálja a Bizottság korrekciós képességét; hangsúlyozza, hogy a Számvevőszék a korábbi évekhez hasonlóan most is korlátozásokat állapított meg a vizsgálatban; </w:t>
      </w:r>
      <w:proofErr w:type="spellStart"/>
      <w:r w:rsidRPr="00412E11">
        <w:t>megjegyzi</w:t>
      </w:r>
      <w:proofErr w:type="spellEnd"/>
      <w:r w:rsidRPr="00412E11">
        <w:t xml:space="preserve">, hogy a Számvevőszék a fennmaradó hibaarányra vonatkozó 2022. évi vizsgálatban alkalmazott számítási módszer felülvizsgálata során úgy ítélte meg, hogy a fennmaradó hibaarányt </w:t>
      </w:r>
      <w:proofErr w:type="spellStart"/>
      <w:r w:rsidRPr="00412E11">
        <w:t>alulbecsülték</w:t>
      </w:r>
      <w:proofErr w:type="spellEnd"/>
      <w:r w:rsidRPr="00412E11">
        <w:t>, és hogy a Számvevőszék számítása 1,35%-</w:t>
      </w:r>
      <w:proofErr w:type="spellStart"/>
      <w:r w:rsidRPr="00412E11">
        <w:t>os</w:t>
      </w:r>
      <w:proofErr w:type="spellEnd"/>
      <w:r w:rsidRPr="00412E11">
        <w:t xml:space="preserve"> fennmaradó hibaarányt eredményezett; </w:t>
      </w:r>
      <w:proofErr w:type="spellStart"/>
      <w:r w:rsidRPr="00412E11">
        <w:t>megjegyzi</w:t>
      </w:r>
      <w:proofErr w:type="spellEnd"/>
      <w:r w:rsidRPr="00412E11">
        <w:t xml:space="preserve"> továbbá, hogy a Számvevőszék a korábbi évekhez hasonlóan úgy véli, hogy a fennmaradó hibaarány módszertana lehetővé teszi a szerződő fél számára, hogy teljes mértékben a DG INTPA irányítási ellenőrzéseinek eredményeire támaszkodjon, és hogy a más ellenőrök munkájára való támaszkodás ellentétes a fennmaradó hibaarányra vonatkozó vizsgálat céljával;</w:t>
      </w:r>
    </w:p>
    <w:p w:rsidR="00E46C5F" w:rsidRPr="00412E11" w:rsidRDefault="00E46C5F" w:rsidP="00E46C5F">
      <w:pPr>
        <w:pStyle w:val="NormalHanging12a"/>
      </w:pPr>
      <w:r w:rsidRPr="00412E11">
        <w:t>37.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2018 óta a DG INTPA jelentősen csökkentette az éves tevékenységi jelentésekben szereplő fenntartások hatókörét (azaz a fenntartások által lefedett kiadások arányát), és hogy a 2022. évi éves tevékenységi jelentés hasonlóképpen nem tartalmaz fenntartásokat; </w:t>
      </w:r>
      <w:proofErr w:type="spellStart"/>
      <w:r w:rsidRPr="00412E11">
        <w:t>megjegyzi</w:t>
      </w:r>
      <w:proofErr w:type="spellEnd"/>
      <w:r w:rsidRPr="00412E11">
        <w:t xml:space="preserve">, hogy a Számvevőszék a 2022. évi éves tevékenységi jelentésben indokolatlannak találja a fenntartások hiányát, és úgy véli, </w:t>
      </w:r>
      <w:r w:rsidRPr="00412E11">
        <w:lastRenderedPageBreak/>
        <w:t xml:space="preserve">hogy az részben a fennmaradó hibaarányra vonatkozó vizsgálat </w:t>
      </w:r>
      <w:proofErr w:type="spellStart"/>
      <w:r w:rsidRPr="00412E11">
        <w:t>korlátaiból</w:t>
      </w:r>
      <w:proofErr w:type="spellEnd"/>
      <w:r w:rsidRPr="00412E11">
        <w:t xml:space="preserve"> ered;  tudomásul veszi a Bizottság válaszát, amely szerint a fenntartások hiányát a fennmaradó hibaarányra vonatkozó módszertannak és utasításoknak a Bizottság központi szolgálatai általi helyes alkalmazása indokolja;</w:t>
      </w:r>
    </w:p>
    <w:p w:rsidR="00E46C5F" w:rsidRPr="00412E11" w:rsidRDefault="00E46C5F" w:rsidP="00E46C5F">
      <w:pPr>
        <w:pStyle w:val="NormalHanging12a"/>
      </w:pPr>
      <w:r w:rsidRPr="00412E11">
        <w:t>38.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a  DG INTPA becslése szerint a kifizetéskor kockázatosnak minősülő teljes összeg 83,3 millió EUR (a 2022. évi kiadások 1,4%-a), a záráskor kockázatosnak minősülő teljes összeg pedig 71,7 millió EUR; </w:t>
      </w:r>
      <w:proofErr w:type="spellStart"/>
      <w:r w:rsidRPr="00412E11">
        <w:t>megjegyzi</w:t>
      </w:r>
      <w:proofErr w:type="spellEnd"/>
      <w:r w:rsidRPr="00412E11">
        <w:t xml:space="preserve"> továbbá, hogy a kifizetéskor kockázatosnak minősülő összegből a DG INTPA becslései szerint a következő években végzendő ellenőrzései 11,6 millió EUR-t (19%) fognak korrigálni (ez az összeg az úgynevezett „korrekciós képesség”);</w:t>
      </w:r>
    </w:p>
    <w:p w:rsidR="00E46C5F" w:rsidRPr="00412E11" w:rsidRDefault="00E46C5F" w:rsidP="00E46C5F">
      <w:pPr>
        <w:pStyle w:val="NormalHanging12a"/>
      </w:pPr>
      <w:r w:rsidRPr="00412E11">
        <w:t>39.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a DG INTPA azonosított kontrollhiányosságokkal és magas kockázatokkal foglalkozó 2022. évi cselekvési terve magában foglalja a Számvevőszék jelentéseiben / a fennmaradó hibaarányra vonatkozó vizsgálatban foglalt megállapítások hasznosulásvizsgálatának javítását, és hogy 2022 szeptemberében elfogadták a fennmaradó hibaarányra vonatkozó kézikönyv és módszertan új verzióit a Számvevőszék korábbi észrevételeiben felvetett problémák kezelése érdekében; tudomásul veszi a Bizottság válaszát, amely szerint a módosított szabályokkal elkerülhető a korábbi ellenőrzési munkákra való túlzott támaszkodás, mivel mostantól megkövetelik, hogy a korábbi ellenőrzési munkákra való támaszkodás eseteit a múltbeli átlagok fényében kövessék nyomon; </w:t>
      </w:r>
      <w:proofErr w:type="spellStart"/>
      <w:r w:rsidRPr="00412E11">
        <w:t>megjegyzi</w:t>
      </w:r>
      <w:proofErr w:type="spellEnd"/>
      <w:r w:rsidRPr="00412E11">
        <w:t xml:space="preserve"> továbbá, hogy a Bizottság teljes mértékben végrehajtotta a Számvevőszék 2020. évi éves jelentésének azon ajánlását, hogy állapítsa meg a fennmaradó hibaarányra vonatkozó vizsgálatot végző vállalkozó azon kötelezettségét, hogy jelentse a Bizottságnak a munkája során felmerülő, az uniós költségvetést érintő csalásgyanús eseteket; sajnálja azonban, hogy a Bizottság nem fogadja el a Számvevőszék 2022. évi éves jelentésében foglalt, a fennmaradó hibaarányra vonatkozó módszertan javítására és megfelelő alkalmazásának ellenőrzésére vonatkozó ajánlást, mivel úgy véli, hogy nincs szükség a fennmaradó hibaarányra vonatkozó vizsgálathoz használt módszertan módosítására a nagy értékű tételek extrapolációja tekintetében;</w:t>
      </w:r>
    </w:p>
    <w:p w:rsidR="00E46C5F" w:rsidRPr="00412E11" w:rsidRDefault="00E46C5F" w:rsidP="00E46C5F">
      <w:pPr>
        <w:pStyle w:val="NormalHanging12a"/>
        <w:keepNext/>
        <w:keepLines/>
        <w:ind w:left="0" w:firstLine="0"/>
        <w:rPr>
          <w:b/>
          <w:i/>
        </w:rPr>
      </w:pPr>
      <w:r w:rsidRPr="00412E11">
        <w:rPr>
          <w:b/>
          <w:i/>
        </w:rPr>
        <w:t>A csalások megelőzése, feltárása és korrekciója</w:t>
      </w:r>
    </w:p>
    <w:p w:rsidR="00E46C5F" w:rsidRPr="00412E11" w:rsidRDefault="00E46C5F" w:rsidP="00E46C5F">
      <w:pPr>
        <w:pStyle w:val="NormalHanging12a"/>
      </w:pPr>
      <w:r w:rsidRPr="00412E11">
        <w:t>40.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a DG INTPA 2014 óta az Európai Csalás Elleni Hivatal (OLAF) által rendelkezésre bocsátott módszertan alapján dolgozza ki és hajtja végre saját csalásellenes stratégiáját, és hogy a stratégiát hatálybalépése óta háromszor frissítették; </w:t>
      </w:r>
      <w:proofErr w:type="spellStart"/>
      <w:r w:rsidRPr="00412E11">
        <w:t>megjegyzi</w:t>
      </w:r>
      <w:proofErr w:type="spellEnd"/>
      <w:r w:rsidRPr="00412E11">
        <w:t xml:space="preserve">, hogy a DG INTPA úgy határozott, hogy elhalasztja csalás elleni stratégiájának (eredetileg 2022-re tervezett) félidős értékelését a Belső Ellenőrzési Szolgálat, a Számvevőszék és az OLAF által vezetett számos folyamatban lévő ellenőrzés és aktualizálás miatt; </w:t>
      </w:r>
      <w:proofErr w:type="spellStart"/>
      <w:r w:rsidRPr="00412E11">
        <w:t>megjegyzi</w:t>
      </w:r>
      <w:proofErr w:type="spellEnd"/>
      <w:r w:rsidRPr="00412E11">
        <w:t xml:space="preserve"> továbbá, hogy a DG INTPA a vonatkozó cselekvési terv 90%-át végrehajtotta, és hogy az összes intézkedést a bejelentett határidőkön belül végrehajtották, eltekintve az OLAF-fal közösen megvizsgált, a csalási esetek </w:t>
      </w:r>
      <w:proofErr w:type="spellStart"/>
      <w:r w:rsidRPr="00412E11">
        <w:t>anonimizált</w:t>
      </w:r>
      <w:proofErr w:type="spellEnd"/>
      <w:r w:rsidRPr="00412E11">
        <w:t xml:space="preserve"> példáinak a Bizottság belső hálózatán belüli terjesztésének lehetőségétől, amelyet 2023-ban hajtottak végre;</w:t>
      </w:r>
    </w:p>
    <w:p w:rsidR="00E46C5F" w:rsidRPr="00412E11" w:rsidRDefault="00E46C5F" w:rsidP="00E46C5F">
      <w:pPr>
        <w:pStyle w:val="NormalHanging12a"/>
      </w:pPr>
      <w:r w:rsidRPr="00412E11">
        <w:t>41.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a DG INTPA hozzájárult a Bizottság csalás elleni stratégiájához is, és nyomon követte az OLAF 2018–2022-ben kiadott pénzügyi ajánlásait, ami a pénzügyi ajánlások mindössze 24%-</w:t>
      </w:r>
      <w:proofErr w:type="spellStart"/>
      <w:r w:rsidRPr="00412E11">
        <w:t>ának</w:t>
      </w:r>
      <w:proofErr w:type="spellEnd"/>
      <w:r w:rsidRPr="00412E11">
        <w:t xml:space="preserve"> lezárását és a pénzügyi ajánlások 76%-</w:t>
      </w:r>
      <w:proofErr w:type="spellStart"/>
      <w:r w:rsidRPr="00412E11">
        <w:t>ának</w:t>
      </w:r>
      <w:proofErr w:type="spellEnd"/>
      <w:r w:rsidRPr="00412E11">
        <w:t xml:space="preserve"> nyomon követését eredményezte; üdvözli a 2022-ben elért eredményeket, például a csalással kapcsolatos információk kezelésére vonatkozó új belső iránymutatások hatálybalépését, </w:t>
      </w:r>
      <w:r w:rsidRPr="00412E11">
        <w:lastRenderedPageBreak/>
        <w:t>a DG INTPA csalás elleni hálózatának megerősített kinevezési rendszerét, a DG INTPA végrehajtó partnereivel és kedvezményezettjeivel kapcsolatos külső figyelemfelkeltő intézkedések elindítását, az összes belső weboldal, kézikönyv és adatbázis folyamatos frissítését, valamint a személyzet minden tagjának szóló éves feljegyzést a szakmai etikai normákról, a csalásmegelőzésről és -felderítésről, valamint az információk közzétételére vonatkozó szabályokról;</w:t>
      </w:r>
    </w:p>
    <w:p w:rsidR="00E46C5F" w:rsidRPr="00412E11" w:rsidRDefault="00E46C5F" w:rsidP="00E46C5F">
      <w:pPr>
        <w:pStyle w:val="NormalHanging12a"/>
      </w:pPr>
      <w:r w:rsidRPr="00412E11">
        <w:t>42.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2022 végén a DG INTPA 24 folyamatban lévő vizsgálatról tudott, és az OLAF tájékoztatta </w:t>
      </w:r>
      <w:r w:rsidR="007B3084" w:rsidRPr="00412E11">
        <w:t>6</w:t>
      </w:r>
      <w:r w:rsidRPr="00412E11">
        <w:t xml:space="preserve"> pénzügyi és/vagy igazgatási ajánlást tartalmazó vizsgálat, valamint </w:t>
      </w:r>
      <w:r w:rsidR="007B3084" w:rsidRPr="00412E11">
        <w:t xml:space="preserve">7 </w:t>
      </w:r>
      <w:r w:rsidRPr="00412E11">
        <w:t xml:space="preserve">ajánlás nélküli vizsgálat lezárásáról, továbbá 2 ügynek az Európai Ügyészséghez történő áthelyezéséről; </w:t>
      </w:r>
      <w:proofErr w:type="spellStart"/>
      <w:r w:rsidRPr="00412E11">
        <w:t>megjegyzi</w:t>
      </w:r>
      <w:proofErr w:type="spellEnd"/>
      <w:r w:rsidRPr="00412E11">
        <w:t>, hogy a DG INTPA szisztematikusan továbbított az OLAF-</w:t>
      </w:r>
      <w:proofErr w:type="spellStart"/>
      <w:r w:rsidRPr="00412E11">
        <w:t>nak</w:t>
      </w:r>
      <w:proofErr w:type="spellEnd"/>
      <w:r w:rsidRPr="00412E11">
        <w:t xml:space="preserve"> minden olyan esetet, amelyben csalás vagy szabálytalanság gyanúja merült fel, és szorosan figyelemmel kísérte az OLAF által bejelentett valamennyi pénzügyi ajánlást;</w:t>
      </w:r>
    </w:p>
    <w:p w:rsidR="00E46C5F" w:rsidRPr="00412E11" w:rsidRDefault="00E46C5F" w:rsidP="00E46C5F">
      <w:pPr>
        <w:pStyle w:val="NormalHanging12a"/>
        <w:rPr>
          <w:sz w:val="23"/>
          <w:szCs w:val="23"/>
        </w:rPr>
      </w:pPr>
      <w:r w:rsidRPr="00412E11">
        <w:t>43.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a DG INTPA 2021–2024 közötti időszakra szóló csalás elleni stratégiájának első kiemelt célkitűzése a csalással kapcsolatos kérdésekkel kapcsolatos belső és külső tudatosság növelése, többek között képzési lehetőségek révén;</w:t>
      </w:r>
      <w:r w:rsidRPr="00412E11">
        <w:rPr>
          <w:sz w:val="23"/>
        </w:rPr>
        <w:t xml:space="preserve"> sajnálatát fejezi ki azonban amiatt, hogy a Számvevőszék négy küldöttségnél végzett kiküldetése során úgy találta, hogy hiányoznak a csalásmegelőzési képzések (a személyzet az elmúlt 5 évben nem részesült csalásmegelőzési képzésben);</w:t>
      </w:r>
    </w:p>
    <w:p w:rsidR="00E46C5F" w:rsidRPr="00412E11" w:rsidRDefault="00E46C5F" w:rsidP="00E46C5F">
      <w:pPr>
        <w:pStyle w:val="NormalHanging12a"/>
      </w:pPr>
      <w:r w:rsidRPr="00412E11">
        <w:rPr>
          <w:sz w:val="23"/>
        </w:rPr>
        <w:t>44.</w:t>
      </w:r>
      <w:r w:rsidRPr="00412E11">
        <w:rPr>
          <w:sz w:val="23"/>
        </w:rPr>
        <w:tab/>
        <w:t>üdvözli, hogy a DG INTPA optimalizálta a korai felismerési és kizárási rendszer csalás elleni szankciókkal kapcsolatos eszközként való használatát, és fokozta a költségvetés-támogatással kapcsolatos csalás elleni intézkedéseket;</w:t>
      </w:r>
    </w:p>
    <w:p w:rsidR="00E46C5F" w:rsidRPr="00412E11" w:rsidRDefault="00E46C5F" w:rsidP="00E46C5F">
      <w:pPr>
        <w:pStyle w:val="NormalHanging12a"/>
        <w:keepNext/>
        <w:keepLines/>
        <w:ind w:left="0" w:firstLine="0"/>
        <w:rPr>
          <w:b/>
          <w:i/>
        </w:rPr>
      </w:pPr>
      <w:r w:rsidRPr="00412E11">
        <w:rPr>
          <w:b/>
          <w:i/>
        </w:rPr>
        <w:t>Uniós költségvetés-támogatás</w:t>
      </w:r>
    </w:p>
    <w:p w:rsidR="00E46C5F" w:rsidRPr="00412E11" w:rsidRDefault="00E46C5F" w:rsidP="00E46C5F">
      <w:pPr>
        <w:pStyle w:val="NormalHanging12a"/>
      </w:pPr>
      <w:r w:rsidRPr="00412E11">
        <w:t>45.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az EFA keretében 2022-ben teljesített költségvetés-támogatási kifizetések 105,2 millió EUR-t tettek ki;</w:t>
      </w:r>
    </w:p>
    <w:p w:rsidR="00E46C5F" w:rsidRPr="00412E11" w:rsidRDefault="00E46C5F" w:rsidP="00E46C5F">
      <w:pPr>
        <w:pStyle w:val="NormalHanging12a"/>
      </w:pPr>
      <w:r w:rsidRPr="00412E11">
        <w:t>46.</w:t>
      </w:r>
      <w:r w:rsidRPr="00412E11">
        <w:tab/>
        <w:t xml:space="preserve">az összehasonlítás kedvéért </w:t>
      </w:r>
      <w:proofErr w:type="spellStart"/>
      <w:r w:rsidRPr="00412E11">
        <w:t>megjegyzi</w:t>
      </w:r>
      <w:proofErr w:type="spellEnd"/>
      <w:r w:rsidRPr="00412E11">
        <w:t>, hogy 2022-ben Ukrajna számára nyújtották a harmadik legnagyobb költségvetés-támogatási portfóliót, a folyamatban lévő műveletekre fordított közel 800 millió EUR összeggel;</w:t>
      </w:r>
    </w:p>
    <w:p w:rsidR="00E46C5F" w:rsidRPr="00412E11" w:rsidRDefault="00E46C5F" w:rsidP="00E46C5F">
      <w:pPr>
        <w:pStyle w:val="NormalHanging12a"/>
      </w:pPr>
      <w:r w:rsidRPr="00412E11">
        <w:t>47.</w:t>
      </w:r>
      <w:r w:rsidRPr="00412E11">
        <w:tab/>
        <w:t xml:space="preserve">kiemeli, hogy az elmúlt 3 évben az uniós költségvetés-támogatás összesen 6 milliárd EUR – 2020-ban 3 milliárd EUR, 2021-ben 1,2 milliárd EUR, 2022-ben pedig 1,8 milliárd EUR – összegű kifizetést biztosított; </w:t>
      </w:r>
      <w:proofErr w:type="spellStart"/>
      <w:r w:rsidRPr="00412E11">
        <w:t>megjegyzi</w:t>
      </w:r>
      <w:proofErr w:type="spellEnd"/>
      <w:r w:rsidRPr="00412E11">
        <w:t xml:space="preserve"> továbbá, hogy a költségvetés-támogatás az Európai Bizottság kifizetéseinek 15%-át tette ki a Szomszédsági, Fejlesztési és Nemzetközi Együttműködési Eszköz (Globális Európa) (NDICI - Globális Európa), az Előcsatlakozási Támogatási Eszköz (IPA III), a Grönlandot is magában foglaló tengerentúli társulási határozat (DOAG) vagy az elődeszközök keretében;</w:t>
      </w:r>
    </w:p>
    <w:p w:rsidR="00E46C5F" w:rsidRPr="00412E11" w:rsidRDefault="00E46C5F" w:rsidP="00E46C5F">
      <w:pPr>
        <w:pStyle w:val="NormalHanging12a"/>
      </w:pPr>
      <w:r w:rsidRPr="00412E11">
        <w:t>48.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2022-ben az európai szomszédság vált a költségvetés-támogatás legnagyobb kedvezményezettjévé (38%), ezt követi a </w:t>
      </w:r>
      <w:proofErr w:type="spellStart"/>
      <w:r w:rsidRPr="00412E11">
        <w:t>szubszaharai</w:t>
      </w:r>
      <w:proofErr w:type="spellEnd"/>
      <w:r w:rsidRPr="00412E11">
        <w:t xml:space="preserve"> Afrika (24%), Ázsia (18%), a Nyugat-Balkán (8%), Latin-Amerika (6%), a karib-tengeri térség (2%), a tengerentúli országok/területek (2%) és a csendes-óceáni térség (2%), és hogy szerződéstípus szerint az ágazati reformra vonatkozó teljesítési szerződések túlsúlyban vannak az állam- és </w:t>
      </w:r>
      <w:proofErr w:type="spellStart"/>
      <w:r w:rsidRPr="00412E11">
        <w:t>rezilienciaépítési</w:t>
      </w:r>
      <w:proofErr w:type="spellEnd"/>
      <w:r w:rsidRPr="00412E11">
        <w:t xml:space="preserve"> szerződésekhez és a fenntartható fejlődési célokra vonatkozó szerződésekhez képest, mivel az előbbiek a portfólió értékének 74%-át teszik ki, szemben az utóbbiak által képviselt 24,5%-</w:t>
      </w:r>
      <w:proofErr w:type="spellStart"/>
      <w:r w:rsidRPr="00412E11">
        <w:t>kal</w:t>
      </w:r>
      <w:proofErr w:type="spellEnd"/>
      <w:r w:rsidRPr="00412E11">
        <w:t>, illetve 1,5%-</w:t>
      </w:r>
      <w:proofErr w:type="spellStart"/>
      <w:r w:rsidRPr="00412E11">
        <w:t>kal</w:t>
      </w:r>
      <w:proofErr w:type="spellEnd"/>
      <w:r w:rsidRPr="00412E11">
        <w:t>;</w:t>
      </w:r>
    </w:p>
    <w:p w:rsidR="00E46C5F" w:rsidRPr="00412E11" w:rsidRDefault="00E46C5F" w:rsidP="00E46C5F">
      <w:pPr>
        <w:pStyle w:val="NormalHanging12a"/>
      </w:pPr>
      <w:r w:rsidRPr="00412E11">
        <w:lastRenderedPageBreak/>
        <w:t>49.</w:t>
      </w:r>
      <w:r w:rsidRPr="00412E11">
        <w:tab/>
        <w:t>emlékeztet arra, hogy a Számvevőszék szabályszerűségi ellenőrzése</w:t>
      </w:r>
      <w:r w:rsidRPr="00412E11">
        <w:rPr>
          <w:rStyle w:val="FootnoteReference"/>
        </w:rPr>
        <w:footnoteReference w:id="31"/>
      </w:r>
      <w:r w:rsidRPr="00412E11">
        <w:t xml:space="preserve"> csak addig a pontig terjedhet, amikor a Bizottság a költségvetés-támogatást kifizeti a kedvezményezett országnak, mivel ezek a pénzeszközök azután beolvadnak a fogadó ország saját költségvetési forrásaiba;</w:t>
      </w:r>
    </w:p>
    <w:p w:rsidR="00E46C5F" w:rsidRPr="00412E11" w:rsidRDefault="00E46C5F" w:rsidP="00E46C5F">
      <w:pPr>
        <w:pStyle w:val="NormalHanging12a"/>
      </w:pPr>
      <w:r w:rsidRPr="00412E11">
        <w:t>50.</w:t>
      </w:r>
      <w:r w:rsidRPr="00412E11">
        <w:rPr>
          <w:color w:val="00B050"/>
        </w:rPr>
        <w:tab/>
      </w:r>
      <w:proofErr w:type="spellStart"/>
      <w:r w:rsidRPr="00412E11">
        <w:t>megjegyzi</w:t>
      </w:r>
      <w:proofErr w:type="spellEnd"/>
      <w:r w:rsidRPr="00412E11">
        <w:t xml:space="preserve">, hogy 2022-ben az EFA-kifizetések legnagyobb kedvezményezettjei Mozambik, Szudán és a Kongói Demokratikus Köztársaság voltak, míg a legnagyobb </w:t>
      </w:r>
      <w:proofErr w:type="spellStart"/>
      <w:r w:rsidRPr="00412E11">
        <w:t>finanszírozban</w:t>
      </w:r>
      <w:proofErr w:type="spellEnd"/>
      <w:r w:rsidRPr="00412E11">
        <w:t xml:space="preserve"> részesülő ágazatok a kormányzat és a civil társadalom, a mezőgazdaság, az energia és a szociális infrastruktúrák és szolgáltatások voltak; </w:t>
      </w:r>
      <w:proofErr w:type="spellStart"/>
      <w:r w:rsidRPr="00412E11">
        <w:t>megjegyzi</w:t>
      </w:r>
      <w:proofErr w:type="spellEnd"/>
      <w:r w:rsidRPr="00412E11">
        <w:t>, hogy az EFA végrehajtása olyan országokat érint, amelyek egyre súlyosabb hatásokkal szembesülnek az éghajlatváltozás, a biológiai sokféleség csökkenése és az élelmiszer-ellátás bizonytalansága miatt, és amelyeket gyengítenek a növekvő adósság, valamint az új és az elfeledett humanitárius válságok és konfliktusok, amelyek növekvő egyenlőtlenséget és szegénységet idéznek elő; kéri, hogy az EFA-t kössék feltételekhez abban az esetben, ha bizonyíték van az emberi jogok megsértésére, valamint hogy ellenőrizzék a vele kapcsolatos korrupciót és adókijátszást;</w:t>
      </w:r>
    </w:p>
    <w:p w:rsidR="00E46C5F" w:rsidRPr="00412E11" w:rsidRDefault="00E46C5F" w:rsidP="00E46C5F">
      <w:pPr>
        <w:pStyle w:val="NormalHanging12a"/>
      </w:pPr>
      <w:r w:rsidRPr="00412E11">
        <w:t>51.</w:t>
      </w:r>
      <w:r w:rsidRPr="00412E11">
        <w:tab/>
        <w:t>szorosabb koordinációra szólít fel a Bizottság, az EKSZ és az uniós küldöttségek között, hogy megkönnyítsék az érintett helyi szereplőkkel folytatott megbeszéléseket és együttműködést a fejlesztéshatékonysági célkitűzéseknek leginkább megfelelő projektek azonosítása érdekében;</w:t>
      </w:r>
    </w:p>
    <w:p w:rsidR="00E46C5F" w:rsidRPr="00412E11" w:rsidRDefault="00E46C5F" w:rsidP="00E46C5F">
      <w:pPr>
        <w:pStyle w:val="NormalHanging12a"/>
      </w:pPr>
      <w:r w:rsidRPr="00412E11">
        <w:t>52.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a helyi, nem kormányzati szereplők megfelelő helyzetben lévő partnerek ahhoz, hogy uniós segítséget nyújtsanak a rászorulóknak, különösen a távoli területeken; kiemeli, hogy az e szervezetekkel való megerősített uniós együttműködés felgyorsíthatja a fejlesztési együttműködés hatékonyságát;</w:t>
      </w:r>
    </w:p>
    <w:p w:rsidR="00E46C5F" w:rsidRPr="00412E11" w:rsidRDefault="00E46C5F" w:rsidP="00E46C5F">
      <w:pPr>
        <w:keepNext/>
        <w:keepLines/>
        <w:spacing w:after="240"/>
        <w:rPr>
          <w:b/>
          <w:i/>
        </w:rPr>
      </w:pPr>
      <w:r w:rsidRPr="00412E11">
        <w:rPr>
          <w:b/>
          <w:i/>
        </w:rPr>
        <w:t>A 2021. évi mentesítés nyomon követése</w:t>
      </w:r>
    </w:p>
    <w:p w:rsidR="00E46C5F" w:rsidRPr="00412E11" w:rsidRDefault="00E46C5F" w:rsidP="00E46C5F">
      <w:pPr>
        <w:spacing w:after="240"/>
        <w:ind w:left="567" w:hanging="567"/>
      </w:pPr>
      <w:r w:rsidRPr="00412E11">
        <w:t>53.</w:t>
      </w:r>
      <w:r w:rsidRPr="00412E11">
        <w:tab/>
        <w:t xml:space="preserve">a Bizottság 2021. évi mentesítésre vonatkozó </w:t>
      </w:r>
      <w:proofErr w:type="spellStart"/>
      <w:r w:rsidRPr="00412E11">
        <w:t>nyomonkövetési</w:t>
      </w:r>
      <w:proofErr w:type="spellEnd"/>
      <w:r w:rsidRPr="00412E11">
        <w:t xml:space="preserve"> jelentése alapján </w:t>
      </w:r>
      <w:proofErr w:type="spellStart"/>
      <w:r w:rsidRPr="00412E11">
        <w:t>megjegyzi</w:t>
      </w:r>
      <w:proofErr w:type="spellEnd"/>
      <w:r w:rsidRPr="00412E11">
        <w:t xml:space="preserve">, hogy folyamatban van a külső fellépések kontrolljainak digitalizálása a vállalati gyakorlatok és eszközök elfogadása érdekében, és hogy a vállalati e-auditra való közelgő átállás elő fogja segíteni az auditok és ellenőrzések megállapításainak szisztematikusabb és </w:t>
      </w:r>
      <w:proofErr w:type="spellStart"/>
      <w:r w:rsidRPr="00412E11">
        <w:t>integráltabb</w:t>
      </w:r>
      <w:proofErr w:type="spellEnd"/>
      <w:r w:rsidRPr="00412E11">
        <w:t xml:space="preserve"> nyomon követését, elősegítve ezáltal a holisztikusabb </w:t>
      </w:r>
      <w:proofErr w:type="spellStart"/>
      <w:r w:rsidRPr="00412E11">
        <w:t>nyomonkövetési</w:t>
      </w:r>
      <w:proofErr w:type="spellEnd"/>
      <w:r w:rsidRPr="00412E11">
        <w:t xml:space="preserve"> folyamatot;</w:t>
      </w:r>
    </w:p>
    <w:p w:rsidR="00E46C5F" w:rsidRPr="00412E11" w:rsidRDefault="00E46C5F" w:rsidP="00E46C5F">
      <w:pPr>
        <w:spacing w:after="240"/>
        <w:ind w:left="567" w:hanging="567"/>
      </w:pPr>
      <w:r w:rsidRPr="00412E11">
        <w:t>54.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2023-ban </w:t>
      </w:r>
      <w:proofErr w:type="spellStart"/>
      <w:r w:rsidRPr="00412E11">
        <w:t>újraindultak</w:t>
      </w:r>
      <w:proofErr w:type="spellEnd"/>
      <w:r w:rsidRPr="00412E11">
        <w:t xml:space="preserve"> az ENSZ személyzetével közös képzések, és a Bizottság megállapodott az ENSZ-szel abban, hogy közös technikai csoportokat hoz létre az ellenőrzési és kontrollmechanizmusokkal kapcsolatos kérdések rendszeres megvitatására, valamint hogy a Bizottság továbbra is lépéseket fog tenni annak érdekében, hogy gyakorlati és hosszú távú megoldásokat találjon ezekre a kérdésekre;</w:t>
      </w:r>
    </w:p>
    <w:p w:rsidR="00E46C5F" w:rsidRPr="00412E11" w:rsidRDefault="00E46C5F" w:rsidP="00E46C5F">
      <w:pPr>
        <w:spacing w:after="240"/>
        <w:ind w:left="567" w:hanging="567"/>
      </w:pPr>
      <w:r w:rsidRPr="00412E11">
        <w:t>55.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>, hogy 2022-ben a DG INTPA értékelte 20 olyan globálisan működő nemzetközi szervezet által végrehajtott intézkedések kiadásainak ellenőrzése során tett rendszerszintű megállapításokat, amelyek ellenőrzési feladatainak kezelése központosított, és hogy 2023 januárjában megosztotta megál</w:t>
      </w:r>
      <w:bookmarkStart w:id="11" w:name="_GoBack"/>
      <w:bookmarkEnd w:id="11"/>
      <w:r w:rsidRPr="00412E11">
        <w:t xml:space="preserve">lapításait, valamint a javasolt kockázatcsökkentő intézkedéseket az illetékes </w:t>
      </w:r>
      <w:proofErr w:type="spellStart"/>
      <w:r w:rsidRPr="00412E11">
        <w:t>központbeli</w:t>
      </w:r>
      <w:proofErr w:type="spellEnd"/>
      <w:r w:rsidRPr="00412E11">
        <w:t xml:space="preserve"> és </w:t>
      </w:r>
      <w:proofErr w:type="spellStart"/>
      <w:r w:rsidRPr="00412E11">
        <w:t>küldöttségbeli</w:t>
      </w:r>
      <w:proofErr w:type="spellEnd"/>
      <w:r w:rsidRPr="00412E11">
        <w:t xml:space="preserve"> </w:t>
      </w:r>
      <w:r w:rsidRPr="00412E11">
        <w:lastRenderedPageBreak/>
        <w:t>munkatársakkal;</w:t>
      </w:r>
    </w:p>
    <w:p w:rsidR="00E46C5F" w:rsidRPr="00412E11" w:rsidRDefault="00E46C5F" w:rsidP="00E46C5F">
      <w:pPr>
        <w:spacing w:after="240"/>
        <w:ind w:left="567" w:hanging="567"/>
      </w:pPr>
      <w:r w:rsidRPr="00412E11">
        <w:t>56.</w:t>
      </w:r>
      <w:r w:rsidRPr="00412E11">
        <w:tab/>
      </w:r>
      <w:proofErr w:type="spellStart"/>
      <w:r w:rsidRPr="00412E11">
        <w:t>megjegyzi</w:t>
      </w:r>
      <w:proofErr w:type="spellEnd"/>
      <w:r w:rsidRPr="00412E11">
        <w:t xml:space="preserve">, hogy a Bizottság és partnerintézményei (ideértve a fejlesztésfinanszírozási intézményeket és a fejlesztési ügynökségeket is) aktívan együttműködnek a helyi </w:t>
      </w:r>
      <w:proofErr w:type="spellStart"/>
      <w:r w:rsidRPr="00412E11">
        <w:t>magánszektorbeli</w:t>
      </w:r>
      <w:proofErr w:type="spellEnd"/>
      <w:r w:rsidRPr="00412E11">
        <w:t xml:space="preserve"> szervezetekkel annak érdekében, hogy megvitassák a kihívásokat és a finanszírozáshoz való hozzáférés pénzügyi eszközök – például vegyes finanszírozási műveletek – révén történő javításának lehetőségeit, és hogy a szakpolitikai párbeszéd a partnerországokkal partnerségben zajlik az EU küldöttségein és a nemzeti beruházási fórumokon keresztül; hangsúlyozza a magánszektor mozgósításának fontosságát a fejlesztésfinanszírozási hiány megszüntetése és a fenntartható fejlődési célok elérése érdekében;</w:t>
      </w:r>
    </w:p>
    <w:p w:rsidR="00E46C5F" w:rsidRPr="00412E11" w:rsidRDefault="00E46C5F" w:rsidP="00E46C5F">
      <w:pPr>
        <w:spacing w:after="240"/>
        <w:ind w:left="567" w:hanging="567"/>
      </w:pPr>
      <w:r w:rsidRPr="00412E11">
        <w:t>57.</w:t>
      </w:r>
      <w:r w:rsidRPr="00412E11">
        <w:tab/>
        <w:t xml:space="preserve">üdvözli a Global </w:t>
      </w:r>
      <w:proofErr w:type="spellStart"/>
      <w:r w:rsidRPr="00412E11">
        <w:t>Gateway</w:t>
      </w:r>
      <w:proofErr w:type="spellEnd"/>
      <w:r w:rsidRPr="00412E11">
        <w:t xml:space="preserve"> stratégiát mint a globális kihívásokra adott összehangolt uniós választ; úgy véli, hogy az új </w:t>
      </w:r>
      <w:proofErr w:type="spellStart"/>
      <w:r w:rsidRPr="00412E11">
        <w:t>geostratégiai</w:t>
      </w:r>
      <w:proofErr w:type="spellEnd"/>
      <w:r w:rsidRPr="00412E11">
        <w:t xml:space="preserve"> kihívások idején az Unió </w:t>
      </w:r>
      <w:proofErr w:type="spellStart"/>
      <w:r w:rsidRPr="00412E11">
        <w:t>kül</w:t>
      </w:r>
      <w:proofErr w:type="spellEnd"/>
      <w:r w:rsidRPr="00412E11">
        <w:t>- és biztonságpolitikai és fejlesztési együttműködési szereplőinek jobban össze kell hangolniuk tevékenységüket annak érdekében, hogy az Unió jelenlétét és láthatóságát világszerte növeljék a partnerországokban nemzeti értéket teremtő kemény és puha infrastrukturális beruházások révén, a magánszektorral és a fejlesztési finanszírozó intézményekkel való együttműködés révén, összhangban a fenntartható fejlődési célokkal;</w:t>
      </w:r>
    </w:p>
    <w:p w:rsidR="00E46C5F" w:rsidRPr="00412E11" w:rsidRDefault="00E46C5F" w:rsidP="00E46C5F">
      <w:pPr>
        <w:pStyle w:val="NormalHanging12a"/>
      </w:pPr>
      <w:r w:rsidRPr="00412E11">
        <w:t>58.</w:t>
      </w:r>
      <w:r w:rsidRPr="00412E11">
        <w:tab/>
        <w:t>emlékeztet arra, hogy a globális válságok mind az országokon belül, mind az országok között egyenlőtlenségeket teremtettek és fokozták azokat, aláásva a társadalmi kohéziót, és ezzel összefüggésben üdvözli az egyenlőtlenségi mutató (I-Marker) kidolgozását, amely megbízható jelentéstételi és teljesítményértékelési rendszert hoz létre valamennyi beavatkozásnak az egyenlőtlenségek csökkentéséhez való hozzájárulásáról;</w:t>
      </w:r>
    </w:p>
    <w:p w:rsidR="00E46C5F" w:rsidRPr="00412E11" w:rsidRDefault="00E46C5F" w:rsidP="00E46C5F">
      <w:pPr>
        <w:spacing w:after="240"/>
        <w:ind w:left="567" w:hanging="567"/>
      </w:pPr>
      <w:r w:rsidRPr="00412E11">
        <w:t>59.</w:t>
      </w:r>
      <w:r w:rsidRPr="00412E11">
        <w:tab/>
        <w:t>megismétli a Számvevőszék által a Bizottságnak tett ajánlásokat:</w:t>
      </w:r>
    </w:p>
    <w:p w:rsidR="00E46C5F" w:rsidRPr="00412E11" w:rsidRDefault="00E46C5F" w:rsidP="00E46C5F">
      <w:pPr>
        <w:spacing w:after="240"/>
        <w:ind w:left="1134" w:hanging="567"/>
      </w:pPr>
      <w:r w:rsidRPr="00412E11">
        <w:t>a)</w:t>
      </w:r>
      <w:r w:rsidRPr="00412E11">
        <w:tab/>
        <w:t>annak ellenőrzése, hogy a lezárt EFA-k számviteli egyenlegeit időben elszámolták-e;</w:t>
      </w:r>
    </w:p>
    <w:p w:rsidR="00E46C5F" w:rsidRPr="00412E11" w:rsidRDefault="00E46C5F" w:rsidP="00E46C5F">
      <w:pPr>
        <w:spacing w:after="240"/>
        <w:ind w:left="1134" w:hanging="567"/>
      </w:pPr>
      <w:r w:rsidRPr="00412E11">
        <w:t>b)</w:t>
      </w:r>
      <w:r w:rsidRPr="00412E11">
        <w:tab/>
        <w:t>annak ellenőrzése, hogy az előfinanszírozást és a számlákat időben elszámolták-e az éves beszámolóban;</w:t>
      </w:r>
    </w:p>
    <w:p w:rsidR="00E46C5F" w:rsidRPr="00412E11" w:rsidRDefault="00E46C5F" w:rsidP="00E46C5F">
      <w:pPr>
        <w:spacing w:after="240"/>
        <w:ind w:left="1134" w:hanging="567"/>
      </w:pPr>
      <w:r w:rsidRPr="00412E11">
        <w:t>c)</w:t>
      </w:r>
      <w:r w:rsidRPr="00412E11">
        <w:tab/>
        <w:t>intézkedés az uniós külképviseletek kontrollrendszereinek javítása érdekében az előfinanszírozás elszámolása terén;</w:t>
      </w:r>
    </w:p>
    <w:p w:rsidR="00E46C5F" w:rsidRPr="00412E11" w:rsidRDefault="00E46C5F" w:rsidP="00E46C5F">
      <w:pPr>
        <w:spacing w:after="240"/>
        <w:ind w:left="1134" w:hanging="567"/>
      </w:pPr>
      <w:r w:rsidRPr="00412E11">
        <w:t>d)</w:t>
      </w:r>
      <w:r w:rsidRPr="00412E11">
        <w:tab/>
        <w:t xml:space="preserve">emlékeztetés a </w:t>
      </w:r>
      <w:proofErr w:type="spellStart"/>
      <w:r w:rsidRPr="00412E11">
        <w:t>héaszabályok</w:t>
      </w:r>
      <w:proofErr w:type="spellEnd"/>
      <w:r w:rsidRPr="00412E11">
        <w:t xml:space="preserve"> betartásának és a megfelelő ellenőrzések elvégzésének kötelezettségére;</w:t>
      </w:r>
    </w:p>
    <w:p w:rsidR="00E46C5F" w:rsidRPr="00412E11" w:rsidRDefault="00E46C5F" w:rsidP="00E46C5F">
      <w:pPr>
        <w:spacing w:after="240"/>
        <w:ind w:left="1134" w:hanging="567"/>
      </w:pPr>
      <w:r w:rsidRPr="00412E11">
        <w:t>e)</w:t>
      </w:r>
      <w:r w:rsidRPr="00412E11">
        <w:tab/>
        <w:t>az előzetes kontrollok megerősítése a kiadások elfogadása előtt;</w:t>
      </w:r>
    </w:p>
    <w:p w:rsidR="00E46C5F" w:rsidRPr="008F3F78" w:rsidRDefault="00E46C5F" w:rsidP="00E46C5F">
      <w:pPr>
        <w:spacing w:after="240"/>
        <w:ind w:left="1134" w:hanging="567"/>
      </w:pPr>
      <w:r w:rsidRPr="00412E11">
        <w:t>f)</w:t>
      </w:r>
      <w:r w:rsidRPr="00412E11">
        <w:tab/>
        <w:t>a fennmaradó hibaarányra vonatkozó módszertan javítása és megfelelő alkalmazásának ellenőrzése.</w:t>
      </w:r>
    </w:p>
    <w:p w:rsidR="00E365E1" w:rsidRPr="008F3F78" w:rsidRDefault="00E365E1" w:rsidP="00956325">
      <w:bookmarkStart w:id="12" w:name="TextBodyEnd"/>
      <w:bookmarkEnd w:id="12"/>
    </w:p>
    <w:sectPr w:rsidR="00E365E1" w:rsidRPr="008F3F78" w:rsidSect="008F3F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325" w:rsidRPr="008F3F78" w:rsidRDefault="00956325">
      <w:r w:rsidRPr="008F3F78">
        <w:separator/>
      </w:r>
    </w:p>
  </w:endnote>
  <w:endnote w:type="continuationSeparator" w:id="0">
    <w:p w:rsidR="00956325" w:rsidRPr="008F3F78" w:rsidRDefault="00956325">
      <w:r w:rsidRPr="008F3F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C5F" w:rsidRPr="008F3F78" w:rsidRDefault="00E46C5F" w:rsidP="00D36497">
    <w:pPr>
      <w:pStyle w:val="EPFooter"/>
    </w:pPr>
    <w:proofErr w:type="gramStart"/>
    <w:r w:rsidRPr="008F3F78">
      <w:t>PE</w:t>
    </w:r>
    <w:r w:rsidRPr="008F3F78">
      <w:rPr>
        <w:rStyle w:val="HideTWBExt"/>
      </w:rPr>
      <w:t>&lt;</w:t>
    </w:r>
    <w:proofErr w:type="spellStart"/>
    <w:proofErr w:type="gramEnd"/>
    <w:r w:rsidRPr="008F3F78">
      <w:rPr>
        <w:rStyle w:val="HideTWBExt"/>
      </w:rPr>
      <w:t>NoPE</w:t>
    </w:r>
    <w:proofErr w:type="spellEnd"/>
    <w:r w:rsidRPr="008F3F78">
      <w:rPr>
        <w:rStyle w:val="HideTWBExt"/>
      </w:rPr>
      <w:t>&gt;</w:t>
    </w:r>
    <w:r w:rsidRPr="008F3F78">
      <w:t>753.512</w:t>
    </w:r>
    <w:r w:rsidRPr="008F3F78">
      <w:rPr>
        <w:rStyle w:val="HideTWBExt"/>
      </w:rPr>
      <w:t>&lt;/</w:t>
    </w:r>
    <w:proofErr w:type="spellStart"/>
    <w:r w:rsidRPr="008F3F78">
      <w:rPr>
        <w:rStyle w:val="HideTWBExt"/>
      </w:rPr>
      <w:t>NoPE</w:t>
    </w:r>
    <w:proofErr w:type="spellEnd"/>
    <w:r w:rsidRPr="008F3F78">
      <w:rPr>
        <w:rStyle w:val="HideTWBExt"/>
      </w:rPr>
      <w:t>&gt;&lt;Version&gt;</w:t>
    </w:r>
    <w:r w:rsidRPr="008F3F78">
      <w:t>v03-00</w:t>
    </w:r>
    <w:r w:rsidRPr="008F3F78">
      <w:rPr>
        <w:rStyle w:val="HideTWBExt"/>
      </w:rPr>
      <w:t>&lt;/Version&gt;</w:t>
    </w:r>
    <w:r w:rsidRPr="008F3F78">
      <w:tab/>
    </w:r>
    <w:r w:rsidRPr="008F3F78">
      <w:fldChar w:fldCharType="begin"/>
    </w:r>
    <w:r w:rsidRPr="008F3F78">
      <w:instrText xml:space="preserve"> PAGE  \* MERGEFORMAT </w:instrText>
    </w:r>
    <w:r w:rsidRPr="008F3F78">
      <w:fldChar w:fldCharType="separate"/>
    </w:r>
    <w:r w:rsidR="008F3F78" w:rsidRPr="008F3F78">
      <w:rPr>
        <w:noProof/>
      </w:rPr>
      <w:t>2</w:t>
    </w:r>
    <w:r w:rsidRPr="008F3F78">
      <w:fldChar w:fldCharType="end"/>
    </w:r>
    <w:r w:rsidRPr="008F3F78">
      <w:t>/</w:t>
    </w:r>
    <w:r w:rsidR="003C43AE">
      <w:fldChar w:fldCharType="begin"/>
    </w:r>
    <w:r w:rsidR="003C43AE">
      <w:instrText xml:space="preserve"> NUMPAGES  \* MERGEFORMAT </w:instrText>
    </w:r>
    <w:r w:rsidR="003C43AE">
      <w:fldChar w:fldCharType="separate"/>
    </w:r>
    <w:r w:rsidR="008F3F78" w:rsidRPr="008F3F78">
      <w:rPr>
        <w:noProof/>
      </w:rPr>
      <w:t>3</w:t>
    </w:r>
    <w:r w:rsidR="003C43AE">
      <w:rPr>
        <w:noProof/>
      </w:rPr>
      <w:fldChar w:fldCharType="end"/>
    </w:r>
    <w:r w:rsidRPr="008F3F78">
      <w:tab/>
    </w:r>
    <w:r w:rsidRPr="008F3F78">
      <w:rPr>
        <w:rStyle w:val="HideTWBExt"/>
      </w:rPr>
      <w:t>&lt;PathFdR&gt;</w:t>
    </w:r>
    <w:r w:rsidRPr="008F3F78">
      <w:t>RR\1299097HU.docx</w:t>
    </w:r>
    <w:r w:rsidRPr="008F3F78">
      <w:rPr>
        <w:rStyle w:val="HideTWBExt"/>
      </w:rPr>
      <w:t>&lt;/</w:t>
    </w:r>
    <w:proofErr w:type="spellStart"/>
    <w:r w:rsidRPr="008F3F78">
      <w:rPr>
        <w:rStyle w:val="HideTWBExt"/>
      </w:rPr>
      <w:t>PathFdR</w:t>
    </w:r>
    <w:proofErr w:type="spellEnd"/>
    <w:r w:rsidRPr="008F3F78">
      <w:rPr>
        <w:rStyle w:val="HideTWBExt"/>
      </w:rPr>
      <w:t>&gt;</w:t>
    </w:r>
  </w:p>
  <w:p w:rsidR="00E46C5F" w:rsidRPr="008F3F78" w:rsidRDefault="00E46C5F" w:rsidP="00D36497">
    <w:pPr>
      <w:pStyle w:val="EPFooter2"/>
    </w:pPr>
    <w:r w:rsidRPr="008F3F78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C5F" w:rsidRPr="003907AF" w:rsidRDefault="00E46C5F" w:rsidP="00412E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C5F" w:rsidRPr="008F3F78" w:rsidRDefault="00E46C5F" w:rsidP="00D36497">
    <w:pPr>
      <w:pStyle w:val="EPFooter"/>
    </w:pPr>
    <w:r w:rsidRPr="008F3F78">
      <w:rPr>
        <w:rStyle w:val="HideTWBExt"/>
      </w:rPr>
      <w:t>&lt;PathFdR</w:t>
    </w:r>
    <w:proofErr w:type="gramStart"/>
    <w:r w:rsidRPr="008F3F78">
      <w:rPr>
        <w:rStyle w:val="HideTWBExt"/>
      </w:rPr>
      <w:t>&gt;</w:t>
    </w:r>
    <w:r w:rsidRPr="008F3F78">
      <w:t>RR</w:t>
    </w:r>
    <w:proofErr w:type="gramEnd"/>
    <w:r w:rsidRPr="008F3F78">
      <w:t>\1299097HU.docx</w:t>
    </w:r>
    <w:r w:rsidRPr="008F3F78">
      <w:rPr>
        <w:rStyle w:val="HideTWBExt"/>
      </w:rPr>
      <w:t>&lt;/</w:t>
    </w:r>
    <w:proofErr w:type="spellStart"/>
    <w:r w:rsidRPr="008F3F78">
      <w:rPr>
        <w:rStyle w:val="HideTWBExt"/>
      </w:rPr>
      <w:t>PathFdR</w:t>
    </w:r>
    <w:proofErr w:type="spellEnd"/>
    <w:r w:rsidRPr="008F3F78">
      <w:rPr>
        <w:rStyle w:val="HideTWBExt"/>
      </w:rPr>
      <w:t>&gt;</w:t>
    </w:r>
    <w:r w:rsidRPr="008F3F78">
      <w:tab/>
    </w:r>
    <w:r w:rsidRPr="008F3F78">
      <w:tab/>
      <w:t>PE</w:t>
    </w:r>
    <w:r w:rsidRPr="008F3F78">
      <w:rPr>
        <w:rStyle w:val="HideTWBExt"/>
      </w:rPr>
      <w:t>&lt;</w:t>
    </w:r>
    <w:proofErr w:type="spellStart"/>
    <w:r w:rsidRPr="008F3F78">
      <w:rPr>
        <w:rStyle w:val="HideTWBExt"/>
      </w:rPr>
      <w:t>NoPE</w:t>
    </w:r>
    <w:proofErr w:type="spellEnd"/>
    <w:r w:rsidRPr="008F3F78">
      <w:rPr>
        <w:rStyle w:val="HideTWBExt"/>
      </w:rPr>
      <w:t>&gt;</w:t>
    </w:r>
    <w:r w:rsidRPr="008F3F78">
      <w:t>753.512</w:t>
    </w:r>
    <w:r w:rsidRPr="008F3F78">
      <w:rPr>
        <w:rStyle w:val="HideTWBExt"/>
      </w:rPr>
      <w:t>&lt;/</w:t>
    </w:r>
    <w:proofErr w:type="spellStart"/>
    <w:r w:rsidRPr="008F3F78">
      <w:rPr>
        <w:rStyle w:val="HideTWBExt"/>
      </w:rPr>
      <w:t>NoPE</w:t>
    </w:r>
    <w:proofErr w:type="spellEnd"/>
    <w:r w:rsidRPr="008F3F78">
      <w:rPr>
        <w:rStyle w:val="HideTWBExt"/>
      </w:rPr>
      <w:t>&gt;&lt;Version&gt;</w:t>
    </w:r>
    <w:r w:rsidRPr="008F3F78">
      <w:t>v03-00</w:t>
    </w:r>
    <w:r w:rsidRPr="008F3F78">
      <w:rPr>
        <w:rStyle w:val="HideTWBExt"/>
      </w:rPr>
      <w:t>&lt;/Version&gt;</w:t>
    </w:r>
  </w:p>
  <w:p w:rsidR="00E46C5F" w:rsidRPr="008F3F78" w:rsidRDefault="00E46C5F" w:rsidP="00D36497">
    <w:pPr>
      <w:pStyle w:val="EPFooter2"/>
    </w:pPr>
    <w:proofErr w:type="gramStart"/>
    <w:r w:rsidRPr="008F3F78">
      <w:t>HU</w:t>
    </w:r>
    <w:proofErr w:type="gramEnd"/>
    <w:r w:rsidRPr="008F3F78">
      <w:tab/>
    </w:r>
    <w:r w:rsidRPr="008F3F78">
      <w:rPr>
        <w:b w:val="0"/>
        <w:i/>
        <w:color w:val="C0C0C0"/>
        <w:sz w:val="22"/>
      </w:rPr>
      <w:t>Egyesülve a sokféleségben</w:t>
    </w:r>
    <w:r w:rsidRPr="008F3F78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3F7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3F7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3F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325" w:rsidRPr="008F3F78" w:rsidRDefault="00956325">
      <w:r w:rsidRPr="008F3F78">
        <w:separator/>
      </w:r>
    </w:p>
  </w:footnote>
  <w:footnote w:type="continuationSeparator" w:id="0">
    <w:p w:rsidR="00956325" w:rsidRPr="008F3F78" w:rsidRDefault="00956325">
      <w:r w:rsidRPr="008F3F78">
        <w:continuationSeparator/>
      </w:r>
    </w:p>
  </w:footnote>
  <w:footnote w:id="1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C, C/2023/103., 2023.10.4.</w:t>
      </w:r>
    </w:p>
  </w:footnote>
  <w:footnote w:id="2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C, C/2023/109., 2023.10.12.</w:t>
      </w:r>
    </w:p>
  </w:footnote>
  <w:footnote w:id="3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 317., 2000.12.15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> 3. o.</w:t>
      </w:r>
    </w:p>
  </w:footnote>
  <w:footnote w:id="4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287., 2010.11.4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3. o.</w:t>
      </w:r>
    </w:p>
  </w:footnote>
  <w:footnote w:id="5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344., 2013.12.19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</w:t>
      </w:r>
    </w:p>
  </w:footnote>
  <w:footnote w:id="6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355., 2021.10.7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6. o.</w:t>
      </w:r>
    </w:p>
  </w:footnote>
  <w:footnote w:id="7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156., 1998.5.29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108. o.</w:t>
      </w:r>
    </w:p>
  </w:footnote>
  <w:footnote w:id="8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 317., 2000.12.15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> 355. o.</w:t>
      </w:r>
    </w:p>
  </w:footnote>
  <w:footnote w:id="9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210., 2013.8.6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</w:t>
      </w:r>
    </w:p>
  </w:footnote>
  <w:footnote w:id="10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191., 1998.7.7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53. o.</w:t>
      </w:r>
    </w:p>
  </w:footnote>
  <w:footnote w:id="11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83., 2003.4.1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</w:t>
      </w:r>
    </w:p>
  </w:footnote>
  <w:footnote w:id="12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78., 2008.3.19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</w:t>
      </w:r>
    </w:p>
  </w:footnote>
  <w:footnote w:id="13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58., 2015.3.3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17. o.</w:t>
      </w:r>
    </w:p>
  </w:footnote>
  <w:footnote w:id="14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307., 2018.12.3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 o.</w:t>
      </w:r>
    </w:p>
  </w:footnote>
  <w:footnote w:id="15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C, C/2023/103., 2023.10.4.</w:t>
      </w:r>
    </w:p>
  </w:footnote>
  <w:footnote w:id="16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C, C/2023/109., 2023.10.12.</w:t>
      </w:r>
    </w:p>
  </w:footnote>
  <w:footnote w:id="17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 317., 2000.12.15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> 3. o.</w:t>
      </w:r>
    </w:p>
  </w:footnote>
  <w:footnote w:id="18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287., 2010.11.4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3. o.</w:t>
      </w:r>
    </w:p>
  </w:footnote>
  <w:footnote w:id="19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344., 2013.12.19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</w:t>
      </w:r>
    </w:p>
  </w:footnote>
  <w:footnote w:id="20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355., 2021.10.7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6. o.</w:t>
      </w:r>
    </w:p>
  </w:footnote>
  <w:footnote w:id="21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156., 1998.5.29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108. o.</w:t>
      </w:r>
    </w:p>
  </w:footnote>
  <w:footnote w:id="22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 317., 2000.12.15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> 355. o.</w:t>
      </w:r>
    </w:p>
  </w:footnote>
  <w:footnote w:id="23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210., 2013.8.6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</w:t>
      </w:r>
    </w:p>
  </w:footnote>
  <w:footnote w:id="24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191., 1998.7.7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53. o.</w:t>
      </w:r>
    </w:p>
  </w:footnote>
  <w:footnote w:id="25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83., 2003.4.1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</w:t>
      </w:r>
    </w:p>
  </w:footnote>
  <w:footnote w:id="26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78., 2008.3.19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</w:t>
      </w:r>
    </w:p>
  </w:footnote>
  <w:footnote w:id="27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58., 2015.3.3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17. o.</w:t>
      </w:r>
    </w:p>
  </w:footnote>
  <w:footnote w:id="28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HL L 307., 2018.12.3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 o.</w:t>
      </w:r>
    </w:p>
  </w:footnote>
  <w:footnote w:id="29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>A Tanács (EU) 2018/1877 rendelete (2018. november 26.) a 11. Európai Fejlesztési Alapra alkalmazandó pénzügyi szabályzatról és az (EU) 2015/323 rendelet hatályon kívül helyezéséről (HL L 307., 2018.12.3</w:t>
      </w:r>
      <w:proofErr w:type="gramStart"/>
      <w:r w:rsidRPr="008F3F78">
        <w:rPr>
          <w:sz w:val="24"/>
          <w:lang w:val="hu-HU"/>
        </w:rPr>
        <w:t>.,</w:t>
      </w:r>
      <w:proofErr w:type="gramEnd"/>
      <w:r w:rsidRPr="008F3F78">
        <w:rPr>
          <w:sz w:val="24"/>
          <w:lang w:val="hu-HU"/>
        </w:rPr>
        <w:t xml:space="preserve"> 1. o.).</w:t>
      </w:r>
    </w:p>
  </w:footnote>
  <w:footnote w:id="30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 xml:space="preserve">Benin, Botswana, Burkina Faso, Dzsibuti, Etiópia, Fidzsi, Gabon, </w:t>
      </w:r>
      <w:proofErr w:type="spellStart"/>
      <w:r w:rsidRPr="008F3F78">
        <w:rPr>
          <w:sz w:val="24"/>
          <w:lang w:val="hu-HU"/>
        </w:rPr>
        <w:t>São</w:t>
      </w:r>
      <w:proofErr w:type="spellEnd"/>
      <w:r w:rsidRPr="008F3F78">
        <w:rPr>
          <w:sz w:val="24"/>
          <w:lang w:val="hu-HU"/>
        </w:rPr>
        <w:t xml:space="preserve"> Tomé és Príncipe, Bissau-Guinea, Haiti, Elefántcsontpart, Libéria, Madagaszkár, Malawi, Nigéria, Tanzánia, Gambia, Togo, Uganda és Zimbabwe.</w:t>
      </w:r>
    </w:p>
  </w:footnote>
  <w:footnote w:id="31">
    <w:p w:rsidR="00E46C5F" w:rsidRPr="008F3F78" w:rsidRDefault="00E46C5F" w:rsidP="008F3F78">
      <w:pPr>
        <w:pStyle w:val="FootnoteText"/>
        <w:ind w:left="567" w:hanging="567"/>
        <w:rPr>
          <w:sz w:val="24"/>
          <w:lang w:val="hu-HU"/>
        </w:rPr>
      </w:pPr>
      <w:r w:rsidRPr="008F3F78">
        <w:rPr>
          <w:rStyle w:val="FootnoteReference"/>
          <w:sz w:val="24"/>
          <w:lang w:val="hu-HU"/>
        </w:rPr>
        <w:footnoteRef/>
      </w:r>
      <w:r w:rsidR="008F3F78" w:rsidRPr="008F3F78">
        <w:rPr>
          <w:sz w:val="24"/>
          <w:lang w:val="hu-HU"/>
        </w:rPr>
        <w:t xml:space="preserve"> </w:t>
      </w:r>
      <w:r w:rsidR="008F3F78" w:rsidRPr="008F3F78">
        <w:rPr>
          <w:sz w:val="24"/>
          <w:lang w:val="hu-HU"/>
        </w:rPr>
        <w:tab/>
      </w:r>
      <w:r w:rsidRPr="008F3F78">
        <w:rPr>
          <w:sz w:val="24"/>
          <w:lang w:val="hu-HU"/>
        </w:rPr>
        <w:t xml:space="preserve">Az Európai Számvevőszék 25/2019. sz. </w:t>
      </w:r>
      <w:proofErr w:type="spellStart"/>
      <w:r w:rsidRPr="008F3F78">
        <w:rPr>
          <w:sz w:val="24"/>
          <w:lang w:val="hu-HU"/>
        </w:rPr>
        <w:t>különjelentése</w:t>
      </w:r>
      <w:proofErr w:type="spellEnd"/>
      <w:r w:rsidRPr="008F3F78">
        <w:rPr>
          <w:sz w:val="24"/>
          <w:lang w:val="hu-HU"/>
        </w:rPr>
        <w:t>: Adatminőség a költségvetés-támogatásban: a változó részletek kifizetéséhez használt egyes mutatók és az ellenőrzések hiányosságai</w:t>
      </w:r>
      <w:r w:rsidR="007A0992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3F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3F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3F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0/2024"/>
    <w:docVar w:name="dvlangue" w:val="HU"/>
    <w:docVar w:name="dvnumam" w:val="0"/>
    <w:docVar w:name="dvpe" w:val="753.512"/>
    <w:docVar w:name="dvrapporteur" w:val="Előadó: "/>
    <w:docVar w:name="dvtitre" w:val="Az Európai Parlament 2024.  ...-i határozata a kilencedik, tizedik és tizenegyedik Európai Fejlesztési Alap 2022. évi pénzügyi évre szóló költségvetésének végrehajtására vonatkozó mentesítésről(2023/2183(DEC))"/>
  </w:docVars>
  <w:rsids>
    <w:rsidRoot w:val="009563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07AF"/>
    <w:rsid w:val="00395FA1"/>
    <w:rsid w:val="003C43AE"/>
    <w:rsid w:val="003E15D4"/>
    <w:rsid w:val="00411CCE"/>
    <w:rsid w:val="00412E11"/>
    <w:rsid w:val="0041666E"/>
    <w:rsid w:val="00421060"/>
    <w:rsid w:val="00471C19"/>
    <w:rsid w:val="004867E3"/>
    <w:rsid w:val="00494A28"/>
    <w:rsid w:val="004C0004"/>
    <w:rsid w:val="004C5D52"/>
    <w:rsid w:val="0050209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992"/>
    <w:rsid w:val="007B308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F78"/>
    <w:rsid w:val="00930C23"/>
    <w:rsid w:val="0093193B"/>
    <w:rsid w:val="009509D8"/>
    <w:rsid w:val="00950B64"/>
    <w:rsid w:val="0095632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DE7"/>
    <w:rsid w:val="00BC004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C5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1F7A2"/>
  <w15:chartTrackingRefBased/>
  <w15:docId w15:val="{A148D4F1-92F3-473D-AEAC-C376BEEA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46C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46C5F"/>
    <w:pPr>
      <w:spacing w:before="480" w:after="240"/>
    </w:pPr>
  </w:style>
  <w:style w:type="paragraph" w:customStyle="1" w:styleId="PageHeading">
    <w:name w:val="PageHeading"/>
    <w:basedOn w:val="Normal"/>
    <w:rsid w:val="00E46C5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46C5F"/>
    <w:rPr>
      <w:b/>
    </w:rPr>
  </w:style>
  <w:style w:type="paragraph" w:customStyle="1" w:styleId="NormalHanging12a">
    <w:name w:val="NormalHanging12a"/>
    <w:basedOn w:val="Normal"/>
    <w:link w:val="NormalHanging12aChar"/>
    <w:rsid w:val="00E46C5F"/>
    <w:pPr>
      <w:spacing w:after="240"/>
      <w:ind w:left="567" w:hanging="567"/>
    </w:pPr>
  </w:style>
  <w:style w:type="paragraph" w:customStyle="1" w:styleId="EPFooter">
    <w:name w:val="EPFooter"/>
    <w:basedOn w:val="Normal"/>
    <w:rsid w:val="00E46C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E46C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6C5F"/>
    <w:rPr>
      <w:sz w:val="24"/>
      <w:lang w:val="hu-HU"/>
    </w:rPr>
  </w:style>
  <w:style w:type="character" w:customStyle="1" w:styleId="NormalHanging12aChar">
    <w:name w:val="NormalHanging12a Char"/>
    <w:basedOn w:val="DefaultParagraphFont"/>
    <w:link w:val="NormalHanging12a"/>
    <w:locked/>
    <w:rsid w:val="00E46C5F"/>
    <w:rPr>
      <w:sz w:val="24"/>
      <w:lang w:val="hu-HU"/>
    </w:rPr>
  </w:style>
  <w:style w:type="paragraph" w:customStyle="1" w:styleId="Normal24a">
    <w:name w:val="Normal24a"/>
    <w:basedOn w:val="Normal"/>
    <w:rsid w:val="00E46C5F"/>
    <w:pPr>
      <w:spacing w:after="480"/>
    </w:pPr>
  </w:style>
  <w:style w:type="paragraph" w:customStyle="1" w:styleId="NormalBoldCenter">
    <w:name w:val="NormalBoldCenter"/>
    <w:basedOn w:val="Normal"/>
    <w:rsid w:val="00E46C5F"/>
    <w:pPr>
      <w:jc w:val="center"/>
    </w:pPr>
    <w:rPr>
      <w:b/>
    </w:rPr>
  </w:style>
  <w:style w:type="character" w:styleId="Hyperlink">
    <w:name w:val="Hyperlink"/>
    <w:basedOn w:val="DefaultParagraphFont"/>
    <w:rsid w:val="00E46C5F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E46C5F"/>
    <w:pPr>
      <w:spacing w:after="240"/>
    </w:pPr>
  </w:style>
  <w:style w:type="paragraph" w:customStyle="1" w:styleId="PageHeadingNotTOC">
    <w:name w:val="PageHeadingNotTOC"/>
    <w:basedOn w:val="Normal"/>
    <w:rsid w:val="00E46C5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E46C5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46C5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46C5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46C5F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3907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07AF"/>
    <w:rPr>
      <w:sz w:val="24"/>
      <w:lang w:val="hu-HU"/>
    </w:rPr>
  </w:style>
  <w:style w:type="paragraph" w:styleId="BalloonText">
    <w:name w:val="Balloon Text"/>
    <w:basedOn w:val="Normal"/>
    <w:link w:val="BalloonTextChar"/>
    <w:rsid w:val="00B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004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26AF4-97F7-4E19-90BE-25C7D8BDC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6046</Words>
  <Characters>43206</Characters>
  <Application>Microsoft Office Word</Application>
  <DocSecurity>0</DocSecurity>
  <Lines>360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3</cp:revision>
  <cp:lastPrinted>2004-11-19T15:42:00Z</cp:lastPrinted>
  <dcterms:created xsi:type="dcterms:W3CDTF">2024-04-11T11:00:00Z</dcterms:created>
  <dcterms:modified xsi:type="dcterms:W3CDTF">2024-05-15T09:21:00Z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P9_TA(2024)0279_</vt:lpwstr>
  </property>
  <property fmtid="{D5CDD505-2E9C-101B-9397-08002B2CF9AE}" pid="4" name="&lt;Type&gt;">
    <vt:lpwstr>RR</vt:lpwstr>
  </property>
</Properties>
</file>