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35AA" w14:paraId="6A9F331D" w14:textId="77777777" w:rsidTr="0010095E">
        <w:trPr>
          <w:trHeight w:hRule="exact" w:val="1418"/>
        </w:trPr>
        <w:tc>
          <w:tcPr>
            <w:tcW w:w="6804" w:type="dxa"/>
            <w:shd w:val="clear" w:color="auto" w:fill="auto"/>
            <w:vAlign w:val="center"/>
          </w:tcPr>
          <w:p w14:paraId="0D74312D" w14:textId="77777777" w:rsidR="00751A4A" w:rsidRPr="004235AA" w:rsidRDefault="00257CFD" w:rsidP="0010095E">
            <w:pPr>
              <w:pStyle w:val="EPName"/>
            </w:pPr>
            <w:r w:rsidRPr="004235AA">
              <w:t>Europaparlamentet</w:t>
            </w:r>
          </w:p>
          <w:p w14:paraId="3D8F524E" w14:textId="77777777" w:rsidR="00751A4A" w:rsidRPr="004235AA" w:rsidRDefault="00817416" w:rsidP="00756632">
            <w:pPr>
              <w:pStyle w:val="EPTerm"/>
              <w:rPr>
                <w:rStyle w:val="HideTWBExt"/>
                <w:noProof w:val="0"/>
                <w:vanish w:val="0"/>
                <w:color w:val="auto"/>
              </w:rPr>
            </w:pPr>
            <w:r w:rsidRPr="004235AA">
              <w:t>2019-2024</w:t>
            </w:r>
          </w:p>
        </w:tc>
        <w:tc>
          <w:tcPr>
            <w:tcW w:w="2268" w:type="dxa"/>
            <w:shd w:val="clear" w:color="auto" w:fill="auto"/>
          </w:tcPr>
          <w:p w14:paraId="3E5554B3" w14:textId="77777777" w:rsidR="00751A4A" w:rsidRPr="004235AA" w:rsidRDefault="00187494" w:rsidP="0010095E">
            <w:pPr>
              <w:pStyle w:val="EPLogo"/>
            </w:pPr>
            <w:r w:rsidRPr="004235AA">
              <w:rPr>
                <w:noProof/>
                <w:lang w:val="en-GB"/>
              </w:rPr>
              <w:drawing>
                <wp:inline distT="0" distB="0" distL="0" distR="0" wp14:anchorId="05EAABB2" wp14:editId="16C97F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78C270" w14:textId="77777777" w:rsidR="00D058B8" w:rsidRPr="004235AA" w:rsidRDefault="00D058B8" w:rsidP="004C5D52">
      <w:pPr>
        <w:pStyle w:val="LineTop"/>
      </w:pPr>
    </w:p>
    <w:p w14:paraId="4BC839E6" w14:textId="77777777" w:rsidR="00680577" w:rsidRPr="004235AA" w:rsidRDefault="00257CFD" w:rsidP="00680577">
      <w:pPr>
        <w:pStyle w:val="EPBodyTA1"/>
      </w:pPr>
      <w:r w:rsidRPr="004235AA">
        <w:t>ANTAGNA TEXTER</w:t>
      </w:r>
    </w:p>
    <w:p w14:paraId="5B620618" w14:textId="77777777" w:rsidR="00D058B8" w:rsidRPr="004235AA" w:rsidRDefault="00D058B8" w:rsidP="00D058B8">
      <w:pPr>
        <w:pStyle w:val="LineBottom"/>
      </w:pPr>
    </w:p>
    <w:p w14:paraId="5A90A2E1" w14:textId="38A8D056" w:rsidR="00257CFD" w:rsidRPr="004235AA" w:rsidRDefault="00257CFD" w:rsidP="00257CFD">
      <w:pPr>
        <w:pStyle w:val="ATHeading1"/>
      </w:pPr>
      <w:bookmarkStart w:id="0" w:name="TANumber"/>
      <w:r w:rsidRPr="004235AA">
        <w:t>P9_TA(2024)0</w:t>
      </w:r>
      <w:bookmarkEnd w:id="0"/>
      <w:r w:rsidR="002777D5" w:rsidRPr="004235AA">
        <w:t>279</w:t>
      </w:r>
    </w:p>
    <w:p w14:paraId="79C57B9C" w14:textId="77777777" w:rsidR="00257CFD" w:rsidRPr="004235AA" w:rsidRDefault="00257CFD" w:rsidP="00257CFD">
      <w:pPr>
        <w:pStyle w:val="ATHeading2"/>
      </w:pPr>
      <w:bookmarkStart w:id="1" w:name="title"/>
      <w:r w:rsidRPr="004235AA">
        <w:t>Ansvarsfrihet 2022: EU:s allmänna budget – EUF (nionde, tionde och elfte)</w:t>
      </w:r>
      <w:bookmarkEnd w:id="1"/>
    </w:p>
    <w:p w14:paraId="282402C3" w14:textId="77777777" w:rsidR="00257CFD" w:rsidRPr="004235AA" w:rsidRDefault="00257CFD" w:rsidP="00257CFD">
      <w:pPr>
        <w:rPr>
          <w:i/>
          <w:vanish/>
        </w:rPr>
      </w:pPr>
      <w:r w:rsidRPr="004235AA">
        <w:rPr>
          <w:i/>
        </w:rPr>
        <w:fldChar w:fldCharType="begin"/>
      </w:r>
      <w:r w:rsidRPr="004235AA">
        <w:rPr>
          <w:i/>
        </w:rPr>
        <w:instrText xml:space="preserve"> TC"(</w:instrText>
      </w:r>
      <w:bookmarkStart w:id="2" w:name="DocNumber"/>
      <w:r w:rsidRPr="004235AA">
        <w:rPr>
          <w:i/>
        </w:rPr>
        <w:instrText>A9-0110/2024</w:instrText>
      </w:r>
      <w:bookmarkEnd w:id="2"/>
      <w:r w:rsidRPr="004235AA">
        <w:rPr>
          <w:i/>
        </w:rPr>
        <w:instrText xml:space="preserve"> - Föredragande: Joachim Kuhs)"\l3 \n&gt; \* MERGEFORMAT </w:instrText>
      </w:r>
      <w:r w:rsidRPr="004235AA">
        <w:rPr>
          <w:i/>
        </w:rPr>
        <w:fldChar w:fldCharType="end"/>
      </w:r>
    </w:p>
    <w:p w14:paraId="088ACCAF" w14:textId="77777777" w:rsidR="00257CFD" w:rsidRPr="004235AA" w:rsidRDefault="00257CFD" w:rsidP="00257CFD">
      <w:pPr>
        <w:rPr>
          <w:vanish/>
        </w:rPr>
      </w:pPr>
      <w:bookmarkStart w:id="3" w:name="Commission"/>
      <w:r w:rsidRPr="004235AA">
        <w:rPr>
          <w:vanish/>
        </w:rPr>
        <w:t>Budgetkontrollutskottet</w:t>
      </w:r>
      <w:bookmarkEnd w:id="3"/>
    </w:p>
    <w:p w14:paraId="4FDB00E2" w14:textId="77777777" w:rsidR="00257CFD" w:rsidRPr="004235AA" w:rsidRDefault="00257CFD" w:rsidP="00257CFD">
      <w:pPr>
        <w:rPr>
          <w:vanish/>
        </w:rPr>
      </w:pPr>
      <w:bookmarkStart w:id="4" w:name="PE"/>
      <w:r w:rsidRPr="004235AA">
        <w:rPr>
          <w:vanish/>
        </w:rPr>
        <w:t>PE753.512</w:t>
      </w:r>
      <w:bookmarkEnd w:id="4"/>
    </w:p>
    <w:p w14:paraId="1FBDB77E" w14:textId="77777777" w:rsidR="00257CFD" w:rsidRPr="004235AA" w:rsidRDefault="003F6F76" w:rsidP="00257CFD">
      <w:pPr>
        <w:pStyle w:val="ATHeading3"/>
      </w:pPr>
      <w:bookmarkStart w:id="5" w:name="Sujet"/>
      <w:r w:rsidRPr="004235AA">
        <w:t>1. E</w:t>
      </w:r>
      <w:r w:rsidR="00257CFD" w:rsidRPr="004235AA">
        <w:t>uropa</w:t>
      </w:r>
      <w:r w:rsidRPr="004235AA">
        <w:t>parlamentets beslut av den 11 april</w:t>
      </w:r>
      <w:r w:rsidR="00257CFD" w:rsidRPr="004235AA">
        <w:t xml:space="preserve"> 2024 om ansvarsfrihet för genomförandet av budgeten för nionde, tionde och elfte Europeiska utvecklingsfonden för budgetåret 2022</w:t>
      </w:r>
      <w:bookmarkEnd w:id="5"/>
      <w:r w:rsidR="00257CFD" w:rsidRPr="004235AA">
        <w:t xml:space="preserve"> </w:t>
      </w:r>
      <w:bookmarkStart w:id="6" w:name="References"/>
      <w:r w:rsidR="00257CFD" w:rsidRPr="004235AA">
        <w:t>(2023/2183(DEC))</w:t>
      </w:r>
      <w:bookmarkEnd w:id="6"/>
    </w:p>
    <w:p w14:paraId="4C352B00" w14:textId="77777777" w:rsidR="00A81746" w:rsidRPr="004235AA" w:rsidRDefault="00A81746" w:rsidP="00A81746">
      <w:pPr>
        <w:pStyle w:val="EPComma"/>
        <w:widowControl/>
      </w:pPr>
      <w:bookmarkStart w:id="7" w:name="_Toc26759888"/>
      <w:bookmarkStart w:id="8" w:name="_Toc86200285"/>
      <w:r w:rsidRPr="004235AA">
        <w:rPr>
          <w:i/>
        </w:rPr>
        <w:t>Europaparlamentet fattar detta beslut</w:t>
      </w:r>
    </w:p>
    <w:p w14:paraId="2EBF6AC1" w14:textId="77777777" w:rsidR="00A81746" w:rsidRPr="004235AA" w:rsidRDefault="00A81746" w:rsidP="00A81746">
      <w:pPr>
        <w:pStyle w:val="NormalHanging12a"/>
        <w:widowControl/>
      </w:pPr>
      <w:r w:rsidRPr="004235AA">
        <w:t>–</w:t>
      </w:r>
      <w:r w:rsidRPr="004235AA">
        <w:tab/>
        <w:t>med beaktande av balansräkningarna och inkomst- och utgiftsredovisningen för nionde, tionde och elfte Europeiska utvecklingsfonden för budgetåret 2022 (COM(2023)0392 – C9</w:t>
      </w:r>
      <w:r w:rsidRPr="004235AA">
        <w:noBreakHyphen/>
        <w:t>0302/2023),</w:t>
      </w:r>
    </w:p>
    <w:p w14:paraId="006F3A18" w14:textId="77777777" w:rsidR="00A81746" w:rsidRPr="004235AA" w:rsidRDefault="00A81746" w:rsidP="00A81746">
      <w:pPr>
        <w:pStyle w:val="NormalHanging12a"/>
        <w:widowControl/>
      </w:pPr>
      <w:r w:rsidRPr="004235AA">
        <w:t>–</w:t>
      </w:r>
      <w:r w:rsidRPr="004235AA">
        <w:tab/>
        <w:t>med beaktande av de ekonomiska uppgifterna om Europeiska utvecklingsfonden (COM COM(2023)0392),</w:t>
      </w:r>
    </w:p>
    <w:p w14:paraId="4614653D" w14:textId="77777777" w:rsidR="00A81746" w:rsidRPr="004235AA" w:rsidRDefault="00A81746" w:rsidP="00A81746">
      <w:pPr>
        <w:pStyle w:val="NormalHanging12a"/>
        <w:widowControl/>
      </w:pPr>
      <w:r w:rsidRPr="004235AA">
        <w:t>–</w:t>
      </w:r>
      <w:r w:rsidRPr="004235AA">
        <w:tab/>
        <w:t>med beaktande av revisionsrättens årsrapport om den verksamhet som finansieras genom nionde, tionde och elfte Europeiska utvecklingsfonden för budgetåret 2022, med kommissionens svar</w:t>
      </w:r>
      <w:r w:rsidRPr="004235AA">
        <w:rPr>
          <w:rStyle w:val="FootnoteReference"/>
        </w:rPr>
        <w:footnoteReference w:id="1"/>
      </w:r>
      <w:r w:rsidRPr="004235AA">
        <w:t>,</w:t>
      </w:r>
    </w:p>
    <w:p w14:paraId="177CA9AF" w14:textId="77777777" w:rsidR="00A81746" w:rsidRPr="004235AA" w:rsidRDefault="00A81746" w:rsidP="00A81746">
      <w:pPr>
        <w:pStyle w:val="NormalHanging12a"/>
        <w:widowControl/>
      </w:pPr>
      <w:r w:rsidRPr="004235AA">
        <w:t>–</w:t>
      </w:r>
      <w:r w:rsidRPr="004235AA">
        <w:tab/>
        <w:t>med beaktande av förklaringen om räkenskapernas tillförlitlighet och de underliggande transaktionernas laglighet och korrekthet</w:t>
      </w:r>
      <w:r w:rsidRPr="004235AA">
        <w:rPr>
          <w:rStyle w:val="FootnoteReference"/>
        </w:rPr>
        <w:footnoteReference w:id="2"/>
      </w:r>
      <w:r w:rsidRPr="004235AA">
        <w:t>, som avgetts av revisionsrätten för budgetåret 2022 i enlighet med artikel 287 i fördraget om Europeiska unionens funktionssätt (EUF</w:t>
      </w:r>
      <w:r w:rsidRPr="004235AA">
        <w:noBreakHyphen/>
        <w:t>fördraget),</w:t>
      </w:r>
    </w:p>
    <w:p w14:paraId="24865952" w14:textId="22EC5B9A" w:rsidR="00A81746" w:rsidRPr="004235AA" w:rsidRDefault="00A81746" w:rsidP="00A81746">
      <w:pPr>
        <w:pStyle w:val="NormalHanging12a"/>
        <w:widowControl/>
      </w:pPr>
      <w:r w:rsidRPr="004235AA">
        <w:t>–</w:t>
      </w:r>
      <w:r w:rsidRPr="004235AA">
        <w:tab/>
        <w:t>med beaktande av rådets rekommendationer av den 22 februari 2024 om beviljande av ansvarsfrihet för kommissionen för genomförandet av Europeiska utvecklingsfondens verksamhet för budgetåret 2022 (</w:t>
      </w:r>
      <w:r w:rsidR="00006F54" w:rsidRPr="004235AA">
        <w:t>05889</w:t>
      </w:r>
      <w:r w:rsidRPr="004235AA">
        <w:t>/2024 – C9</w:t>
      </w:r>
      <w:r w:rsidRPr="004235AA">
        <w:noBreakHyphen/>
      </w:r>
      <w:r w:rsidR="00006F54" w:rsidRPr="004235AA">
        <w:t>0123</w:t>
      </w:r>
      <w:r w:rsidRPr="004235AA">
        <w:t xml:space="preserve">/2024, </w:t>
      </w:r>
      <w:r w:rsidR="00006F54" w:rsidRPr="004235AA">
        <w:t>05891</w:t>
      </w:r>
      <w:r w:rsidRPr="004235AA">
        <w:t>/2024 – C9</w:t>
      </w:r>
      <w:r w:rsidRPr="004235AA">
        <w:noBreakHyphen/>
      </w:r>
      <w:r w:rsidR="00006F54" w:rsidRPr="004235AA">
        <w:t>0122</w:t>
      </w:r>
      <w:r w:rsidRPr="004235AA">
        <w:t xml:space="preserve">/2024, </w:t>
      </w:r>
      <w:r w:rsidR="00006F54" w:rsidRPr="004235AA">
        <w:t>05892</w:t>
      </w:r>
      <w:r w:rsidRPr="004235AA">
        <w:t>/2024 – C9</w:t>
      </w:r>
      <w:r w:rsidRPr="004235AA">
        <w:noBreakHyphen/>
      </w:r>
      <w:r w:rsidR="00006F54" w:rsidRPr="004235AA">
        <w:t>0124</w:t>
      </w:r>
      <w:r w:rsidRPr="004235AA">
        <w:t>/2024),</w:t>
      </w:r>
    </w:p>
    <w:p w14:paraId="511D61D9" w14:textId="77777777" w:rsidR="00A81746" w:rsidRPr="004235AA" w:rsidRDefault="00A81746" w:rsidP="00A81746">
      <w:pPr>
        <w:pStyle w:val="NormalHanging12a"/>
        <w:widowControl/>
      </w:pPr>
      <w:r w:rsidRPr="004235AA">
        <w:t>–</w:t>
      </w:r>
      <w:r w:rsidRPr="004235AA">
        <w:tab/>
        <w:t>med beaktande av kommissionens rapport om uppföljning av ansvarsfrihetsförfarandet för budgetåret 2021 (COM(2023)0384),</w:t>
      </w:r>
    </w:p>
    <w:p w14:paraId="6F3FB179" w14:textId="77777777" w:rsidR="00A81746" w:rsidRPr="004235AA" w:rsidRDefault="00A81746" w:rsidP="00A81746">
      <w:pPr>
        <w:pStyle w:val="NormalHanging12a"/>
        <w:widowControl/>
      </w:pPr>
      <w:r w:rsidRPr="004235AA">
        <w:t>–</w:t>
      </w:r>
      <w:r w:rsidRPr="004235AA">
        <w:tab/>
        <w:t xml:space="preserve">med beaktande av partnerskapsavtalet mellan medlemmarna i gruppen av stater i Afrika, Västindien och Stillahavsområdet (AVS), å ena sidan, och Europeiska </w:t>
      </w:r>
      <w:r w:rsidRPr="004235AA">
        <w:lastRenderedPageBreak/>
        <w:t>gemenskapen och dess medlemsstater, å andra sidan, undertecknat i Cotonou (Benin) den 23 juni 2000</w:t>
      </w:r>
      <w:r w:rsidRPr="004235AA">
        <w:rPr>
          <w:rStyle w:val="FootnoteReference"/>
        </w:rPr>
        <w:footnoteReference w:id="3"/>
      </w:r>
      <w:r w:rsidRPr="004235AA">
        <w:t xml:space="preserve"> och ändrat i Ouagadougou (Burkina Faso) den 22 juni 2010</w:t>
      </w:r>
      <w:r w:rsidRPr="004235AA">
        <w:rPr>
          <w:rStyle w:val="FootnoteReference"/>
        </w:rPr>
        <w:footnoteReference w:id="4"/>
      </w:r>
      <w:r w:rsidRPr="004235AA">
        <w:t>,</w:t>
      </w:r>
    </w:p>
    <w:p w14:paraId="79886185" w14:textId="77777777" w:rsidR="00A81746" w:rsidRPr="004235AA" w:rsidRDefault="00A81746" w:rsidP="00A81746">
      <w:pPr>
        <w:pStyle w:val="NormalHanging12a"/>
        <w:widowControl/>
      </w:pPr>
      <w:r w:rsidRPr="004235AA">
        <w:t>–</w:t>
      </w:r>
      <w:r w:rsidRPr="004235AA">
        <w:tab/>
        <w:t>med beaktande av rådets beslut 2013/755/EU av den 25 november 2013 om associering av de utomeuropeiska länderna och territorierna med Europeiska gemenskapen (ULT</w:t>
      </w:r>
      <w:r w:rsidRPr="004235AA">
        <w:noBreakHyphen/>
        <w:t>beslutet)</w:t>
      </w:r>
      <w:r w:rsidRPr="004235AA">
        <w:rPr>
          <w:rStyle w:val="FootnoteReference"/>
        </w:rPr>
        <w:footnoteReference w:id="5"/>
      </w:r>
      <w:r w:rsidRPr="004235AA">
        <w:t>,</w:t>
      </w:r>
    </w:p>
    <w:p w14:paraId="0012212F" w14:textId="77777777" w:rsidR="00A81746" w:rsidRPr="004235AA" w:rsidRDefault="00A81746" w:rsidP="00A81746">
      <w:pPr>
        <w:pStyle w:val="NormalHanging12a"/>
        <w:widowControl/>
      </w:pPr>
      <w:r w:rsidRPr="004235AA">
        <w:t>–</w:t>
      </w:r>
      <w:r w:rsidRPr="004235AA">
        <w:tab/>
        <w:t>med beaktande av rådets beslut (EU) 2021/1764 av den 5 oktober 2021 om associering av de utomeuropeiska länderna och territorierna med Europeiska unionen, inbegripet förbindelserna mellan Europeiska unionen, å ena sidan, och Grönland och Konungariket Danmark, å andra sidan (Beslutet om ULT, inbegripet Grönland)</w:t>
      </w:r>
      <w:r w:rsidRPr="004235AA">
        <w:rPr>
          <w:rStyle w:val="FootnoteReference"/>
        </w:rPr>
        <w:footnoteReference w:id="6"/>
      </w:r>
      <w:r w:rsidRPr="004235AA">
        <w:t>,</w:t>
      </w:r>
    </w:p>
    <w:p w14:paraId="528FB0E9" w14:textId="77777777" w:rsidR="00A81746" w:rsidRPr="004235AA" w:rsidRDefault="00A81746" w:rsidP="00A81746">
      <w:pPr>
        <w:pStyle w:val="NormalHanging12a"/>
        <w:widowControl/>
      </w:pPr>
      <w:r w:rsidRPr="004235AA">
        <w:t>–</w:t>
      </w:r>
      <w:r w:rsidRPr="004235AA">
        <w:tab/>
        <w:t>med beaktande av artikel 33 i den interna överenskommelsen av den 20 december 1995 mellan företrädarna för medlemsstaternas regeringar, församlade i rådet, om finansiering och förvaltning av gemenskapsstödet inom ramen för andra finansprotokollet till fjärde AVS–EG konventionen</w:t>
      </w:r>
      <w:r w:rsidRPr="004235AA">
        <w:rPr>
          <w:rStyle w:val="FootnoteReference"/>
        </w:rPr>
        <w:footnoteReference w:id="7"/>
      </w:r>
      <w:r w:rsidRPr="004235AA">
        <w:t>,</w:t>
      </w:r>
    </w:p>
    <w:p w14:paraId="6D82B442" w14:textId="77777777" w:rsidR="00A81746" w:rsidRPr="004235AA" w:rsidRDefault="00A81746" w:rsidP="00A81746">
      <w:pPr>
        <w:pStyle w:val="NormalHanging12a"/>
        <w:widowControl/>
      </w:pPr>
      <w:r w:rsidRPr="004235AA">
        <w:t>–</w:t>
      </w:r>
      <w:r w:rsidRPr="004235AA">
        <w:tab/>
        <w:t>med beaktande av artikel 32 i det interna avtalet av den 18 september 2000 mellan företrädarna för medlemsstaternas regeringar, församlade i rådet, om finansiering och förvaltning av gemenskapens bistånd inom ramen för finansprotokollet till partnerskapsavtalet mellan staterna i Afrika, Västindien och Stillahavsområdet, å ena sidan, och Europeiska gemenskapen och dess medlemsstater, å andra sidan, undertecknat i Cotonou (Benin) den 23 juni 2000, och om tilldelning av ekonomiskt stöd till de utomeuropeiska länder och territorier på vilka den fjärde delen av EG</w:t>
      </w:r>
      <w:r w:rsidRPr="004235AA">
        <w:noBreakHyphen/>
        <w:t>fördraget är tillämplig</w:t>
      </w:r>
      <w:r w:rsidRPr="004235AA">
        <w:rPr>
          <w:rStyle w:val="FootnoteReference"/>
        </w:rPr>
        <w:footnoteReference w:id="8"/>
      </w:r>
      <w:r w:rsidRPr="004235AA">
        <w:t>,</w:t>
      </w:r>
    </w:p>
    <w:p w14:paraId="4A4A38BE" w14:textId="77777777" w:rsidR="00A81746" w:rsidRPr="004235AA" w:rsidRDefault="00A81746" w:rsidP="00A81746">
      <w:pPr>
        <w:pStyle w:val="NormalHanging12a"/>
        <w:widowControl/>
      </w:pPr>
      <w:r w:rsidRPr="004235AA">
        <w:t>–</w:t>
      </w:r>
      <w:r w:rsidRPr="004235AA">
        <w:tab/>
        <w:t>med beaktande av artikel 11 i det interna avtalet av den 24 juni 2013 och den 26 juni 2013 mellan företrädarna för regeringarna i Europeiska unionens medlemsstater, församlade i rådet, om finansiering av Europeiska unionens bistånd inom den fleråriga budgetramen för perioden 2014–2020 i enlighet med AVS–EU-partnerskapsavtalet och om tilldelning av ekonomiskt stöd till de utomeuropeiska länder och territorier på vilka den fjärde delen i EUF-fördraget är tillämplig</w:t>
      </w:r>
      <w:r w:rsidRPr="004235AA">
        <w:rPr>
          <w:rStyle w:val="FootnoteReference"/>
        </w:rPr>
        <w:footnoteReference w:id="9"/>
      </w:r>
      <w:r w:rsidRPr="004235AA">
        <w:t>,</w:t>
      </w:r>
    </w:p>
    <w:p w14:paraId="1C6FB91A" w14:textId="77777777" w:rsidR="00A81746" w:rsidRPr="004235AA" w:rsidRDefault="00A81746" w:rsidP="00A81746">
      <w:pPr>
        <w:pStyle w:val="NormalHanging12a"/>
        <w:widowControl/>
      </w:pPr>
      <w:r w:rsidRPr="004235AA">
        <w:t>–</w:t>
      </w:r>
      <w:r w:rsidRPr="004235AA">
        <w:tab/>
        <w:t>med beaktande av artikel 319 i EUF-fördraget,</w:t>
      </w:r>
    </w:p>
    <w:p w14:paraId="051CD964" w14:textId="77777777" w:rsidR="00A81746" w:rsidRPr="004235AA" w:rsidRDefault="00A81746" w:rsidP="00A81746">
      <w:pPr>
        <w:pStyle w:val="NormalHanging12a"/>
        <w:widowControl/>
      </w:pPr>
      <w:r w:rsidRPr="004235AA">
        <w:t>–</w:t>
      </w:r>
      <w:r w:rsidRPr="004235AA">
        <w:tab/>
        <w:t>med beaktande av artikel 74 i budgetförordningen av den 16 juni 1998 tillämplig på samarbete för utvecklingsfinansiering enligt fjärde AVS–EG konventionen</w:t>
      </w:r>
      <w:r w:rsidRPr="004235AA">
        <w:rPr>
          <w:rStyle w:val="FootnoteReference"/>
        </w:rPr>
        <w:footnoteReference w:id="10"/>
      </w:r>
      <w:r w:rsidRPr="004235AA">
        <w:t>,</w:t>
      </w:r>
    </w:p>
    <w:p w14:paraId="3ECC749F" w14:textId="77777777" w:rsidR="00A81746" w:rsidRPr="004235AA" w:rsidRDefault="00A81746" w:rsidP="00A81746">
      <w:pPr>
        <w:pStyle w:val="NormalHanging12a"/>
        <w:widowControl/>
      </w:pPr>
      <w:r w:rsidRPr="004235AA">
        <w:t>–</w:t>
      </w:r>
      <w:r w:rsidRPr="004235AA">
        <w:tab/>
        <w:t>med beaktande av artikel 119 i budgetförordningen av den 27 mars 2003 för den nionde Europeiska utvecklingsfonden</w:t>
      </w:r>
      <w:r w:rsidRPr="004235AA">
        <w:rPr>
          <w:rStyle w:val="FootnoteReference"/>
        </w:rPr>
        <w:footnoteReference w:id="11"/>
      </w:r>
      <w:r w:rsidRPr="004235AA">
        <w:t>,</w:t>
      </w:r>
    </w:p>
    <w:p w14:paraId="44A2C071" w14:textId="77777777" w:rsidR="00A81746" w:rsidRPr="004235AA" w:rsidRDefault="00A81746" w:rsidP="00A81746">
      <w:pPr>
        <w:pStyle w:val="NormalHanging12a"/>
        <w:widowControl/>
      </w:pPr>
      <w:r w:rsidRPr="004235AA">
        <w:lastRenderedPageBreak/>
        <w:t>–</w:t>
      </w:r>
      <w:r w:rsidRPr="004235AA">
        <w:tab/>
        <w:t>med beaktande av artikel 50 i rådets förordning (EG) nr 215/2008 av den 18 februari 2008 med budgetförordning för tionde Europeiska utvecklingsfonden</w:t>
      </w:r>
      <w:r w:rsidRPr="004235AA">
        <w:rPr>
          <w:rStyle w:val="FootnoteReference"/>
        </w:rPr>
        <w:footnoteReference w:id="12"/>
      </w:r>
      <w:r w:rsidRPr="004235AA">
        <w:t>,</w:t>
      </w:r>
    </w:p>
    <w:p w14:paraId="32BD903C" w14:textId="23FD1277" w:rsidR="00A81746" w:rsidRPr="004235AA" w:rsidRDefault="00A81746" w:rsidP="00A81746">
      <w:pPr>
        <w:pStyle w:val="NormalHanging12a"/>
        <w:widowControl/>
      </w:pPr>
      <w:r w:rsidRPr="004235AA">
        <w:t>–</w:t>
      </w:r>
      <w:r w:rsidRPr="004235AA">
        <w:tab/>
        <w:t>med beaktande av artike</w:t>
      </w:r>
      <w:r w:rsidR="00256236">
        <w:t>l 48 i rådets förordning (EU)</w:t>
      </w:r>
      <w:r w:rsidRPr="004235AA">
        <w:t xml:space="preserve"> 2015/323 av den 2 mars 2015 med budgetförordning för elfte Europeiska utvecklingsfonden</w:t>
      </w:r>
      <w:r w:rsidRPr="004235AA">
        <w:rPr>
          <w:rStyle w:val="FootnoteReference"/>
        </w:rPr>
        <w:footnoteReference w:id="13"/>
      </w:r>
      <w:r w:rsidRPr="004235AA">
        <w:t>,</w:t>
      </w:r>
    </w:p>
    <w:p w14:paraId="2D5317D4" w14:textId="77777777" w:rsidR="00A81746" w:rsidRPr="004235AA" w:rsidRDefault="00A81746" w:rsidP="00A81746">
      <w:pPr>
        <w:pStyle w:val="NormalHanging12a"/>
        <w:widowControl/>
      </w:pPr>
      <w:r w:rsidRPr="004235AA">
        <w:t>–</w:t>
      </w:r>
      <w:r w:rsidRPr="004235AA">
        <w:tab/>
        <w:t>med beaktande av artikel 44 i rådets förordning (EU) 2018/1877 av den 26 november 2018 med budgetförordning för elfte Europeiska utvecklingsfonden och om upphävande av förordning (EU) 2015/323</w:t>
      </w:r>
      <w:r w:rsidRPr="004235AA">
        <w:rPr>
          <w:rStyle w:val="FootnoteReference"/>
        </w:rPr>
        <w:footnoteReference w:id="14"/>
      </w:r>
      <w:r w:rsidRPr="004235AA">
        <w:t>,</w:t>
      </w:r>
    </w:p>
    <w:p w14:paraId="67C5E52C" w14:textId="77777777" w:rsidR="00A81746" w:rsidRPr="004235AA" w:rsidRDefault="00A81746" w:rsidP="00A81746">
      <w:pPr>
        <w:pStyle w:val="NormalHanging12a"/>
        <w:widowControl/>
      </w:pPr>
      <w:r w:rsidRPr="004235AA">
        <w:t>–</w:t>
      </w:r>
      <w:r w:rsidRPr="004235AA">
        <w:tab/>
        <w:t>med beaktande av artikel 99, artikel 100 tredje strecksatsen och bilaga V i arbetsordningen,</w:t>
      </w:r>
    </w:p>
    <w:p w14:paraId="2DF5BBED" w14:textId="77777777" w:rsidR="00A81746" w:rsidRPr="004235AA" w:rsidRDefault="00A81746" w:rsidP="00A81746">
      <w:pPr>
        <w:pStyle w:val="NormalHanging12a"/>
        <w:widowControl/>
      </w:pPr>
      <w:r w:rsidRPr="004235AA">
        <w:t>–</w:t>
      </w:r>
      <w:r w:rsidRPr="004235AA">
        <w:tab/>
        <w:t>med beaktande av yttrandet från utskottet för utveckling,</w:t>
      </w:r>
    </w:p>
    <w:p w14:paraId="47373F00" w14:textId="77777777" w:rsidR="00A81746" w:rsidRPr="004235AA" w:rsidRDefault="00A81746" w:rsidP="00A81746">
      <w:pPr>
        <w:pStyle w:val="NormalHanging12a"/>
        <w:widowControl/>
      </w:pPr>
      <w:r w:rsidRPr="004235AA">
        <w:t>–</w:t>
      </w:r>
      <w:r w:rsidRPr="004235AA">
        <w:tab/>
        <w:t>med beaktande av betänkandet från budgetkontrollutskottet (A9-0110/2024).</w:t>
      </w:r>
    </w:p>
    <w:p w14:paraId="2D78BCEA" w14:textId="77777777" w:rsidR="00A81746" w:rsidRPr="004235AA" w:rsidRDefault="00A81746" w:rsidP="00A81746">
      <w:pPr>
        <w:pStyle w:val="NormalHanging12a"/>
        <w:widowControl/>
      </w:pPr>
      <w:r w:rsidRPr="004235AA">
        <w:t>1.</w:t>
      </w:r>
      <w:r w:rsidRPr="004235AA">
        <w:tab/>
        <w:t>Europaparlamentet beviljar kommissionen ansvarsfrihet för genomförandet av budgeten för nionde, tionde och elfte Europeiska utvecklingsfonden för budgetåret 2022.</w:t>
      </w:r>
    </w:p>
    <w:p w14:paraId="0BF435A7" w14:textId="77777777" w:rsidR="00A81746" w:rsidRPr="004235AA" w:rsidRDefault="00A81746" w:rsidP="00A81746">
      <w:pPr>
        <w:pStyle w:val="NormalHanging12a"/>
        <w:widowControl/>
      </w:pPr>
      <w:r w:rsidRPr="004235AA">
        <w:t>2.</w:t>
      </w:r>
      <w:r w:rsidRPr="004235AA">
        <w:tab/>
        <w:t>Europaparlamentet redovisar sina iakttagelser i resolutionen nedan.</w:t>
      </w:r>
    </w:p>
    <w:p w14:paraId="32BAF693" w14:textId="77777777" w:rsidR="00A81746" w:rsidRPr="004235AA" w:rsidRDefault="00A81746" w:rsidP="00A81746">
      <w:pPr>
        <w:pStyle w:val="NormalHanging12a"/>
        <w:widowControl/>
      </w:pPr>
      <w:r w:rsidRPr="004235AA">
        <w:t>3.</w:t>
      </w:r>
      <w:r w:rsidRPr="004235AA">
        <w:tab/>
        <w:t>Europaparlamentet uppdrar åt talmannen att översända detta beslut och den resolution som utgör en del av beslutet till rådet, kommissionen, revisionsrätten och Europeiska investeringsbanken, samt att se till att de offentliggörs i </w:t>
      </w:r>
      <w:r w:rsidRPr="004235AA">
        <w:rPr>
          <w:i/>
        </w:rPr>
        <w:t>Europeiska unionens officiella tidning</w:t>
      </w:r>
      <w:r w:rsidRPr="004235AA">
        <w:t xml:space="preserve"> (L-serien).</w:t>
      </w:r>
    </w:p>
    <w:p w14:paraId="49923400" w14:textId="77777777" w:rsidR="00A81746" w:rsidRPr="004235AA" w:rsidRDefault="00A81746" w:rsidP="00A81746">
      <w:pPr>
        <w:widowControl/>
      </w:pPr>
    </w:p>
    <w:p w14:paraId="08E1D299" w14:textId="77777777" w:rsidR="00A81746" w:rsidRPr="004235AA" w:rsidRDefault="00A81746" w:rsidP="00A81746">
      <w:pPr>
        <w:pStyle w:val="PageHeading"/>
        <w:widowControl/>
        <w:sectPr w:rsidR="00A81746" w:rsidRPr="004235AA" w:rsidSect="0064696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A58EEF4" w14:textId="77777777" w:rsidR="00A81746" w:rsidRPr="004235AA" w:rsidRDefault="003F6F76" w:rsidP="003F6F76">
      <w:pPr>
        <w:pStyle w:val="ATHeading3"/>
      </w:pPr>
      <w:r w:rsidRPr="004235AA">
        <w:lastRenderedPageBreak/>
        <w:t xml:space="preserve">2. Europaparlamentets beslut av den 11 april 2024 </w:t>
      </w:r>
      <w:r w:rsidR="00A81746" w:rsidRPr="004235AA">
        <w:t>om avslutande av räkenskaperna för nionde, tionde och elfte Europeiska utvecklingsfonden för budgetåret 2022</w:t>
      </w:r>
      <w:r w:rsidRPr="004235AA">
        <w:t xml:space="preserve"> </w:t>
      </w:r>
      <w:r w:rsidR="00A81746" w:rsidRPr="004235AA">
        <w:t>(2023/2183(DEC))</w:t>
      </w:r>
    </w:p>
    <w:p w14:paraId="20D3E966" w14:textId="77777777" w:rsidR="00A81746" w:rsidRPr="004235AA" w:rsidRDefault="00A81746" w:rsidP="00A81746">
      <w:pPr>
        <w:pStyle w:val="EPComma"/>
        <w:widowControl/>
      </w:pPr>
      <w:r w:rsidRPr="004235AA">
        <w:rPr>
          <w:i/>
        </w:rPr>
        <w:t>Europaparlamentet fattar detta beslut</w:t>
      </w:r>
    </w:p>
    <w:p w14:paraId="7CADB0F6" w14:textId="77777777" w:rsidR="00A81746" w:rsidRPr="004235AA" w:rsidRDefault="00A81746" w:rsidP="00A81746">
      <w:pPr>
        <w:pStyle w:val="NormalHanging12a"/>
        <w:widowControl/>
      </w:pPr>
      <w:r w:rsidRPr="004235AA">
        <w:t>–</w:t>
      </w:r>
      <w:r w:rsidRPr="004235AA">
        <w:tab/>
        <w:t>med beaktande av balansräkningarna och inkomst- och utgiftsredovisningen för nionde, tionde och elfte Europeiska utvecklingsfonden för budgetåret 2022 (COM(2023)0392 – C9</w:t>
      </w:r>
      <w:r w:rsidRPr="004235AA">
        <w:noBreakHyphen/>
        <w:t>0302/2023),</w:t>
      </w:r>
    </w:p>
    <w:p w14:paraId="2E6AD570" w14:textId="77777777" w:rsidR="00A81746" w:rsidRPr="004235AA" w:rsidRDefault="00A81746" w:rsidP="00A81746">
      <w:pPr>
        <w:pStyle w:val="NormalHanging12a"/>
        <w:widowControl/>
      </w:pPr>
      <w:r w:rsidRPr="004235AA">
        <w:t>–</w:t>
      </w:r>
      <w:r w:rsidRPr="004235AA">
        <w:tab/>
        <w:t>med beaktande av de ekonomiska uppgifterna om Europeiska utvecklingsfonden (COM(2023)0392),</w:t>
      </w:r>
    </w:p>
    <w:p w14:paraId="538AFE21" w14:textId="77777777" w:rsidR="00A81746" w:rsidRPr="004235AA" w:rsidRDefault="00A81746" w:rsidP="00A81746">
      <w:pPr>
        <w:pStyle w:val="NormalHanging12a"/>
        <w:widowControl/>
      </w:pPr>
      <w:r w:rsidRPr="004235AA">
        <w:t>–</w:t>
      </w:r>
      <w:r w:rsidRPr="004235AA">
        <w:tab/>
        <w:t>med beaktande av revisionsrättens årsrapport om den verksamhet som finansieras genom nionde, tionde och elfte Europeiska utvecklingsfonden för budgetåret 2022, med kommissionens svar</w:t>
      </w:r>
      <w:r w:rsidRPr="004235AA">
        <w:rPr>
          <w:rStyle w:val="FootnoteReference"/>
        </w:rPr>
        <w:footnoteReference w:id="15"/>
      </w:r>
      <w:r w:rsidRPr="004235AA">
        <w:t>,</w:t>
      </w:r>
    </w:p>
    <w:p w14:paraId="16442D07" w14:textId="77777777" w:rsidR="00A81746" w:rsidRPr="004235AA" w:rsidRDefault="00A81746" w:rsidP="00A81746">
      <w:pPr>
        <w:pStyle w:val="NormalHanging12a"/>
        <w:widowControl/>
      </w:pPr>
      <w:r w:rsidRPr="004235AA">
        <w:t>–</w:t>
      </w:r>
      <w:r w:rsidRPr="004235AA">
        <w:tab/>
        <w:t>med beaktande av förklaringen om räkenskapernas tillförlitlighet och de underliggande transaktionernas laglighet och korrekthet</w:t>
      </w:r>
      <w:r w:rsidRPr="004235AA">
        <w:rPr>
          <w:rStyle w:val="FootnoteReference"/>
        </w:rPr>
        <w:footnoteReference w:id="16"/>
      </w:r>
      <w:r w:rsidRPr="004235AA">
        <w:t>, som avgetts av revisionsrätten för budgetåret 2022 i enlighet med artikel 287 i fördraget om Europeiska unionens funktionssätt (EUF</w:t>
      </w:r>
      <w:r w:rsidRPr="004235AA">
        <w:noBreakHyphen/>
        <w:t>fördraget),</w:t>
      </w:r>
    </w:p>
    <w:p w14:paraId="508034BE" w14:textId="226A5225" w:rsidR="00A81746" w:rsidRPr="004235AA" w:rsidRDefault="00A81746" w:rsidP="00A81746">
      <w:pPr>
        <w:pStyle w:val="NormalHanging12a"/>
        <w:widowControl/>
      </w:pPr>
      <w:r w:rsidRPr="004235AA">
        <w:t>–</w:t>
      </w:r>
      <w:r w:rsidRPr="004235AA">
        <w:tab/>
        <w:t xml:space="preserve">med beaktande av rådets rekommendationer från 22 februari 2024 om beviljande av ansvarsfrihet för kommissionen för genomförandet av Europeiska utvecklingsfondens verksamhet för budgetåret 2022 </w:t>
      </w:r>
      <w:r w:rsidR="00006F54" w:rsidRPr="004235AA">
        <w:t>(05889/2024 – C9</w:t>
      </w:r>
      <w:r w:rsidR="00006F54" w:rsidRPr="004235AA">
        <w:noBreakHyphen/>
        <w:t>0123/2024, 05891/2024 – C9</w:t>
      </w:r>
      <w:r w:rsidR="00006F54" w:rsidRPr="004235AA">
        <w:noBreakHyphen/>
        <w:t>0122/2024, 05892/2024 – C9</w:t>
      </w:r>
      <w:r w:rsidR="00006F54" w:rsidRPr="004235AA">
        <w:noBreakHyphen/>
        <w:t>0124/2024)</w:t>
      </w:r>
      <w:r w:rsidRPr="004235AA">
        <w:t>,</w:t>
      </w:r>
    </w:p>
    <w:p w14:paraId="617436A3" w14:textId="77777777" w:rsidR="00A81746" w:rsidRPr="004235AA" w:rsidRDefault="00A81746" w:rsidP="00A81746">
      <w:pPr>
        <w:pStyle w:val="NormalHanging12a"/>
        <w:widowControl/>
      </w:pPr>
      <w:r w:rsidRPr="004235AA">
        <w:t>–</w:t>
      </w:r>
      <w:r w:rsidRPr="004235AA">
        <w:tab/>
        <w:t>med beaktande av kommissionens rapport om uppföljning av ansvarsfrihetsförfarandet för budgetåret 2021 (COM(2023)0384),</w:t>
      </w:r>
    </w:p>
    <w:p w14:paraId="4260EE58" w14:textId="77777777" w:rsidR="00A81746" w:rsidRPr="004235AA" w:rsidRDefault="00A81746" w:rsidP="00A81746">
      <w:pPr>
        <w:pStyle w:val="NormalHanging12a"/>
        <w:widowControl/>
      </w:pPr>
      <w:r w:rsidRPr="004235AA">
        <w:t>–</w:t>
      </w:r>
      <w:r w:rsidRPr="004235AA">
        <w:tab/>
        <w:t>med beaktande av partnerskapsavtalet mellan medlemmarna i gruppen av stater i Afrika, Västindien och Stillahavsområdet (AVS), å ena sidan, och Europeiska gemenskapen och dess medlemsstater, å andra sidan, undertecknat i Cotonou (Benin) den 23 juni 2000</w:t>
      </w:r>
      <w:r w:rsidRPr="004235AA">
        <w:rPr>
          <w:rStyle w:val="FootnoteReference"/>
        </w:rPr>
        <w:footnoteReference w:id="17"/>
      </w:r>
      <w:r w:rsidRPr="004235AA">
        <w:t xml:space="preserve"> och ändrat i Ouagadougou (Burkina Faso) den 22 juni 2010</w:t>
      </w:r>
      <w:r w:rsidRPr="004235AA">
        <w:rPr>
          <w:rStyle w:val="FootnoteReference"/>
        </w:rPr>
        <w:footnoteReference w:id="18"/>
      </w:r>
      <w:r w:rsidRPr="004235AA">
        <w:t>,</w:t>
      </w:r>
    </w:p>
    <w:p w14:paraId="1BA48BB9" w14:textId="77777777" w:rsidR="00A81746" w:rsidRPr="004235AA" w:rsidRDefault="00A81746" w:rsidP="00A81746">
      <w:pPr>
        <w:pStyle w:val="NormalHanging12a"/>
        <w:widowControl/>
      </w:pPr>
      <w:r w:rsidRPr="004235AA">
        <w:t>–</w:t>
      </w:r>
      <w:r w:rsidRPr="004235AA">
        <w:tab/>
        <w:t>med beaktande av rådets beslut 2013/755/EU av den 25 november 2013 om associering av de utomeuropeiska länderna och territorierna med Europeiska gemenskapen (ULT</w:t>
      </w:r>
      <w:r w:rsidRPr="004235AA">
        <w:noBreakHyphen/>
        <w:t>beslutet)</w:t>
      </w:r>
      <w:r w:rsidRPr="004235AA">
        <w:rPr>
          <w:rStyle w:val="FootnoteReference"/>
        </w:rPr>
        <w:footnoteReference w:id="19"/>
      </w:r>
      <w:r w:rsidRPr="004235AA">
        <w:t>,</w:t>
      </w:r>
    </w:p>
    <w:p w14:paraId="12910550" w14:textId="77777777" w:rsidR="00A81746" w:rsidRPr="004235AA" w:rsidRDefault="00A81746" w:rsidP="00A81746">
      <w:pPr>
        <w:pStyle w:val="NormalHanging12a"/>
        <w:widowControl/>
      </w:pPr>
      <w:r w:rsidRPr="004235AA">
        <w:t>–</w:t>
      </w:r>
      <w:r w:rsidRPr="004235AA">
        <w:tab/>
        <w:t>med beaktande av rådets beslut (EU) 2021/1764 av den 5 oktober 2021 om associering av de utomeuropeiska länderna och territorierna med Europeiska unionen, inbegripet förbindelserna mellan Europeiska unionen, å ena sidan, och Grönland och Konungariket Danmark, å andra sidan (Beslutet om ULT, inbegripet Grönland)</w:t>
      </w:r>
      <w:r w:rsidRPr="004235AA">
        <w:rPr>
          <w:rStyle w:val="FootnoteReference"/>
        </w:rPr>
        <w:footnoteReference w:id="20"/>
      </w:r>
      <w:r w:rsidRPr="004235AA">
        <w:t>,</w:t>
      </w:r>
    </w:p>
    <w:p w14:paraId="60857E04" w14:textId="77777777" w:rsidR="00A81746" w:rsidRPr="004235AA" w:rsidRDefault="00A81746" w:rsidP="00A81746">
      <w:pPr>
        <w:pStyle w:val="NormalHanging12a"/>
        <w:widowControl/>
      </w:pPr>
      <w:r w:rsidRPr="004235AA">
        <w:lastRenderedPageBreak/>
        <w:t>–</w:t>
      </w:r>
      <w:r w:rsidRPr="004235AA">
        <w:tab/>
        <w:t>med beaktande av artikel 33 i den interna överenskommelsen av den 20 december 1995 mellan företrädarna för medlemsstaternas regeringar, församlade i rådet, om finansiering och förvaltning av gemenskapsstödet inom ramen för andra finansprotokollet till fjärde AVS–EG konventionen</w:t>
      </w:r>
      <w:r w:rsidRPr="004235AA">
        <w:rPr>
          <w:rStyle w:val="FootnoteReference"/>
        </w:rPr>
        <w:footnoteReference w:id="21"/>
      </w:r>
      <w:r w:rsidRPr="004235AA">
        <w:t>,</w:t>
      </w:r>
    </w:p>
    <w:p w14:paraId="7C4042E1" w14:textId="77777777" w:rsidR="00A81746" w:rsidRPr="004235AA" w:rsidRDefault="00A81746" w:rsidP="00A81746">
      <w:pPr>
        <w:pStyle w:val="NormalHanging12a"/>
        <w:widowControl/>
      </w:pPr>
      <w:r w:rsidRPr="004235AA">
        <w:t>–</w:t>
      </w:r>
      <w:r w:rsidRPr="004235AA">
        <w:tab/>
        <w:t>med beaktande av artikel 32 i det interna avtalet av den 18 september 2000 mellan företrädarna för medlemsstaternas regeringar, församlade i rådet, om finansiering och förvaltning av gemenskapens bistånd inom ramen för finansprotokollet till partnerskapsavtalet mellan staterna i Afrika, Västindien och Stillahavsområdet, å ena sidan, och Europeiska gemenskapen och dess medlemsstater, å andra sidan, undertecknat i Cotonou (Benin) den 23 juni 2000, och om tilldelning av ekonomiskt stöd till de utomeuropeiska länder och territorier på vilka den fjärde delen av EG</w:t>
      </w:r>
      <w:r w:rsidRPr="004235AA">
        <w:noBreakHyphen/>
        <w:t>fördraget är tillämplig</w:t>
      </w:r>
      <w:r w:rsidRPr="004235AA">
        <w:rPr>
          <w:rStyle w:val="FootnoteReference"/>
        </w:rPr>
        <w:footnoteReference w:id="22"/>
      </w:r>
      <w:r w:rsidRPr="004235AA">
        <w:t>,</w:t>
      </w:r>
    </w:p>
    <w:p w14:paraId="4852B35D" w14:textId="77777777" w:rsidR="00A81746" w:rsidRPr="004235AA" w:rsidRDefault="00A81746" w:rsidP="00A81746">
      <w:pPr>
        <w:pStyle w:val="NormalHanging12a"/>
        <w:widowControl/>
      </w:pPr>
      <w:r w:rsidRPr="004235AA">
        <w:t>–</w:t>
      </w:r>
      <w:r w:rsidRPr="004235AA">
        <w:tab/>
        <w:t>med beaktande av artikel 11 i det interna avtalet av den 24 juni 2013 och den 26 juni 2013 mellan företrädarna för regeringarna i Europeiska unionens medlemsstater, församlade i rådet, om finansiering av Europeiska unionens bistånd inom den fleråriga budgetramen för perioden 2014–2020 i enlighet med AVS–EU-partnerskapsavtalet och om tilldelning av ekonomiskt stöd till de utomeuropeiska länder och territorier på vilka den fjärde delen i EUF-fördraget är tillämplig</w:t>
      </w:r>
      <w:r w:rsidRPr="004235AA">
        <w:rPr>
          <w:rStyle w:val="FootnoteReference"/>
        </w:rPr>
        <w:footnoteReference w:id="23"/>
      </w:r>
      <w:r w:rsidRPr="004235AA">
        <w:t>,</w:t>
      </w:r>
    </w:p>
    <w:p w14:paraId="27B7D9EB" w14:textId="77777777" w:rsidR="00A81746" w:rsidRPr="004235AA" w:rsidRDefault="00A81746" w:rsidP="00A81746">
      <w:pPr>
        <w:pStyle w:val="NormalHanging12a"/>
        <w:widowControl/>
      </w:pPr>
      <w:r w:rsidRPr="004235AA">
        <w:t>–</w:t>
      </w:r>
      <w:r w:rsidRPr="004235AA">
        <w:tab/>
        <w:t>med beaktande av artikel 319 i fördraget om Europeiska unionens funktionssätt,</w:t>
      </w:r>
    </w:p>
    <w:p w14:paraId="532FCBC2" w14:textId="77777777" w:rsidR="00A81746" w:rsidRPr="004235AA" w:rsidRDefault="00A81746" w:rsidP="00A81746">
      <w:pPr>
        <w:pStyle w:val="NormalHanging12a"/>
        <w:widowControl/>
      </w:pPr>
      <w:r w:rsidRPr="004235AA">
        <w:t>–</w:t>
      </w:r>
      <w:r w:rsidRPr="004235AA">
        <w:tab/>
        <w:t>med beaktande av artikel 74 i budgetförordningen av den 16 juni 1998 tillämplig på samarbete för utvecklingsfinansiering enligt fjärde AVS–EG konventionen</w:t>
      </w:r>
      <w:r w:rsidRPr="004235AA">
        <w:rPr>
          <w:rStyle w:val="FootnoteReference"/>
        </w:rPr>
        <w:footnoteReference w:id="24"/>
      </w:r>
      <w:r w:rsidRPr="004235AA">
        <w:t>,</w:t>
      </w:r>
    </w:p>
    <w:p w14:paraId="6BA8C4F0" w14:textId="77777777" w:rsidR="00A81746" w:rsidRPr="004235AA" w:rsidRDefault="00A81746" w:rsidP="00A81746">
      <w:pPr>
        <w:pStyle w:val="NormalHanging12a"/>
        <w:widowControl/>
      </w:pPr>
      <w:r w:rsidRPr="004235AA">
        <w:t>–</w:t>
      </w:r>
      <w:r w:rsidRPr="004235AA">
        <w:tab/>
        <w:t>med beaktande av artikel 119 i budgetförordningen av den 27 mars 2003 för den nionde Europeiska utvecklingsfonden</w:t>
      </w:r>
      <w:r w:rsidRPr="004235AA">
        <w:rPr>
          <w:rStyle w:val="FootnoteReference"/>
        </w:rPr>
        <w:footnoteReference w:id="25"/>
      </w:r>
      <w:r w:rsidRPr="004235AA">
        <w:t>,</w:t>
      </w:r>
    </w:p>
    <w:p w14:paraId="449827DE" w14:textId="77777777" w:rsidR="00A81746" w:rsidRPr="004235AA" w:rsidRDefault="00A81746" w:rsidP="00A81746">
      <w:pPr>
        <w:pStyle w:val="NormalHanging12a"/>
        <w:widowControl/>
      </w:pPr>
      <w:r w:rsidRPr="004235AA">
        <w:t>–</w:t>
      </w:r>
      <w:r w:rsidRPr="004235AA">
        <w:tab/>
        <w:t>med beaktande av artikel 50 i rådets förordning (EG) nr 215/2008 av den 18 februari 2008 med budgetförordning för tionde Europeiska utvecklingsfonden</w:t>
      </w:r>
      <w:r w:rsidRPr="004235AA">
        <w:rPr>
          <w:rStyle w:val="FootnoteReference"/>
        </w:rPr>
        <w:footnoteReference w:id="26"/>
      </w:r>
      <w:r w:rsidRPr="004235AA">
        <w:t>,</w:t>
      </w:r>
    </w:p>
    <w:p w14:paraId="1C3E5315" w14:textId="1202C005" w:rsidR="00A81746" w:rsidRPr="004235AA" w:rsidRDefault="00A81746" w:rsidP="00A81746">
      <w:pPr>
        <w:pStyle w:val="NormalHanging12a"/>
        <w:widowControl/>
      </w:pPr>
      <w:r w:rsidRPr="004235AA">
        <w:t>–</w:t>
      </w:r>
      <w:r w:rsidRPr="004235AA">
        <w:tab/>
        <w:t>med beaktande av artikel</w:t>
      </w:r>
      <w:r w:rsidR="00256236">
        <w:t xml:space="preserve"> 48 i rådets förordning (EU) </w:t>
      </w:r>
      <w:r w:rsidRPr="004235AA">
        <w:t>2015/323 av den 2 mars 2015 med budgetförordning för elfte Europeiska utvecklingsfonden</w:t>
      </w:r>
      <w:r w:rsidRPr="004235AA">
        <w:rPr>
          <w:rStyle w:val="FootnoteReference"/>
        </w:rPr>
        <w:footnoteReference w:id="27"/>
      </w:r>
      <w:r w:rsidRPr="004235AA">
        <w:t>,</w:t>
      </w:r>
    </w:p>
    <w:p w14:paraId="1E060188" w14:textId="77777777" w:rsidR="00A81746" w:rsidRPr="004235AA" w:rsidRDefault="00A81746" w:rsidP="00A81746">
      <w:pPr>
        <w:pStyle w:val="NormalHanging12a"/>
        <w:widowControl/>
      </w:pPr>
      <w:r w:rsidRPr="004235AA">
        <w:t>–</w:t>
      </w:r>
      <w:r w:rsidRPr="004235AA">
        <w:tab/>
        <w:t>med beaktande av artikel 44 i rådets förordning (EU) 2018/1877 av den 26 november 2018 med budgetförordning för elfte Europeiska utvecklingsfonden och om upphävande av förordning (EU) 2015/323</w:t>
      </w:r>
      <w:r w:rsidRPr="004235AA">
        <w:rPr>
          <w:rStyle w:val="FootnoteReference"/>
        </w:rPr>
        <w:footnoteReference w:id="28"/>
      </w:r>
      <w:r w:rsidRPr="004235AA">
        <w:t>,</w:t>
      </w:r>
    </w:p>
    <w:p w14:paraId="67757B05" w14:textId="77777777" w:rsidR="00A81746" w:rsidRPr="004235AA" w:rsidRDefault="00A81746" w:rsidP="00A81746">
      <w:pPr>
        <w:pStyle w:val="NormalHanging12a"/>
        <w:widowControl/>
      </w:pPr>
      <w:r w:rsidRPr="004235AA">
        <w:t>–</w:t>
      </w:r>
      <w:r w:rsidRPr="004235AA">
        <w:tab/>
        <w:t>med beaktande av artikel 99, artikel 100 tredje strecksatsen och bilaga V i arbetsordningen,</w:t>
      </w:r>
    </w:p>
    <w:p w14:paraId="20FD6CFF" w14:textId="77777777" w:rsidR="00A81746" w:rsidRPr="004235AA" w:rsidRDefault="00A81746" w:rsidP="00A81746">
      <w:pPr>
        <w:pStyle w:val="NormalHanging12a"/>
        <w:widowControl/>
      </w:pPr>
      <w:r w:rsidRPr="004235AA">
        <w:t>–</w:t>
      </w:r>
      <w:r w:rsidRPr="004235AA">
        <w:tab/>
        <w:t>med beaktande av yttrandet från utskottet för utveckling,</w:t>
      </w:r>
    </w:p>
    <w:p w14:paraId="354B47FB" w14:textId="77777777" w:rsidR="00A81746" w:rsidRPr="004235AA" w:rsidRDefault="00A81746" w:rsidP="00A81746">
      <w:pPr>
        <w:pStyle w:val="NormalHanging12a"/>
        <w:widowControl/>
      </w:pPr>
      <w:r w:rsidRPr="004235AA">
        <w:lastRenderedPageBreak/>
        <w:t>–</w:t>
      </w:r>
      <w:r w:rsidRPr="004235AA">
        <w:tab/>
        <w:t>med beaktande av betänkandet från budgetkontrollutskottet (A9-0110/2024).</w:t>
      </w:r>
    </w:p>
    <w:p w14:paraId="24153DC1" w14:textId="77777777" w:rsidR="00A81746" w:rsidRPr="004235AA" w:rsidRDefault="00A81746" w:rsidP="00A81746">
      <w:pPr>
        <w:pStyle w:val="NormalHanging12a"/>
        <w:widowControl/>
      </w:pPr>
      <w:r w:rsidRPr="004235AA">
        <w:t>1.</w:t>
      </w:r>
      <w:r w:rsidRPr="004235AA">
        <w:tab/>
        <w:t>Europaparlamentet godkänner avslutandet av räkenskaperna för nionde, tionde och elfte Europeiska utvecklingsfonden för budgetåret 2022.</w:t>
      </w:r>
    </w:p>
    <w:p w14:paraId="5DEED939" w14:textId="77777777" w:rsidR="00A81746" w:rsidRPr="004235AA" w:rsidRDefault="00A81746" w:rsidP="00A81746">
      <w:pPr>
        <w:pStyle w:val="NormalHanging12a"/>
        <w:widowControl/>
      </w:pPr>
      <w:r w:rsidRPr="004235AA">
        <w:t>2.</w:t>
      </w:r>
      <w:r w:rsidRPr="004235AA">
        <w:tab/>
        <w:t xml:space="preserve">Europaparlamentet uppdrar åt talmannen att översända detta beslut till rådet, kommissionen, revisionsrätten och Europeiska investeringsbanken, samt att se till att det offentliggörs i </w:t>
      </w:r>
      <w:r w:rsidRPr="004235AA">
        <w:rPr>
          <w:i/>
        </w:rPr>
        <w:t>Europeiska unionens officiella tidning</w:t>
      </w:r>
      <w:r w:rsidRPr="004235AA">
        <w:t xml:space="preserve"> (L-serien).</w:t>
      </w:r>
    </w:p>
    <w:p w14:paraId="2F103DD1" w14:textId="77777777" w:rsidR="00A81746" w:rsidRPr="004235AA" w:rsidRDefault="00A81746" w:rsidP="00A81746">
      <w:pPr>
        <w:widowControl/>
      </w:pPr>
    </w:p>
    <w:p w14:paraId="1D205A29" w14:textId="77777777" w:rsidR="00A81746" w:rsidRPr="004235AA" w:rsidRDefault="00A81746" w:rsidP="00A81746">
      <w:pPr>
        <w:pStyle w:val="PageHeading"/>
        <w:widowControl/>
        <w:sectPr w:rsidR="00A81746" w:rsidRPr="004235AA" w:rsidSect="0064696D">
          <w:footnotePr>
            <w:numRestart w:val="eachPage"/>
          </w:footnotePr>
          <w:endnotePr>
            <w:numFmt w:val="decimal"/>
          </w:endnotePr>
          <w:pgSz w:w="11906" w:h="16838" w:code="9"/>
          <w:pgMar w:top="1134" w:right="1418" w:bottom="1418" w:left="1418" w:header="567" w:footer="567" w:gutter="0"/>
          <w:cols w:space="720"/>
          <w:noEndnote/>
          <w:docGrid w:linePitch="326"/>
        </w:sectPr>
      </w:pPr>
    </w:p>
    <w:bookmarkEnd w:id="7"/>
    <w:bookmarkEnd w:id="8"/>
    <w:p w14:paraId="7D2FAB8F" w14:textId="77777777" w:rsidR="00A81746" w:rsidRPr="004235AA" w:rsidRDefault="003F6F76" w:rsidP="003F6F76">
      <w:pPr>
        <w:pStyle w:val="ATHeading3"/>
      </w:pPr>
      <w:r w:rsidRPr="004235AA">
        <w:lastRenderedPageBreak/>
        <w:t>3. Europaparlamentets resolution av den 11 april 2024</w:t>
      </w:r>
      <w:r w:rsidR="00A81746" w:rsidRPr="004235AA">
        <w:t>med de iakttagelser som utgör en del av beslutet om ansvarsfrihet för genomförandet av budgeten för nionde, tionde och elfte Europeiska utvecklingsfonden för budgetåret 2022</w:t>
      </w:r>
      <w:r w:rsidRPr="004235AA">
        <w:t xml:space="preserve"> </w:t>
      </w:r>
      <w:r w:rsidR="00A81746" w:rsidRPr="004235AA">
        <w:t>(2023/2183(DEC))</w:t>
      </w:r>
    </w:p>
    <w:p w14:paraId="28D596E5" w14:textId="77777777" w:rsidR="00A81746" w:rsidRPr="004235AA" w:rsidRDefault="00A81746" w:rsidP="00A81746">
      <w:pPr>
        <w:pStyle w:val="EPComma"/>
        <w:widowControl/>
      </w:pPr>
      <w:r w:rsidRPr="004235AA">
        <w:rPr>
          <w:i/>
        </w:rPr>
        <w:t>Europaparlamentet utfärdar denna resolution</w:t>
      </w:r>
    </w:p>
    <w:p w14:paraId="250A921B" w14:textId="77777777" w:rsidR="00A81746" w:rsidRPr="004235AA" w:rsidRDefault="00A81746" w:rsidP="00A81746">
      <w:pPr>
        <w:pStyle w:val="NormalHanging12a"/>
        <w:widowControl/>
      </w:pPr>
      <w:r w:rsidRPr="004235AA">
        <w:t>–</w:t>
      </w:r>
      <w:r w:rsidRPr="004235AA">
        <w:tab/>
        <w:t>med beaktande av sitt beslut om ansvarsfrihet för genomförandet av budgeten för nionde, tionde och elfte Europeiska utvecklingsfonden för budgetåret 2022,</w:t>
      </w:r>
    </w:p>
    <w:p w14:paraId="2193D127" w14:textId="77777777" w:rsidR="00A81746" w:rsidRPr="004235AA" w:rsidRDefault="00A81746" w:rsidP="00A81746">
      <w:pPr>
        <w:pStyle w:val="NormalHanging12a"/>
        <w:widowControl/>
      </w:pPr>
      <w:r w:rsidRPr="004235AA">
        <w:t>–</w:t>
      </w:r>
      <w:r w:rsidRPr="004235AA">
        <w:tab/>
        <w:t>med beaktande av Europeiska revisionsrättens särskilda rapport nr 35/2018, och av följande skäl:</w:t>
      </w:r>
    </w:p>
    <w:p w14:paraId="3ECB999D" w14:textId="77777777" w:rsidR="00A81746" w:rsidRPr="004235AA" w:rsidRDefault="00A81746" w:rsidP="00A81746">
      <w:pPr>
        <w:pStyle w:val="NormalHanging12a"/>
        <w:widowControl/>
      </w:pPr>
      <w:r w:rsidRPr="004235AA">
        <w:t>–</w:t>
      </w:r>
      <w:r w:rsidRPr="004235AA">
        <w:tab/>
        <w:t>med beaktande av artikel 99, artikel 100 tredje strecksatsen och bilaga V i arbetsordningen,</w:t>
      </w:r>
    </w:p>
    <w:p w14:paraId="23D0EAB6" w14:textId="77777777" w:rsidR="00A81746" w:rsidRPr="004235AA" w:rsidRDefault="00A81746" w:rsidP="00A81746">
      <w:pPr>
        <w:pStyle w:val="NormalHanging12a"/>
        <w:widowControl/>
      </w:pPr>
      <w:r w:rsidRPr="004235AA">
        <w:t>–</w:t>
      </w:r>
      <w:r w:rsidRPr="004235AA">
        <w:tab/>
        <w:t>med beaktande av yttrandet från utskottet för utveckling,</w:t>
      </w:r>
    </w:p>
    <w:p w14:paraId="20C91752" w14:textId="77777777" w:rsidR="00A81746" w:rsidRPr="004235AA" w:rsidRDefault="00A81746" w:rsidP="00A81746">
      <w:pPr>
        <w:pStyle w:val="NormalHanging12a"/>
        <w:widowControl/>
      </w:pPr>
      <w:r w:rsidRPr="004235AA">
        <w:t>–</w:t>
      </w:r>
      <w:r w:rsidRPr="004235AA">
        <w:tab/>
        <w:t>med beaktande av betänkandet från budgetkontrollutskottet (A9-0110/2024), och av följande skäl:</w:t>
      </w:r>
    </w:p>
    <w:p w14:paraId="5D90580A" w14:textId="77777777" w:rsidR="00A81746" w:rsidRPr="004235AA" w:rsidRDefault="00A81746" w:rsidP="00A81746">
      <w:pPr>
        <w:pStyle w:val="NormalHanging12a"/>
        <w:widowControl/>
      </w:pPr>
      <w:r w:rsidRPr="004235AA">
        <w:t>A.</w:t>
      </w:r>
      <w:r w:rsidRPr="004235AA">
        <w:tab/>
        <w:t>Unionens utvecklingssamarbete, enligt definitionen i artiklarna 208–211 i fördraget om Europeiska unionens funktionssätt, verkar i ett globalt sammanhang som definieras i</w:t>
      </w:r>
      <w:r w:rsidRPr="004235AA">
        <w:rPr>
          <w:sz w:val="22"/>
        </w:rPr>
        <w:t> </w:t>
      </w:r>
      <w:r w:rsidRPr="004235AA">
        <w:t>FN:s Agenda 2030 för hållbar utveckling (Agenda 2030) och dess mål för hållbar utveckling.</w:t>
      </w:r>
    </w:p>
    <w:p w14:paraId="058E5AC4" w14:textId="77777777" w:rsidR="00A81746" w:rsidRPr="004235AA" w:rsidRDefault="00A81746" w:rsidP="00A81746">
      <w:pPr>
        <w:pStyle w:val="NormalHanging12a"/>
        <w:widowControl/>
      </w:pPr>
      <w:r w:rsidRPr="004235AA">
        <w:t>B.</w:t>
      </w:r>
      <w:r w:rsidRPr="004235AA">
        <w:tab/>
        <w:t>Unionen har samarbetsförbindelser med ett stort antal utvecklingsländer. Det huvudsakliga syftet är att främja ekonomisk och social utveckling samt miljöutveckling med särskild inriktning på att långsiktigt minska och utrota fattigdom genom att förse de stödmottagande länderna med utvecklingsstöd och tekniskt bistånd.</w:t>
      </w:r>
    </w:p>
    <w:p w14:paraId="413CD098" w14:textId="77777777" w:rsidR="00A81746" w:rsidRPr="004235AA" w:rsidRDefault="00A81746" w:rsidP="00A81746">
      <w:pPr>
        <w:pStyle w:val="NormalHanging12a"/>
        <w:widowControl/>
      </w:pPr>
      <w:r w:rsidRPr="004235AA">
        <w:t>C.</w:t>
      </w:r>
      <w:r w:rsidRPr="004235AA">
        <w:tab/>
        <w:t>Från 1959 och fram till 2020 har Europeiska utvecklingsfonden (EUF) gett bistånd för utvecklingssamarbete till länder i Afrika, Karibien och Stillahavsområdet (AKS</w:t>
      </w:r>
      <w:r w:rsidRPr="004235AA">
        <w:noBreakHyphen/>
        <w:t>länderna) och utomeuropeiska länder och territorier (ULT). Ramen för unionens förbindelser med AVS-länderna och ULT är ett partnerskapsavtal som undertecknades i Cotonou (Cotonouavtalet) den 23 juni 2000 för en period på 20 år, som senare förlängdes tillfälligt. Samoa-avtalet undertecknades den 15 november 2023.</w:t>
      </w:r>
    </w:p>
    <w:p w14:paraId="551B2452" w14:textId="77777777" w:rsidR="00A81746" w:rsidRPr="004235AA" w:rsidRDefault="00A81746" w:rsidP="00A81746">
      <w:pPr>
        <w:pStyle w:val="NormalHanging12a"/>
        <w:widowControl/>
      </w:pPr>
      <w:r w:rsidRPr="004235AA">
        <w:t>D.</w:t>
      </w:r>
      <w:r w:rsidRPr="004235AA">
        <w:tab/>
        <w:t>Elfte EUF har nått sitt slutskede eftersom dess tidsfristklausul trädde i kraft den 31 december 2020. Särskilda kontrakt för befintliga finansieringsöverenskommelser kommer dock fortfarande att undertecknas till och med den 31 december 2023, och genomförandet av pågående projekt som finansieras av EUF kommer att fortsätta tills de slutgiltigt har slutförts.</w:t>
      </w:r>
    </w:p>
    <w:p w14:paraId="0D4D341C" w14:textId="77777777" w:rsidR="00A81746" w:rsidRPr="004235AA" w:rsidRDefault="00A81746" w:rsidP="00A81746">
      <w:pPr>
        <w:pStyle w:val="NormalHanging12a"/>
        <w:widowControl/>
      </w:pPr>
      <w:r w:rsidRPr="004235AA">
        <w:t>E.</w:t>
      </w:r>
      <w:r w:rsidRPr="004235AA">
        <w:tab/>
        <w:t>Vad beträffar den fleråriga budgetramen 2021–2027 är bistånd för utvecklingssamarbete till AKS-länderna införlivat i instrumentet för grannskapet, utvecklingssamarbete och internationellt samarbete – Europa i världen (</w:t>
      </w:r>
      <w:r w:rsidRPr="004235AA">
        <w:rPr>
          <w:i/>
          <w:iCs/>
        </w:rPr>
        <w:t>instrumentet Europa i världen</w:t>
      </w:r>
      <w:r w:rsidRPr="004235AA">
        <w:t>) och bistånd för utvecklingssamarbete till ULT är införlivat i ULT-beslutet, som även inbegriper Grönland.</w:t>
      </w:r>
    </w:p>
    <w:p w14:paraId="65D4D33D" w14:textId="77777777" w:rsidR="00A81746" w:rsidRPr="004235AA" w:rsidRDefault="00A81746" w:rsidP="00A81746">
      <w:pPr>
        <w:pStyle w:val="NormalHanging12a"/>
        <w:widowControl/>
      </w:pPr>
      <w:r w:rsidRPr="004235AA">
        <w:t>F.</w:t>
      </w:r>
      <w:r w:rsidRPr="004235AA">
        <w:tab/>
        <w:t>Nionde, tionde och elfte EUF har inte införlivats i unionens allmänna budget utan fortsätter att genomföras separat och vara föremål för separat rapportering tills de avslutas.</w:t>
      </w:r>
    </w:p>
    <w:p w14:paraId="30B8A66D" w14:textId="42D86832" w:rsidR="00A81746" w:rsidRPr="004235AA" w:rsidRDefault="00A81746" w:rsidP="00A81746">
      <w:pPr>
        <w:pStyle w:val="NormalHanging12a"/>
        <w:widowControl/>
      </w:pPr>
      <w:r w:rsidRPr="004235AA">
        <w:lastRenderedPageBreak/>
        <w:t>G.</w:t>
      </w:r>
      <w:r w:rsidRPr="004235AA">
        <w:tab/>
        <w:t xml:space="preserve">EUF förvaltas nästan helt och hållet av kommissionens generaldirektorat för internationella partnerskap (GD INTPA). En liten andel (5 %) av </w:t>
      </w:r>
      <w:proofErr w:type="spellStart"/>
      <w:r w:rsidRPr="004235AA">
        <w:t>EUF:s</w:t>
      </w:r>
      <w:proofErr w:type="spellEnd"/>
      <w:r w:rsidRPr="004235AA">
        <w:t xml:space="preserve"> utgifter för 2022 förvaltas av generaldirektoratet för humanitärt bistånd och civilskydd (GD ECHO).</w:t>
      </w:r>
    </w:p>
    <w:p w14:paraId="36D56037" w14:textId="77777777" w:rsidR="00A81746" w:rsidRPr="004235AA" w:rsidRDefault="00A81746" w:rsidP="00A81746">
      <w:pPr>
        <w:pStyle w:val="NormalHanging12a"/>
        <w:widowControl/>
      </w:pPr>
      <w:r w:rsidRPr="004235AA">
        <w:t>H.</w:t>
      </w:r>
      <w:r w:rsidRPr="004235AA">
        <w:tab/>
        <w:t>Utvecklingssamarbetet utvecklas från en mer traditionell givar- och mottagarmodell till en starkare betoning på ömsesidiga intressen, som inte bara omfattar sociala sektorer utan även hållbara investeringar, handel och utveckling av ekonomiska sektorer med högt mervärde, och på internationella partnerskap för att ta itu med globala utmaningar. Enligt EUF-fördraget ska det främsta målet för unionens politik på området för utvecklingssamarbete vara minskning och på sikt utrotning av fattigdom.</w:t>
      </w:r>
    </w:p>
    <w:p w14:paraId="32D8F5CC" w14:textId="77777777" w:rsidR="00A81746" w:rsidRPr="004235AA" w:rsidRDefault="00A81746" w:rsidP="00A81746">
      <w:pPr>
        <w:pStyle w:val="NormalHanging12a"/>
        <w:widowControl/>
      </w:pPr>
      <w:r w:rsidRPr="004235AA">
        <w:t>I.</w:t>
      </w:r>
      <w:r w:rsidRPr="004235AA">
        <w:tab/>
        <w:t>Genom en Team Europa-strategi samarbetar unionen med medlemsstaterna på fältet, med lokala stödmottagare och med andra givare för att åstadkomma påtagliga effekter och förändringar i partnerländerna.</w:t>
      </w:r>
    </w:p>
    <w:p w14:paraId="485A6874" w14:textId="77777777" w:rsidR="00A81746" w:rsidRPr="004235AA" w:rsidRDefault="00A81746" w:rsidP="00A81746">
      <w:pPr>
        <w:pStyle w:val="NormalHanging12a"/>
        <w:keepNext/>
        <w:keepLines/>
        <w:widowControl/>
        <w:ind w:left="0" w:firstLine="0"/>
        <w:rPr>
          <w:b/>
          <w:i/>
        </w:rPr>
      </w:pPr>
      <w:r w:rsidRPr="004235AA">
        <w:rPr>
          <w:b/>
          <w:i/>
        </w:rPr>
        <w:t>Budgetgenomförande</w:t>
      </w:r>
    </w:p>
    <w:p w14:paraId="4F65FFB5" w14:textId="18836DC9" w:rsidR="00A81746" w:rsidRPr="004235AA" w:rsidRDefault="00A81746" w:rsidP="00A81746">
      <w:pPr>
        <w:pStyle w:val="NormalHanging12a"/>
        <w:widowControl/>
      </w:pPr>
      <w:r w:rsidRPr="004235AA">
        <w:t>1.</w:t>
      </w:r>
      <w:r w:rsidRPr="004235AA">
        <w:tab/>
        <w:t xml:space="preserve">Europaparlamentet noterar att under 2022 påverkades det ekonomiska genomförandet för tionde och elfte EUF (enskilda åtaganden: 853 miljoner EUR och betalningar 2 386 miljoner EUR) av rådets beslut </w:t>
      </w:r>
      <w:r w:rsidR="00256236">
        <w:t>(</w:t>
      </w:r>
      <w:r w:rsidRPr="004235AA">
        <w:t>EU</w:t>
      </w:r>
      <w:r w:rsidR="00256236">
        <w:t>)</w:t>
      </w:r>
      <w:r w:rsidRPr="004235AA">
        <w:t xml:space="preserve"> 2022/1223 om att återanvända 600 miljoner EUR i medel som frigjorts från tionde och elfte EUF.</w:t>
      </w:r>
    </w:p>
    <w:p w14:paraId="170FAD3B" w14:textId="77777777" w:rsidR="00A81746" w:rsidRPr="004235AA" w:rsidRDefault="00A81746" w:rsidP="00A81746">
      <w:pPr>
        <w:pStyle w:val="NormalHanging12a"/>
        <w:widowControl/>
      </w:pPr>
      <w:r w:rsidRPr="004235AA">
        <w:t>2.</w:t>
      </w:r>
      <w:r w:rsidRPr="004235AA">
        <w:tab/>
        <w:t>Europaparlamentet noterar rådets beslut att anslå 600 miljoner EUR från tillbakadragna projekt inom ramen för tionde och elfte EUF för att finansiera åtgärder för att hantera livsmedelsförsörjningskrisen och den ekonomiska chocken i länderna i Afrika, Karibien och Stillahavsområdet (AKS-länderna) till följd av Rysslands anfallskrig mot Ukraina. Parlamentet anser att dessa medel, med tanke på den exceptionellt svåra livsmedelsförsörjningen i AKS-länderna, måste kompletteras med lämpliga åtgärder för att stärka lokalsamhällenas livsmedelssuveränitet.</w:t>
      </w:r>
    </w:p>
    <w:p w14:paraId="4F75682E" w14:textId="77777777" w:rsidR="00A81746" w:rsidRPr="004235AA" w:rsidRDefault="00A81746" w:rsidP="00A81746">
      <w:pPr>
        <w:pStyle w:val="NormalHanging12a"/>
        <w:widowControl/>
      </w:pPr>
      <w:r w:rsidRPr="004235AA">
        <w:t>3.</w:t>
      </w:r>
      <w:r w:rsidRPr="004235AA">
        <w:tab/>
        <w:t>Europaparlamentet noterar att genomförandet av EUF under 2022 bidrog till förbättringar av vatten och sanitet, tillgång till el, tillgång till rättshjälp, livsmedelstrygghet och nutrition, miljöskydd, strategier för begränsning av klimatförändringar och naturliga ekosystem, hälsa, utbildning och entreprenörskap/anställbarhet.</w:t>
      </w:r>
    </w:p>
    <w:p w14:paraId="662A8BF1" w14:textId="70EC5B8B" w:rsidR="00A81746" w:rsidRPr="004235AA" w:rsidRDefault="00A81746" w:rsidP="00A81746">
      <w:pPr>
        <w:pStyle w:val="NormalHanging12a"/>
        <w:widowControl/>
      </w:pPr>
      <w:r w:rsidRPr="004235AA">
        <w:t>4.</w:t>
      </w:r>
      <w:r w:rsidRPr="004235AA">
        <w:tab/>
        <w:t>Europaparlamentet konstaterar att EUF står för 33,2 % av portföljen för GD INTPA när det gäller betalningar under 2022, som uppgick till 2 452 miljoner EUR (dvs. 98,08 % av det årliga målet). Parlamentet noterar att EIB:s betalningar uppgick till 461 miljoner EUR. Parlamentet konstaterar att eftersom tidsfristklausulen för elfte EUF löpte ut den 31 december 2020 gjordes inga nya åtaganden under 2022, med undantag för åtaganden för de medel som härrör från återanvändningen av reserven för tionde och elfte EUF enligt rådets beslut</w:t>
      </w:r>
      <w:r w:rsidR="00256236">
        <w:t xml:space="preserve"> (EU)</w:t>
      </w:r>
      <w:r w:rsidRPr="004235AA">
        <w:t xml:space="preserve"> 2022/1223 om särskilda åtgärder för unionens svar på livsmedelsförsörjningskrisen och den ekonomiska chocken i länderna i Afrika, Karibien och Stillahavsområdet (AKS-länderna). Parlamentet noterar att EIB:s betalningar avseende AKS-investeringsanslaget uppgick till 400 miljoner EUR.</w:t>
      </w:r>
    </w:p>
    <w:p w14:paraId="09479796" w14:textId="77777777" w:rsidR="00A81746" w:rsidRPr="004235AA" w:rsidRDefault="00A81746" w:rsidP="00A81746">
      <w:pPr>
        <w:pStyle w:val="NormalHanging12a"/>
        <w:widowControl/>
      </w:pPr>
      <w:r w:rsidRPr="004235AA">
        <w:t>5.</w:t>
      </w:r>
      <w:r w:rsidRPr="004235AA">
        <w:tab/>
        <w:t xml:space="preserve">Europaparlamentet betonar vikten av Team </w:t>
      </w:r>
      <w:proofErr w:type="spellStart"/>
      <w:r w:rsidRPr="004235AA">
        <w:t>Europe</w:t>
      </w:r>
      <w:proofErr w:type="spellEnd"/>
      <w:r w:rsidRPr="004235AA">
        <w:t xml:space="preserve">-strategin för effektiviteten och synligheten för unionens bistånd, och välkomnar kommissionens initiativ att fördjupa samordningen med medlemsstaterna och dra största möjliga nytta av deras befintliga expertis i partnerländerna för att säkerställa ett starkare Europa i världen. Parlamentet </w:t>
      </w:r>
      <w:r w:rsidRPr="004235AA">
        <w:lastRenderedPageBreak/>
        <w:t xml:space="preserve">noterar de regionala Team </w:t>
      </w:r>
      <w:proofErr w:type="spellStart"/>
      <w:r w:rsidRPr="004235AA">
        <w:t>Europe</w:t>
      </w:r>
      <w:proofErr w:type="spellEnd"/>
      <w:r w:rsidRPr="004235AA">
        <w:t>-initiativen för den västra Medelhavsrutten, vars ledningsgrupp består av företrädare för både GD NEAR och GD INTPA, i syfte att säkerställa samstämmighet i åtgärderna och optimal användning av ekonomiska resurser.</w:t>
      </w:r>
    </w:p>
    <w:p w14:paraId="1A8F12B6" w14:textId="77777777" w:rsidR="00A81746" w:rsidRPr="004235AA" w:rsidRDefault="00A81746" w:rsidP="00A81746">
      <w:pPr>
        <w:pStyle w:val="NormalHanging12a"/>
        <w:widowControl/>
      </w:pPr>
      <w:r w:rsidRPr="004235AA">
        <w:t>6.</w:t>
      </w:r>
      <w:r w:rsidRPr="004235AA">
        <w:tab/>
        <w:t>Europaparlamentet påpekar att 60 % av kontrakten har avslutats inom ramen för elfte EUF och att kommissionen bör slutföra avslutandet av nionde EUF 2024. Parlamentet noterar framstegen med avslutandet av tionde EUF, där 95,2 % av kontrakten har avslutats.</w:t>
      </w:r>
    </w:p>
    <w:p w14:paraId="7DCD92F3" w14:textId="77777777" w:rsidR="00A81746" w:rsidRPr="004235AA" w:rsidRDefault="00A81746" w:rsidP="00A81746">
      <w:pPr>
        <w:pStyle w:val="NormalHanging12a"/>
        <w:widowControl/>
      </w:pPr>
      <w:r w:rsidRPr="004235AA">
        <w:t>7.</w:t>
      </w:r>
      <w:r w:rsidRPr="004235AA">
        <w:tab/>
        <w:t xml:space="preserve">Europaparlamentet noterar GD </w:t>
      </w:r>
      <w:proofErr w:type="spellStart"/>
      <w:r w:rsidRPr="004235AA">
        <w:t>INTPA:s</w:t>
      </w:r>
      <w:proofErr w:type="spellEnd"/>
      <w:r w:rsidRPr="004235AA">
        <w:t xml:space="preserve"> insatser för att minska gammal förfinansiering med ett mål på 40 % och gamla utestående åtaganden med ett mål på 35 %. Parlamentet noterar att GD INTPA överskred målet genom att minska </w:t>
      </w:r>
      <w:proofErr w:type="spellStart"/>
      <w:r w:rsidRPr="004235AA">
        <w:t>EUF:s</w:t>
      </w:r>
      <w:proofErr w:type="spellEnd"/>
      <w:r w:rsidRPr="004235AA">
        <w:t xml:space="preserve"> gamla förfinansiering med 54,31 % och med 52,51 % för både </w:t>
      </w:r>
      <w:proofErr w:type="spellStart"/>
      <w:r w:rsidRPr="004235AA">
        <w:t>EUF:s</w:t>
      </w:r>
      <w:proofErr w:type="spellEnd"/>
      <w:r w:rsidRPr="004235AA">
        <w:t xml:space="preserve"> gamla utestående åtaganden och inom hela dess ansvarsområde. Parlamentet noterar att när det gäller outnyttjade åtaganden uppnåddes målet på 35 % för EUF med 36,83 %.</w:t>
      </w:r>
    </w:p>
    <w:p w14:paraId="528B7561" w14:textId="0322234E" w:rsidR="00A81746" w:rsidRPr="004235AA" w:rsidRDefault="00A81746" w:rsidP="00A81746">
      <w:pPr>
        <w:pStyle w:val="NormalHanging12a"/>
        <w:widowControl/>
      </w:pPr>
      <w:r w:rsidRPr="004235AA">
        <w:t>8.</w:t>
      </w:r>
      <w:r w:rsidRPr="004235AA">
        <w:tab/>
        <w:t xml:space="preserve">Europaparlamentet noterar dock att enligt revisionsrättens rapport tar GD </w:t>
      </w:r>
      <w:proofErr w:type="spellStart"/>
      <w:r w:rsidRPr="004235AA">
        <w:t>INTPA:s</w:t>
      </w:r>
      <w:proofErr w:type="spellEnd"/>
      <w:r w:rsidRPr="004235AA">
        <w:t xml:space="preserve"> kritiska prestationsindikator för att minska gammal förfinansiering inte hänsyn till det antal år som varje förfinansieringstransaktion har varit oavslutad, och att revisionsrätten därför anser att uppnåendet av denna kritiska prestationsindikator inte återspeglade de svårigheter man hade stött på när det gällde att reglera äldre förfinansieringstransaktioner, varav vissa hade varit oavslutade i upp till 12 år. Parlamentet noterar kommissionens svar att när det gäller obetalda fakturor och förfinansieringstransaktioner som har varit oavslutade i upp till 12 år är majoriteten av dessa gamla förfinansieringar kopplade till rättstvister. Parlamentet uppmanar kommissionen att fortsätta att rapportera till parlamentet om dessa rättstvister, vilket redan gjorts efter parlamentets rekommendation nr 2015/PAR/0463. Parlamentet noterar vidare att kommissionen, för att minska den gamla förfinansieringen och ta itu med obetalda fakturor, redan har infört årliga kontroller som visade att 93 % av </w:t>
      </w:r>
      <w:proofErr w:type="spellStart"/>
      <w:r w:rsidRPr="004235AA">
        <w:t>EUF:s</w:t>
      </w:r>
      <w:proofErr w:type="spellEnd"/>
      <w:r w:rsidRPr="004235AA">
        <w:t xml:space="preserve"> betalningar gjordes i god tid under 2022, att den använder en resultattavla för portföljförvaltning (uppdaterad i oktober 2023) som gör det möjligt för personalen att övervaka förfinansieringens åldrande och följa upp mycket försenade fakturor, och att den vidtar ytterligare åtgärder, inbegripet särskilda kampanjer, seminarier och riktlinjer.</w:t>
      </w:r>
    </w:p>
    <w:p w14:paraId="4B22E2E1" w14:textId="77777777" w:rsidR="00A81746" w:rsidRPr="004235AA" w:rsidRDefault="00A81746" w:rsidP="00A81746">
      <w:pPr>
        <w:widowControl/>
        <w:spacing w:after="120"/>
        <w:ind w:left="567" w:hanging="567"/>
        <w:rPr>
          <w:rFonts w:eastAsia="Calibri"/>
          <w:szCs w:val="24"/>
        </w:rPr>
      </w:pPr>
      <w:r w:rsidRPr="004235AA">
        <w:t>9.</w:t>
      </w:r>
      <w:r w:rsidRPr="004235AA">
        <w:tab/>
        <w:t>Europaparlamentet noterar att GD INTPA uppnådde sitt mål att inte ha mer än 13 % gamla EUF-kontrakt som löpt ut. Parlamentet noterar att GD INTPA uppnådde målet på 10,56 % för EUF och 8,39 % för unionens allmänna budget.</w:t>
      </w:r>
    </w:p>
    <w:p w14:paraId="1466A702" w14:textId="77777777" w:rsidR="00A81746" w:rsidRPr="004235AA" w:rsidRDefault="00A81746" w:rsidP="00A81746">
      <w:pPr>
        <w:widowControl/>
        <w:spacing w:after="240"/>
        <w:ind w:left="567" w:hanging="567"/>
        <w:rPr>
          <w:rFonts w:eastAsia="Calibri"/>
          <w:szCs w:val="24"/>
        </w:rPr>
      </w:pPr>
      <w:r w:rsidRPr="004235AA">
        <w:t>10.</w:t>
      </w:r>
      <w:r w:rsidRPr="004235AA">
        <w:tab/>
        <w:t xml:space="preserve">Europaparlamentet påpekar att </w:t>
      </w:r>
      <w:proofErr w:type="spellStart"/>
      <w:r w:rsidRPr="004235AA">
        <w:t>EUF:s</w:t>
      </w:r>
      <w:proofErr w:type="spellEnd"/>
      <w:r w:rsidRPr="004235AA">
        <w:t xml:space="preserve"> utestående åtaganden uppgick till 12,6 % eller 8 250 miljoner EUR 2022.</w:t>
      </w:r>
    </w:p>
    <w:p w14:paraId="4121C654" w14:textId="77777777" w:rsidR="00A81746" w:rsidRPr="004235AA" w:rsidRDefault="00A81746" w:rsidP="00A81746">
      <w:pPr>
        <w:pStyle w:val="NormalHanging12a"/>
        <w:keepNext/>
        <w:keepLines/>
        <w:widowControl/>
        <w:ind w:left="0" w:firstLine="0"/>
        <w:rPr>
          <w:b/>
          <w:i/>
        </w:rPr>
      </w:pPr>
      <w:r w:rsidRPr="004235AA">
        <w:rPr>
          <w:b/>
          <w:i/>
        </w:rPr>
        <w:t>Verksamhetens inverkan på årsredovisningen</w:t>
      </w:r>
    </w:p>
    <w:p w14:paraId="47C24CBF" w14:textId="77777777" w:rsidR="00A81746" w:rsidRPr="004235AA" w:rsidRDefault="00A81746" w:rsidP="00A81746">
      <w:pPr>
        <w:pStyle w:val="NormalHanging12a"/>
        <w:widowControl/>
      </w:pPr>
      <w:r w:rsidRPr="004235AA">
        <w:t>11.</w:t>
      </w:r>
      <w:r w:rsidRPr="004235AA">
        <w:tab/>
        <w:t>Europaparlamentet noterar att förfinansieringen minskade med 239 miljoner EUR, främst till följd av färre förskott som betalats ut på grund av det minskade antalet undertecknade kontrakt (2 118 miljoner EUR 2021 jämfört med 853 miljoner EUR 2022), och att likvida medel följaktligen ökade med 34 miljoner EUR till följd av minskningen av förfinansiering och andra betalningar.</w:t>
      </w:r>
    </w:p>
    <w:p w14:paraId="04071920" w14:textId="77777777" w:rsidR="00A81746" w:rsidRPr="004235AA" w:rsidRDefault="00A81746" w:rsidP="00A81746">
      <w:pPr>
        <w:pStyle w:val="NormalHanging12a"/>
        <w:widowControl/>
      </w:pPr>
      <w:r w:rsidRPr="004235AA">
        <w:t>12.</w:t>
      </w:r>
      <w:r w:rsidRPr="004235AA">
        <w:tab/>
        <w:t xml:space="preserve">Europaparlamentet noterar en ökning med 123 miljoner EUR av upplupna kostnader som en följd av ökningen av antalet öppna kontrakt i slutet av året för vilka inga </w:t>
      </w:r>
      <w:r w:rsidRPr="004235AA">
        <w:lastRenderedPageBreak/>
        <w:t>ersättningsanspråk hade godkänts vid årets slut, vilket innebar att utgifterna måste uppskattas.</w:t>
      </w:r>
    </w:p>
    <w:p w14:paraId="1F5B9D05" w14:textId="77777777" w:rsidR="00A81746" w:rsidRPr="004235AA" w:rsidRDefault="00A81746" w:rsidP="00A81746">
      <w:pPr>
        <w:pStyle w:val="NormalHanging12a"/>
        <w:widowControl/>
      </w:pPr>
      <w:r w:rsidRPr="004235AA">
        <w:t>13.</w:t>
      </w:r>
      <w:r w:rsidRPr="004235AA">
        <w:tab/>
        <w:t>Europaparlamentet noterar vidare den totala minskningen av driftsutgifterna med 74 miljoner EUR, främst till följd av avvecklingen av förvaltningsfonderna, vilket ledde till en minskning av de bidrag som behövdes för att täcka deras utgifter, och att utgifterna för katastrofbistånd ökade eftersom frigjorda medel från tionde och elfte EUF återanvändes för att bekämpa de negativa effekterna av kriget i Ukraina.</w:t>
      </w:r>
    </w:p>
    <w:p w14:paraId="18A38BBB" w14:textId="77777777" w:rsidR="00A81746" w:rsidRPr="004235AA" w:rsidRDefault="00A81746" w:rsidP="00A81746">
      <w:pPr>
        <w:pStyle w:val="NormalHanging12a"/>
        <w:widowControl/>
      </w:pPr>
      <w:r w:rsidRPr="004235AA">
        <w:t>14.</w:t>
      </w:r>
      <w:r w:rsidRPr="004235AA">
        <w:tab/>
        <w:t xml:space="preserve">Europaparlamentet understryker att när det gäller effekterna av Förenade kungarikets utträde ur unionen drog revisionsrätten slutsatsen att det inte finns någon ekonomisk inverkan på </w:t>
      </w:r>
      <w:proofErr w:type="spellStart"/>
      <w:r w:rsidRPr="004235AA">
        <w:t>EUF:s</w:t>
      </w:r>
      <w:proofErr w:type="spellEnd"/>
      <w:r w:rsidRPr="004235AA">
        <w:t xml:space="preserve"> årsredovisning för 2022 att rapportera och att </w:t>
      </w:r>
      <w:proofErr w:type="spellStart"/>
      <w:r w:rsidRPr="004235AA">
        <w:t>EUF:s</w:t>
      </w:r>
      <w:proofErr w:type="spellEnd"/>
      <w:r w:rsidRPr="004235AA">
        <w:t xml:space="preserve"> räkenskaper per den 31 december 2022 korrekt återspeglar läget i utträdesprocessen det datumet.</w:t>
      </w:r>
    </w:p>
    <w:p w14:paraId="55344047" w14:textId="77777777" w:rsidR="00A81746" w:rsidRPr="004235AA" w:rsidRDefault="00A81746" w:rsidP="00A81746">
      <w:pPr>
        <w:pStyle w:val="NormalHanging12a"/>
        <w:keepNext/>
        <w:keepLines/>
        <w:widowControl/>
        <w:ind w:left="0" w:firstLine="0"/>
        <w:rPr>
          <w:b/>
          <w:i/>
        </w:rPr>
      </w:pPr>
      <w:r w:rsidRPr="004235AA">
        <w:rPr>
          <w:b/>
          <w:i/>
        </w:rPr>
        <w:t>Räkenskapernas tillförlitlighet</w:t>
      </w:r>
    </w:p>
    <w:p w14:paraId="5092B83D" w14:textId="77777777" w:rsidR="00A81746" w:rsidRPr="004235AA" w:rsidRDefault="00A81746" w:rsidP="00A81746">
      <w:pPr>
        <w:pStyle w:val="NormalHanging12a"/>
        <w:widowControl/>
      </w:pPr>
      <w:r w:rsidRPr="004235AA">
        <w:t>15.</w:t>
      </w:r>
      <w:r w:rsidRPr="004235AA">
        <w:tab/>
        <w:t>Europaparlamentet noterar att budgeten för nionde EUF (2000–2007) endast var 13,8 miljarder EUR och att budgeten för tionde EUF (2008–2013) nästan fördubblades till 22,7 miljarder EUR, och att budgeten för elfte EUF uppgår till det höga beloppet 30,5 miljarder EUR, varav 29,1 miljarder EUR har anslagits till AKS-länderna och 0,4 miljarder EUR till utomeuropeiska länder/territorier, varav 1 miljard EUR till administrativa kostnader.</w:t>
      </w:r>
    </w:p>
    <w:p w14:paraId="27B2CAD6" w14:textId="77777777" w:rsidR="00A81746" w:rsidRPr="004235AA" w:rsidRDefault="00A81746" w:rsidP="00A81746">
      <w:pPr>
        <w:pStyle w:val="NormalHanging12a"/>
        <w:widowControl/>
      </w:pPr>
      <w:r w:rsidRPr="004235AA">
        <w:t>16.</w:t>
      </w:r>
      <w:r w:rsidRPr="004235AA">
        <w:tab/>
        <w:t xml:space="preserve">Europaparlamentet noterar kommissionens tillkännagivande i oktober 2021 om att avsluta åttonde EUF. Parlamentet påpekar att kommissionen i </w:t>
      </w:r>
      <w:proofErr w:type="spellStart"/>
      <w:r w:rsidRPr="004235AA">
        <w:t>EUF:s</w:t>
      </w:r>
      <w:proofErr w:type="spellEnd"/>
      <w:r w:rsidRPr="004235AA">
        <w:t xml:space="preserve"> årsredovisning för budgetåret 2022 angav att all verksamhet inom åttonde EUF hade slutförts och att alla kontrakt och finansiella beslut hade avslutats i </w:t>
      </w:r>
      <w:proofErr w:type="spellStart"/>
      <w:r w:rsidRPr="004235AA">
        <w:t>EUF:s</w:t>
      </w:r>
      <w:proofErr w:type="spellEnd"/>
      <w:r w:rsidRPr="004235AA">
        <w:t xml:space="preserve"> räkenskaper och att de återstående utestående betalningskraven hade överförts till nionde EUF. Parlamentet noterar dock att finansiell information om åttonde EUF fortfarande fanns med i räkenskaperna, och att vissa av åttonde </w:t>
      </w:r>
      <w:proofErr w:type="spellStart"/>
      <w:r w:rsidRPr="004235AA">
        <w:t>EUF:s</w:t>
      </w:r>
      <w:proofErr w:type="spellEnd"/>
      <w:r w:rsidRPr="004235AA">
        <w:t xml:space="preserve"> saldon fortfarande var oreglerade 2022. Parlamentet noterar att den operativa avslutningen av åttonde EUF ägde rum enligt planerna 2021 och att det fullständiga avslutandet av åttonde EUF ännu inte har gjorts på grund av pågående betalningskrav.</w:t>
      </w:r>
    </w:p>
    <w:p w14:paraId="111C42F2" w14:textId="77777777" w:rsidR="00A81746" w:rsidRPr="004235AA" w:rsidRDefault="00A81746" w:rsidP="00A81746">
      <w:pPr>
        <w:pStyle w:val="NormalHanging12a"/>
        <w:widowControl/>
      </w:pPr>
      <w:r w:rsidRPr="004235AA">
        <w:t>17.</w:t>
      </w:r>
      <w:r w:rsidRPr="004235AA">
        <w:tab/>
        <w:t xml:space="preserve">Europaparlamentet noterar det faktum att revisionsrätten i sin årsrapport om den verksamhet som finansieras genom nionde, tionde och elfte EUF för budgetåret 2022 drar slutsatsen att räkenskaperna för EUF för det budgetår som slutade den 31 december 2022 i alla väsentliga avseenden ger en rättvisande bild av </w:t>
      </w:r>
      <w:proofErr w:type="spellStart"/>
      <w:r w:rsidRPr="004235AA">
        <w:t>EUF:s</w:t>
      </w:r>
      <w:proofErr w:type="spellEnd"/>
      <w:r w:rsidRPr="004235AA">
        <w:t xml:space="preserve"> finansiella ställning och det finansiella resultatet, kassaflödena och förändringarna i nettotillgångarna för det budgetår som slutade detta datum, i enlighet med bestämmelserna i rådets förordning (EU) 2018/1877</w:t>
      </w:r>
      <w:r w:rsidRPr="004235AA">
        <w:rPr>
          <w:rStyle w:val="FootnoteReference"/>
        </w:rPr>
        <w:footnoteReference w:id="29"/>
      </w:r>
      <w:r w:rsidRPr="004235AA">
        <w:t xml:space="preserve"> (</w:t>
      </w:r>
      <w:proofErr w:type="spellStart"/>
      <w:r w:rsidRPr="004235AA">
        <w:t>EUF:s</w:t>
      </w:r>
      <w:proofErr w:type="spellEnd"/>
      <w:r w:rsidRPr="004235AA">
        <w:t xml:space="preserve"> budgetförordning) och redovisningsstandarderna för den offentliga sektorn.</w:t>
      </w:r>
    </w:p>
    <w:p w14:paraId="0440F12B" w14:textId="77777777" w:rsidR="00A81746" w:rsidRPr="004235AA" w:rsidRDefault="00A81746" w:rsidP="00A81746">
      <w:pPr>
        <w:pStyle w:val="NormalHanging12a"/>
        <w:keepNext/>
        <w:keepLines/>
        <w:widowControl/>
        <w:ind w:left="0" w:firstLine="0"/>
        <w:rPr>
          <w:b/>
          <w:i/>
        </w:rPr>
      </w:pPr>
      <w:r w:rsidRPr="004235AA">
        <w:rPr>
          <w:b/>
          <w:i/>
        </w:rPr>
        <w:t>Lagligheten och korrektheten i de transaktioner som ligger till grund för räkenskaperna</w:t>
      </w:r>
    </w:p>
    <w:p w14:paraId="4A70BB63" w14:textId="77777777" w:rsidR="00A81746" w:rsidRPr="004235AA" w:rsidRDefault="00A81746" w:rsidP="00A81746">
      <w:pPr>
        <w:pStyle w:val="NormalHanging12a"/>
        <w:widowControl/>
      </w:pPr>
      <w:r w:rsidRPr="004235AA">
        <w:t>18.</w:t>
      </w:r>
      <w:r w:rsidRPr="004235AA">
        <w:tab/>
        <w:t>Europaparlamentet noterar att revisionsrätten anser att de inkomster som ligger till grund för räkenskaperna för det budgetår som avslutades den 31 december 2022 i alla väsentliga avseenden är lagliga och korrekta.</w:t>
      </w:r>
    </w:p>
    <w:p w14:paraId="61D1AAB7" w14:textId="77777777" w:rsidR="00A81746" w:rsidRPr="004235AA" w:rsidRDefault="00A81746" w:rsidP="00A81746">
      <w:pPr>
        <w:pStyle w:val="NormalHanging12a"/>
        <w:widowControl/>
        <w:rPr>
          <w:szCs w:val="24"/>
        </w:rPr>
      </w:pPr>
      <w:r w:rsidRPr="004235AA">
        <w:lastRenderedPageBreak/>
        <w:t>19.</w:t>
      </w:r>
      <w:r w:rsidRPr="004235AA">
        <w:tab/>
        <w:t>Europaparlamentet noterar att genomförandet av Europeiska utvecklingsfonden (EUF) berör länder som står inför förvärrade effekter av klimatförändringarna, förlorad biologisk mångfald och livsmedelsotrygghet och som försvagas av covid-19-pandemins konsekvenser, Rysslands orättfärdiga och oprovocerade anfallskrig i Ukraina samt stigande skulder, nya och bortglömda humanitära kriser och konflikter, vilket skapar ökande ojämlikhet och fattigdom. Parlamentet insisterar därför på att de återstående projekten inom EUF inriktas på att främja genomförandet av målen för hållbar utveckling. Parlamentet upprepar att säkerhet, ömsesidigt fördelaktiga partnerskap och internationellt samarbete är grundläggande förutsättningar för att världen ska kunna göra framsteg med målen för hållbar utveckling fram till 2030 och därefter.</w:t>
      </w:r>
    </w:p>
    <w:p w14:paraId="438F21F2" w14:textId="77777777" w:rsidR="00A81746" w:rsidRPr="004235AA" w:rsidRDefault="00A81746" w:rsidP="00A81746">
      <w:pPr>
        <w:pStyle w:val="NormalHanging12a"/>
        <w:widowControl/>
      </w:pPr>
      <w:r w:rsidRPr="004235AA">
        <w:t>20.</w:t>
      </w:r>
      <w:r w:rsidRPr="004235AA">
        <w:tab/>
        <w:t>Europaparlamentet upprepar sin oro över de många tänkbara orsakerna till revisionsrättens flera på varandra följande uttalanden med avvikande mening om utgifternas laglighet och korrekthet på grund av att de utgifter som godkänts i räkenskaperna för det budgetår som slutade den 31 december 2022 innehåller väsentliga fel. Parlamentet noterar samtidigt att det sammanhang i vilket genomförandet av EUF äger rum är riskfyllt, komplext och snabbt föränderligt samt präglas av en anmärkningsvärd mångfald när det gäller geografisk spridning, genomförandeenheter och partnerländer och metoder för tillhandahållande av bistånd.</w:t>
      </w:r>
    </w:p>
    <w:p w14:paraId="6516173B" w14:textId="77777777" w:rsidR="00A81746" w:rsidRPr="004235AA" w:rsidRDefault="00A81746" w:rsidP="00A81746">
      <w:pPr>
        <w:pStyle w:val="NormalHanging12a"/>
        <w:widowControl/>
      </w:pPr>
      <w:r w:rsidRPr="004235AA">
        <w:t>21.</w:t>
      </w:r>
      <w:r w:rsidRPr="004235AA">
        <w:tab/>
        <w:t>Europaparlamentet noterar att i samband med revisionen av transaktionernas korrekthet granskade revisionsrätten ett urval bestående av 140 transaktioner som var representativt för alla typer av utgifter inom EUF. Parlamentet noterar vidare att urvalet omfattade 27 transaktioner avseende förvaltningsfonden för nödåtgärder i Afrika, 98 transaktioner som hade bemyndigats av 20 EU-delegationer</w:t>
      </w:r>
      <w:r w:rsidRPr="004235AA">
        <w:rPr>
          <w:rStyle w:val="FootnoteReference"/>
        </w:rPr>
        <w:footnoteReference w:id="30"/>
      </w:r>
      <w:r w:rsidRPr="004235AA">
        <w:t xml:space="preserve"> och 15 betalningar som hade godkänts av kommissionens huvudkontor.</w:t>
      </w:r>
    </w:p>
    <w:p w14:paraId="1B8615DE" w14:textId="77777777" w:rsidR="00A81746" w:rsidRPr="004235AA" w:rsidRDefault="00A81746" w:rsidP="00A81746">
      <w:pPr>
        <w:pStyle w:val="NormalHanging12a"/>
        <w:widowControl/>
      </w:pPr>
      <w:r w:rsidRPr="004235AA">
        <w:t>22.</w:t>
      </w:r>
      <w:r w:rsidRPr="004235AA">
        <w:tab/>
        <w:t>Europaparlamentet noterar oroat att av de 140 granskade transaktionerna innehöll 57 (40,7 %) fel, jämfört med 54 (38,8 %) under 2021 för samma antal transaktioner. Parlamentet betonar dessutom att revisionsrätten kvantifierade 48 fel (43 under 2021), på grundval av vilka den uppskattade felnivån för budgetåret 2022 till 7,1 % (4,6 % under 2021).</w:t>
      </w:r>
    </w:p>
    <w:p w14:paraId="02019A8D" w14:textId="77777777" w:rsidR="00A81746" w:rsidRPr="004235AA" w:rsidRDefault="00A81746" w:rsidP="00A81746">
      <w:pPr>
        <w:pStyle w:val="NormalHanging12a"/>
        <w:widowControl/>
      </w:pPr>
      <w:r w:rsidRPr="004235AA">
        <w:t>23.</w:t>
      </w:r>
      <w:r w:rsidRPr="004235AA">
        <w:tab/>
        <w:t>Europaparlamentet noterar med oro att feltypologin visade att den uppskattade felnivån under budgetåret 2022 avseende utgifter som inte hade uppkommit utgjorde 51 % (14,9 % 2021), icke stödberättigande utgifter utgjorde 24 % (38,6 % 2021), allvarlig underlåtenhet att följa reglerna för offentlig upphandling utgjorde 16 % (14,6 % 2021), avsaknad av väsentliga styrkande handlingar utgjorde 7 % (23,3 % 2021) och att 2 % (8,6 % 2021) gällde andra typer av fel. Parlamentet noterar kommissionens svar att de flesta av de fel som kunde ha undvikits avser alltför stora regleringar (utgifter som inte uppkommit), vilket beror på otillräcklig finansiell rapportering från genomförandepartner vid indirekt förvaltning och påverkar inte genomförandet av projekten.</w:t>
      </w:r>
    </w:p>
    <w:p w14:paraId="1292CFD8" w14:textId="77777777" w:rsidR="00A81746" w:rsidRPr="004235AA" w:rsidRDefault="00A81746" w:rsidP="00A81746">
      <w:pPr>
        <w:pStyle w:val="NormalHanging12a"/>
        <w:widowControl/>
      </w:pPr>
      <w:r w:rsidRPr="004235AA">
        <w:t>24.</w:t>
      </w:r>
      <w:r w:rsidRPr="004235AA">
        <w:tab/>
        <w:t xml:space="preserve">Europaparlamentet noterar kommissionens svar att omkring 50 % av de sammanräknade felen under 2022 beror på alltför stora regleringar, en praxis där utgifter som inte uppkommit bokförs som utgifter och därför är tillfälliga, eftersom de inte kommer att existera efter de slutliga regleringarna. Parlamentet noterar vidare de </w:t>
      </w:r>
      <w:r w:rsidRPr="004235AA">
        <w:lastRenderedPageBreak/>
        <w:t>åtgärder som kommissionen vidtagit för att göra det lättare att identifiera uppkomna utgifter och uppmanar kommissionen att informera den ansvarsfrihetsbeviljande myndigheten om effekterna av dessa åtgärder.</w:t>
      </w:r>
    </w:p>
    <w:p w14:paraId="253C42ED" w14:textId="77777777" w:rsidR="00A81746" w:rsidRPr="004235AA" w:rsidRDefault="00A81746" w:rsidP="00A81746">
      <w:pPr>
        <w:pStyle w:val="NormalHanging12a"/>
        <w:widowControl/>
      </w:pPr>
      <w:r w:rsidRPr="004235AA">
        <w:t>25.</w:t>
      </w:r>
      <w:r w:rsidRPr="004235AA">
        <w:tab/>
        <w:t xml:space="preserve">Europaparlamentet noterar att GD </w:t>
      </w:r>
      <w:proofErr w:type="spellStart"/>
      <w:r w:rsidRPr="004235AA">
        <w:t>INTPA:s</w:t>
      </w:r>
      <w:proofErr w:type="spellEnd"/>
      <w:r w:rsidRPr="004235AA">
        <w:t xml:space="preserve"> förhandskontroller under 2022 förhindrat utbetalning av ett totalt belopp på 167,94 miljoner EUR i icke stödberättigande utgifter, vilket motsvarar 2,91 % av det totala fakturerade beloppet och överstiger det riktmärke som fastställts av GD INTPA för denna indikator (2 %) och resultatet för 2021 (2,62 %). Parlamentet uppmanar kommissionen att ytterligare förbättra kontrollsystemen.</w:t>
      </w:r>
    </w:p>
    <w:p w14:paraId="13E04415" w14:textId="77777777" w:rsidR="00A81746" w:rsidRPr="004235AA" w:rsidRDefault="00A81746" w:rsidP="00A81746">
      <w:pPr>
        <w:pStyle w:val="NormalHanging12a"/>
        <w:widowControl/>
      </w:pPr>
      <w:r w:rsidRPr="004235AA">
        <w:t>26.</w:t>
      </w:r>
      <w:r w:rsidRPr="004235AA">
        <w:rPr>
          <w:b/>
          <w:i/>
          <w:color w:val="FF0000"/>
        </w:rPr>
        <w:tab/>
      </w:r>
      <w:r w:rsidRPr="004235AA">
        <w:t>Europaparlamentet är bekymrat över att Benins nationella utanordnare för EUF tilldelade ett kontrakt till ett konsultföretag för att stärka det civila samhällets engagemang i landet, vilket innebar ett allvarligt åsidosättande av reglerna för offentlig upphandling. Parlamentet noterar med oro att utvärderingskommittén enligt kommissionen använde sitt utrymme för skönsmässig bedömning för att tillämpa en beräkningsmetod som inte var tillräckligt dokumenterad i förfarandet. Parlamentet noterar de åtgärder som kommissionen vidtagit för att ta itu med de brister som identifierats i denna delegation och för att undvika liknande problem i andra delegationer. Parlamentet noterar att felnivån vid EU-delegationen i Benin stod för omkring 30 % av det totala felet och att det totala felet skulle ha varit omkring 4,7 % i stället för 7,1 % om felnivån vid denna delegation inte räknats med. Parlamentet påminner om att transparens och ansvarsskyldighet är avgörande för icke-statliga organisationer, som uppmanas att agera i full överensstämmelse med unionens finansiella regler och värden, särskilt när det gäller förvaltningen av unionens medel, och betonar att icke-statliga organisationer bör stödjas i sina kontroll- och övervakningssystem, särskilt de som är verksamma i tredjeländer. Parlamentet påminner om att icke-statliga organisationer omfattas av samma nivå av kontroll och utredningar som alla andra mottagare av unionsmedel.</w:t>
      </w:r>
    </w:p>
    <w:p w14:paraId="1DA0A622" w14:textId="77777777" w:rsidR="00A81746" w:rsidRPr="004235AA" w:rsidRDefault="00A81746" w:rsidP="00A81746">
      <w:pPr>
        <w:pStyle w:val="NormalHanging12a"/>
        <w:widowControl/>
      </w:pPr>
      <w:r w:rsidRPr="004235AA">
        <w:t>27.</w:t>
      </w:r>
      <w:r w:rsidRPr="004235AA">
        <w:tab/>
        <w:t>Europaparlamentet noterar med oro att den uppskattade felnivån systematiskt överskrider väsentlighetströskeln (2 %). Parlamentet noterar med oro att ökningen av den uppskattade felnivån jämfört med budgetåret 2021 är 2,5 % jämfört med ökningen på 0,8 % mellan budgetåren 2020 och 2021.</w:t>
      </w:r>
    </w:p>
    <w:p w14:paraId="37122B49" w14:textId="77777777" w:rsidR="00A81746" w:rsidRPr="004235AA" w:rsidRDefault="00A81746" w:rsidP="00A81746">
      <w:pPr>
        <w:pStyle w:val="NormalHanging12a"/>
        <w:widowControl/>
      </w:pPr>
      <w:r w:rsidRPr="004235AA">
        <w:t>28.</w:t>
      </w:r>
      <w:r w:rsidRPr="004235AA">
        <w:tab/>
        <w:t>Europaparlamentet noterar att kommissionen under 2022 utfärdade 333 betalningskrav för 293 kontrakt till ett totalt belopp på 62,92 miljoner EUR.</w:t>
      </w:r>
    </w:p>
    <w:p w14:paraId="4F136D8E" w14:textId="77777777" w:rsidR="00A81746" w:rsidRPr="004235AA" w:rsidRDefault="00A81746" w:rsidP="00A81746">
      <w:pPr>
        <w:pStyle w:val="NormalHanging12a"/>
        <w:keepNext/>
        <w:keepLines/>
        <w:widowControl/>
        <w:ind w:left="0" w:firstLine="0"/>
        <w:rPr>
          <w:b/>
          <w:i/>
        </w:rPr>
      </w:pPr>
      <w:r w:rsidRPr="004235AA">
        <w:rPr>
          <w:b/>
          <w:i/>
        </w:rPr>
        <w:t>Övervaknings- och kvalitetssäkringssystemens transparens och effektivitet</w:t>
      </w:r>
    </w:p>
    <w:p w14:paraId="375EB8DA" w14:textId="77777777" w:rsidR="00A81746" w:rsidRPr="004235AA" w:rsidRDefault="00A81746" w:rsidP="00A81746">
      <w:pPr>
        <w:pStyle w:val="NormalHanging12a"/>
        <w:widowControl/>
      </w:pPr>
      <w:r w:rsidRPr="004235AA">
        <w:t>29.</w:t>
      </w:r>
      <w:r w:rsidRPr="004235AA">
        <w:tab/>
        <w:t>Europaparlamentet noterar revisionsrättens iakttagelse att kommissionen och dess genomförandepartner under 2022 begick fler fel i transaktioner som gällde programkostnadsförslag och bidrag samt överenskommelser om medverkan med mottagarländer, internationella organisationer och organ i medlemsstater än i samband med andra former av stöd (t.ex. sådana som omfattar byggentreprenad-, varu- och tjänstekontrakt). Parlamentet noterar dessutom att 46 av de 99 transaktioner av denna typ som revisionsrätten granskade innehöll kvantifierbara fel, vilka stod för 86 % av den uppskattade felnivån. Parlamentet noterar att GD INTPA för närvarande ser över sin kontrollstrategi, inbegripet rapporteringskrav, och undersöker möjliga korrigerande åtgärder. Parlamentet uppmanar kommissionen att informera den ansvarsfrihetsbeviljande myndigheten om sin reviderade kontrollstrategi.</w:t>
      </w:r>
    </w:p>
    <w:p w14:paraId="47E65BFC" w14:textId="77777777" w:rsidR="00A81746" w:rsidRPr="004235AA" w:rsidRDefault="00A81746" w:rsidP="00A81746">
      <w:pPr>
        <w:pStyle w:val="NormalHanging12a"/>
        <w:widowControl/>
      </w:pPr>
      <w:r w:rsidRPr="004235AA">
        <w:lastRenderedPageBreak/>
        <w:t>30.</w:t>
      </w:r>
      <w:r w:rsidRPr="004235AA">
        <w:tab/>
        <w:t>Europaparlamentet noterar på basis av revisionsrättens rapport att när det gällde 23 kvantifierbara fel och fem icke kvantifierbara fel hade kommissionen tillräckligt med information för att förhindra eller upptäcka och korrigera felen innan den godkände utgifterna. Parlamentet noterar dessutom att om kommissionen hade använt alla tillgängliga uppgifter på rätt sätt skulle den uppskattade felnivån enligt revisionsrättens bedömning ha varit 5,5 procentenheter lägre, jämfört med 2,4 procentenheter lägre 2021. Parlamentet noterar kommissionens svar att de flesta fel som kunde ha undvikits beror på otillräcklig finansiell rapportering från genomförandepartner vid indirekt förvaltning. Parlamentet noterar kommissionens åtagande att se över sin kontrollstrategi, inbegripet rapporteringskrav, och uppmanar kommissionen att rapportera om de korrigerande åtgärder som vidtagits.</w:t>
      </w:r>
    </w:p>
    <w:p w14:paraId="6B63B5C0" w14:textId="77777777" w:rsidR="00A81746" w:rsidRPr="004235AA" w:rsidRDefault="00A81746" w:rsidP="00A81746">
      <w:pPr>
        <w:pStyle w:val="NormalHanging12a"/>
        <w:widowControl/>
      </w:pPr>
      <w:r w:rsidRPr="004235AA">
        <w:t>31.</w:t>
      </w:r>
      <w:r w:rsidRPr="004235AA">
        <w:tab/>
        <w:t xml:space="preserve">Europaparlamentet noterar dessutom att enligt revisionsrättens rapport var 22 transaktioner, som innehöll kvantifierbara fel och som bidrog med 2,3 procentenheter till den uppskattade felnivån, föremål för revision eller utgiftskontroll. Parlamentet noterar vidare att GD </w:t>
      </w:r>
      <w:proofErr w:type="spellStart"/>
      <w:r w:rsidRPr="004235AA">
        <w:t>INTPA:s</w:t>
      </w:r>
      <w:proofErr w:type="spellEnd"/>
      <w:r w:rsidRPr="004235AA">
        <w:t xml:space="preserve"> kontrollsystem bygger på förhandskontroller och att utifrån informationen i gransknings- eller kontrollrapporterna om vilket granskningsarbete som hade utförts kunde revisionsrätten inte bedöma om felen hade kunnat upptäckas och korrigeras vid förhandskontrollerna, eftersom rapporterna inte omfattar 100 % av de rapporterade utgifterna och inte heller ger tillräckligt med information för att fastställa huruvida de punkter där revisionsrätten upptäckte fel hade varit föremål för förhandskontroller. Parlamentet noterar i detta avseende att kommissionen regelbundet uppdaterar kravspecifikationerna för utgiftskontrollerna för att göra rapporteringen mer fullständig och tydlig. Parlamentet uppmanar kommissionen att meddela den ansvarsfrihetsbeviljande myndigheten vilka framsteg som gjorts.</w:t>
      </w:r>
    </w:p>
    <w:p w14:paraId="6B407378" w14:textId="77777777" w:rsidR="00A81746" w:rsidRPr="004235AA" w:rsidRDefault="00A81746" w:rsidP="00A81746">
      <w:pPr>
        <w:pStyle w:val="NormalHanging12a"/>
        <w:widowControl/>
      </w:pPr>
      <w:r w:rsidRPr="004235AA">
        <w:t>32.</w:t>
      </w:r>
      <w:r w:rsidRPr="004235AA">
        <w:tab/>
        <w:t>Europaparlamentet understryker att revisionsrätten identifierade två utgiftsområden där det i mindre utsträckning förekommer fel i transaktionerna på grund av specifika betalningsvillkor, nämligen a) budgetstöd och b) projekt med flera givare som genomförs av internationella organisationer och som omfattas av den så kallade hypotetiska strategin. Parlamentet noterar att under 2022 granskade revisionsrätten två budgetstödtransaktioner och åtta projekt som omfattades av den hypotetiska strategin och som förvaltades av internationella organisationer.</w:t>
      </w:r>
    </w:p>
    <w:p w14:paraId="229AB204" w14:textId="77777777" w:rsidR="00A81746" w:rsidRPr="004235AA" w:rsidRDefault="00A81746" w:rsidP="00A81746">
      <w:pPr>
        <w:pStyle w:val="NormalHanging12a"/>
        <w:widowControl/>
      </w:pPr>
      <w:r w:rsidRPr="004235AA">
        <w:t>33.</w:t>
      </w:r>
      <w:r w:rsidRPr="004235AA">
        <w:tab/>
        <w:t>Europaparlamentet framhåller de lokala genomförandepartnernas roll och behovet av att säkerställa deras stöd och kapacitetsuppbyggnad. Parlamentet noterar att i och med utfasningen av EUF-projekt bör lokal sakkunskap om hantering av unionsmedel bibehållas, i syfte att använda den för projekt inom ramen för instrumentet för grannskapspolitik, utvecklingssamarbete och internationellt samarbete (NDICI) – Europa i världen, och understryker att unionsprojekt bör bli föremål för utvärdering, övervakning och rapportering så att deras effektivitet kan fastställas och oavsiktliga negativa effekter undvikas.</w:t>
      </w:r>
    </w:p>
    <w:p w14:paraId="23ABFAD4" w14:textId="77777777" w:rsidR="00A81746" w:rsidRPr="004235AA" w:rsidRDefault="00A81746" w:rsidP="00A81746">
      <w:pPr>
        <w:pStyle w:val="NormalHanging12a"/>
        <w:widowControl/>
      </w:pPr>
      <w:r w:rsidRPr="004235AA">
        <w:t>34.</w:t>
      </w:r>
      <w:r w:rsidRPr="004235AA">
        <w:tab/>
        <w:t xml:space="preserve">Europaparlamentet är bekymrat över att vissa internationella organisationer, liksom tidigare år, endast gav begränsad tillgång till handlingar (t.ex. i skrivskyddat format), vilket hindrade planeringen och utförandet av revisionsrättens revision samt kvalitetskontrollen i samband med den och ledde till förseningar. Parlamentet noterar att kontrollfrågor diskuterades med FN-enheter och Världsbanken vid flera tillfällen, bland annat i samband med möten i gemensamma tekniska referensgrupper och EU:s och FN:s </w:t>
      </w:r>
      <w:proofErr w:type="spellStart"/>
      <w:r w:rsidRPr="004235AA">
        <w:t>Fafa</w:t>
      </w:r>
      <w:proofErr w:type="spellEnd"/>
      <w:r w:rsidRPr="004235AA">
        <w:t xml:space="preserve">-arbetsgrupp, och att gemensamma tekniska grupper inrättades för att regelbundet diskutera revisions- och kontrollfrågor. Parlamentet noterar vidare att </w:t>
      </w:r>
      <w:r w:rsidRPr="004235AA">
        <w:lastRenderedPageBreak/>
        <w:t>kommissionen arbetar med de berörda internationella organisationerna och har intensifierat kommunikationen med dem om revisionsrättens tillgång till handlingar. Parlamentet uppmanar kommissionen att öka dessa insatser.</w:t>
      </w:r>
    </w:p>
    <w:p w14:paraId="17C25369" w14:textId="77777777" w:rsidR="00A81746" w:rsidRPr="004235AA" w:rsidRDefault="00A81746" w:rsidP="00A81746">
      <w:pPr>
        <w:pStyle w:val="NormalHanging12a"/>
        <w:widowControl/>
      </w:pPr>
      <w:r w:rsidRPr="004235AA">
        <w:t>35.</w:t>
      </w:r>
      <w:r w:rsidRPr="004235AA">
        <w:tab/>
        <w:t>Europaparlamentet noterar att i GD </w:t>
      </w:r>
      <w:proofErr w:type="spellStart"/>
      <w:r w:rsidRPr="004235AA">
        <w:t>INTPA:s</w:t>
      </w:r>
      <w:proofErr w:type="spellEnd"/>
      <w:r w:rsidRPr="004235AA">
        <w:t xml:space="preserve"> elfte undersökning av procentsatsen för kvarstående fel, som 2022 genomfördes av en extern entreprenör å dess vägnar, uppskattades den övergripande procentsatsen för kvarstående fel för sjunde året i rad vara under den väsentlighetsgräns på 2 % som kommissionen har fastställt: 1,15% (1,14 % för 2021).</w:t>
      </w:r>
    </w:p>
    <w:p w14:paraId="1506A60F" w14:textId="77777777" w:rsidR="00A81746" w:rsidRPr="004235AA" w:rsidRDefault="00A81746" w:rsidP="00A81746">
      <w:pPr>
        <w:pStyle w:val="NormalHanging12a"/>
        <w:widowControl/>
      </w:pPr>
      <w:r w:rsidRPr="004235AA">
        <w:t>36.</w:t>
      </w:r>
      <w:r w:rsidRPr="004235AA">
        <w:tab/>
        <w:t xml:space="preserve">Europaparlamentet betonar att revisionsrättens bedömning visar att undersökningen av procentsatsen för kvarstående fel inte utgör ett bestyrkandeuppdrag eller en revision och att den bygger på den metod och handbok för kvarstående fel som tillhandahålls av GD INTPA. Parlamentet noterar att GD INTPA klargör att undersökningen av procentsatsen för kvarstående fel är avsedd att vara en nyckelindikator för de uppskattade budgetkonsekvenserna av kvarstående fel, dvs. den mäter hur väl internkontrollsystemet fungerar och visar därmed kommissionens korrigerande kapacitet. Parlamentet betonar att revisionsrätten, liksom tidigare år, har konstaterat begränsningar i studien. Parlamentet noterar att revisionsrätten, genom att granska den beräkningsmetod som användes i 2022 års undersökning av procentsatsen för kvarstående fel, ansåg att procentsatsen för kvarstående fel var underskattad och att revisionsrättens beräkning gav en procentsats för kvarstående på 1,35 %. Parlamentet noterar vidare revisionsrättens åsikt, liksom tidigare år, att metoden för att uppskatta procentsatsen för kvarstående fel innebär att entreprenören kan förlita sig helt på resultaten av GD </w:t>
      </w:r>
      <w:proofErr w:type="spellStart"/>
      <w:r w:rsidRPr="004235AA">
        <w:t>INTPA:s</w:t>
      </w:r>
      <w:proofErr w:type="spellEnd"/>
      <w:r w:rsidRPr="004235AA">
        <w:t xml:space="preserve"> förvaltningskontroller, och att det faktum att man förlitar sig på andra revisorers arbete strider mot själva syftet med en undersökning av procentsatsen för kvarstående fel.</w:t>
      </w:r>
    </w:p>
    <w:p w14:paraId="3B1D48CB" w14:textId="77777777" w:rsidR="00A81746" w:rsidRPr="004235AA" w:rsidRDefault="00A81746" w:rsidP="00A81746">
      <w:pPr>
        <w:pStyle w:val="NormalHanging12a"/>
        <w:widowControl/>
      </w:pPr>
      <w:r w:rsidRPr="004235AA">
        <w:t>37.</w:t>
      </w:r>
      <w:r w:rsidRPr="004235AA">
        <w:tab/>
        <w:t>Europaparlamentet noterar att GD INTPA från och med 2018 avsevärt minskade reservationernas omfattning (dvs. den andel av utgifterna som omfattades av dem) i de årliga verksamhetsrapporterna och att den årliga verksamhetsrapporten för 2022 inte innehåller några reservationer. Parlamentet noterar att revisionsrätten anser att avsaknaden av reservationer i den årliga verksamhetsrapporten för 2022 inte är motiverad och att den delvis beror på begränsningarna i undersökningen av procentsatsen för kvarstående fel. Parlamentet noterar kommissionens svar att avsaknaden av reservationer motiveras av ett korrekt genomförande av metoden för att uppskatta procentsatsen för kvarstående fel och instruktioner från dess centrala tjänster.</w:t>
      </w:r>
    </w:p>
    <w:p w14:paraId="6D7E6830" w14:textId="77777777" w:rsidR="00A81746" w:rsidRPr="004235AA" w:rsidRDefault="00A81746" w:rsidP="00A81746">
      <w:pPr>
        <w:pStyle w:val="NormalHanging12a"/>
        <w:widowControl/>
      </w:pPr>
      <w:r w:rsidRPr="004235AA">
        <w:t>38.</w:t>
      </w:r>
      <w:r w:rsidRPr="004235AA">
        <w:tab/>
        <w:t>Europaparlamentet noterar att GD INTPA uppskattar att det totala riskbeloppet vid betalning var 83,3 miljoner EUR (1,4 % av kostnaderna 2022) och att det totala riskbeloppet vid avslutandet var 71,7 miljoner EUR. När det gäller riskbeloppet vid betalning uppskattar GD INTPA att 11,6 miljoner EUR (19 %) kommer att korrigeras genom dess kontroller under efterföljande år (detta belopp kallas ”korrigerande kapacitet”).</w:t>
      </w:r>
    </w:p>
    <w:p w14:paraId="256FEE7A" w14:textId="77777777" w:rsidR="00A81746" w:rsidRPr="004235AA" w:rsidRDefault="00A81746" w:rsidP="00A81746">
      <w:pPr>
        <w:pStyle w:val="NormalHanging12a"/>
        <w:widowControl/>
      </w:pPr>
      <w:r w:rsidRPr="004235AA">
        <w:t>39.</w:t>
      </w:r>
      <w:r w:rsidRPr="004235AA">
        <w:tab/>
        <w:t xml:space="preserve">Europaparlamentet noterar att GD </w:t>
      </w:r>
      <w:proofErr w:type="spellStart"/>
      <w:r w:rsidRPr="004235AA">
        <w:t>INTPA:s</w:t>
      </w:r>
      <w:proofErr w:type="spellEnd"/>
      <w:r w:rsidRPr="004235AA">
        <w:t xml:space="preserve"> handlingsplan från 2022 för att ta itu med identifierade kontrollbrister och höga risker inbegriper en förbättring av uppföljningen av revisionsrättens granskningsresultat och resultaten av uppskattningen av procentsatsen för kvarstående fel, och att nya versioner av handboken och metoden för kvarstående fel antogs i september 2022 för att ta itu med frågor som tagits upp i revisionsrättens tidigare iakttagelser. Parlamentet noterar kommissionens svar att man genom de ändrade reglerna undviker en överdriven användning av tidigare </w:t>
      </w:r>
      <w:r w:rsidRPr="004235AA">
        <w:lastRenderedPageBreak/>
        <w:t>kontrollverksamhet, eftersom ärenden som rör förhandskontroller nu måste övervakas på grundval av historiska genomsnitt. Parlamentet noterar vidare att kommissionen till fullo har genomfört revisionsrättens rekommendation i årsrapporten för 2020, det vill säga att den entreprenör som ansvarar för att uppskatta procentsatsen för kvarstående fel ska rapportera alla misstänkta bedrägerier mot unionens budget som entreprenören upptäcker under arbetes gång. Parlamentet beklagar dock att kommissionen inte godtar rekommendationen i revisionsrättens årsrapport för 2022 om att förbättra metoden för att uppskatta procentsatsen för kvarstående fel och kontrollera att den tillämpas korrekt, eftersom den inte ser något behov av att ändra den metod som användes för undersökningen av procentsatsen för kvarstående fel och för extrapoleringen av poster med högt värde.</w:t>
      </w:r>
    </w:p>
    <w:p w14:paraId="521C8DAB" w14:textId="77777777" w:rsidR="00A81746" w:rsidRPr="004235AA" w:rsidRDefault="00A81746" w:rsidP="00A81746">
      <w:pPr>
        <w:pStyle w:val="NormalHanging12a"/>
        <w:keepNext/>
        <w:keepLines/>
        <w:widowControl/>
        <w:ind w:left="0" w:firstLine="0"/>
        <w:rPr>
          <w:b/>
          <w:i/>
        </w:rPr>
      </w:pPr>
      <w:r w:rsidRPr="004235AA">
        <w:rPr>
          <w:b/>
          <w:i/>
        </w:rPr>
        <w:t>Förebyggande, upptäckt och korrigering av bedrägerier</w:t>
      </w:r>
    </w:p>
    <w:p w14:paraId="2C73C0AC" w14:textId="77777777" w:rsidR="00A81746" w:rsidRPr="004235AA" w:rsidRDefault="00A81746" w:rsidP="00A81746">
      <w:pPr>
        <w:pStyle w:val="NormalHanging12a"/>
        <w:widowControl/>
      </w:pPr>
      <w:r w:rsidRPr="004235AA">
        <w:t>40.</w:t>
      </w:r>
      <w:r w:rsidRPr="004235AA">
        <w:tab/>
        <w:t>Europaparlamentet noterar att GD INTPA sedan 2014 har utarbetat och genomfört sin egen strategi för bedrägeribekämpning på grundval av den metod som tillhandahålls av Europeiska byrån för bedrägeribekämpning (Olaf) och att strategin har uppdaterats tre gånger sedan den trädde i kraft. Parlamentet noterar att GD INTPA beslutade att skjuta upp halvtidsutvärderingen av sin bedrägeribekämpningsstrategi (ursprungligen planerad till 2022) på grund av flera pågående revisioner och uppdateringar som leddes av IAS, revisionsrätten och Olaf. Parlamentet noterar dessutom att GD INTPA genomförde 90 % av den åtföljande handlingsplanen, och att alla åtgärder har genomförts inom de angivna tidsfristerna, med undantag för att tillsammans med Olaf undersöka möjligheten att sprida anonymiserade exempel på bedrägerifall inom kommissionens interna nätverk, som genomfördes 2023.</w:t>
      </w:r>
    </w:p>
    <w:p w14:paraId="6FB3615F" w14:textId="77777777" w:rsidR="00A81746" w:rsidRPr="004235AA" w:rsidRDefault="00A81746" w:rsidP="00A81746">
      <w:pPr>
        <w:pStyle w:val="NormalHanging12a"/>
        <w:widowControl/>
      </w:pPr>
      <w:r w:rsidRPr="004235AA">
        <w:t>41.</w:t>
      </w:r>
      <w:r w:rsidRPr="004235AA">
        <w:tab/>
        <w:t xml:space="preserve">Europaparlamentet noterar att GD INTPA också bidrog till kommissionens strategi för bedrägeribekämpning och följde upp Olafs ekonomiska rekommendationer som utfärdades 2018–2022, vilket ledde till att endast 24 % av de ekonomiska rekommendationerna avslutades och att 76 % av de ekonomiska rekommendationerna följdes upp. Parlamentet välkomnar de resultat som uppnåtts under 2022, såsom ikraftträdandet av nya interna riktlinjer för hantering av bedrägerirelaterad information, förstärkt utnämningssystem för GD </w:t>
      </w:r>
      <w:proofErr w:type="spellStart"/>
      <w:r w:rsidRPr="004235AA">
        <w:t>INTPA:s</w:t>
      </w:r>
      <w:proofErr w:type="spellEnd"/>
      <w:r w:rsidRPr="004235AA">
        <w:t xml:space="preserve"> nätverk för bedrägeribekämpning, lansering av externa medvetandehöjande åtgärder gentemot GD </w:t>
      </w:r>
      <w:proofErr w:type="spellStart"/>
      <w:r w:rsidRPr="004235AA">
        <w:t>INTPA:s</w:t>
      </w:r>
      <w:proofErr w:type="spellEnd"/>
      <w:r w:rsidRPr="004235AA">
        <w:t xml:space="preserve"> genomförandepartner och stödmottagare, fortsatt uppdatering av alla interna webbsidor, handböcker och databaser samt årliga meddelanden till all personal om yrkesetiska normer, förebyggande och upptäckt av bedrägerier samt bestämmelser om utlämnande av information.</w:t>
      </w:r>
    </w:p>
    <w:p w14:paraId="4FAB6003" w14:textId="77777777" w:rsidR="00A81746" w:rsidRPr="004235AA" w:rsidRDefault="00A81746" w:rsidP="00A81746">
      <w:pPr>
        <w:pStyle w:val="NormalHanging12a"/>
        <w:widowControl/>
      </w:pPr>
      <w:r w:rsidRPr="004235AA">
        <w:t>42.</w:t>
      </w:r>
      <w:r w:rsidRPr="004235AA">
        <w:tab/>
        <w:t>Europaparlamentet noterar att GD INTPA i slutet av 2022 kände till 24 pågående utredningar och informerades av Olaf om att sex utredningar hade avslutats med ekonomiska och/eller administrativa rekommendationer, sju utan rekommendation, och att två ärenden hade överförts till Europeiska åklagarmyndigheten. Parlamentet noterar att GD INTPA systematiskt överförde alla fall av misstänkta bedrägerier eller oriktigheter till Olaf och noga följde alla ekonomiska rekommendationer som Olaf meddelat.</w:t>
      </w:r>
    </w:p>
    <w:p w14:paraId="7C8F3F82" w14:textId="77777777" w:rsidR="00A81746" w:rsidRPr="004235AA" w:rsidRDefault="00A81746" w:rsidP="00A81746">
      <w:pPr>
        <w:pStyle w:val="NormalHanging12a"/>
        <w:widowControl/>
        <w:rPr>
          <w:sz w:val="23"/>
          <w:szCs w:val="23"/>
        </w:rPr>
      </w:pPr>
      <w:r w:rsidRPr="004235AA">
        <w:t>43.</w:t>
      </w:r>
      <w:r w:rsidRPr="004235AA">
        <w:tab/>
        <w:t xml:space="preserve">Europaparlamentet noterar att det första prioriterade målet för GD </w:t>
      </w:r>
      <w:proofErr w:type="spellStart"/>
      <w:r w:rsidRPr="004235AA">
        <w:t>INTPA:s</w:t>
      </w:r>
      <w:proofErr w:type="spellEnd"/>
      <w:r w:rsidRPr="004235AA">
        <w:t xml:space="preserve"> strategi för bedrägeribekämpning 2021–2024 är att öka den interna och externa medvetenheten om bedrägerirelaterade frågor, bland annat genom utbildningsmöjligheter.</w:t>
      </w:r>
      <w:r w:rsidRPr="004235AA">
        <w:rPr>
          <w:sz w:val="23"/>
        </w:rPr>
        <w:t xml:space="preserve"> Parlamentet beklagar dock att revisionsrätten i samband med sina besök hos fyra delegationer fann att </w:t>
      </w:r>
      <w:r w:rsidRPr="004235AA">
        <w:rPr>
          <w:sz w:val="23"/>
        </w:rPr>
        <w:lastRenderedPageBreak/>
        <w:t>det saknades utbildning om förebyggande av bedrägerier (personalen hade inte fått utbildning om förebyggande av bedrägerier under de senaste fem åren).</w:t>
      </w:r>
    </w:p>
    <w:p w14:paraId="1E845810" w14:textId="77777777" w:rsidR="00A81746" w:rsidRPr="004235AA" w:rsidRDefault="00A81746" w:rsidP="00A81746">
      <w:pPr>
        <w:pStyle w:val="NormalHanging12a"/>
        <w:widowControl/>
      </w:pPr>
      <w:r w:rsidRPr="004235AA">
        <w:rPr>
          <w:sz w:val="23"/>
        </w:rPr>
        <w:t>44.</w:t>
      </w:r>
      <w:r w:rsidRPr="004235AA">
        <w:rPr>
          <w:sz w:val="23"/>
        </w:rPr>
        <w:tab/>
        <w:t>Europaparlamentet välkomnar att GD INTPA har optimerat användningen av systemet för tidig upptäckt och uteslutning som ett verktyg för sanktioner mot bedrägerier och förbättrat bedrägeribekämpningsåtgärderna i samband med budgetstöd.</w:t>
      </w:r>
    </w:p>
    <w:p w14:paraId="56331EC6" w14:textId="77777777" w:rsidR="00A81746" w:rsidRPr="004235AA" w:rsidRDefault="00A81746" w:rsidP="00A81746">
      <w:pPr>
        <w:pStyle w:val="NormalHanging12a"/>
        <w:keepNext/>
        <w:keepLines/>
        <w:widowControl/>
        <w:ind w:left="0" w:firstLine="0"/>
        <w:rPr>
          <w:b/>
          <w:i/>
        </w:rPr>
      </w:pPr>
      <w:r w:rsidRPr="004235AA">
        <w:rPr>
          <w:b/>
          <w:i/>
        </w:rPr>
        <w:t>Unionens budgetstöd</w:t>
      </w:r>
    </w:p>
    <w:p w14:paraId="02307E48" w14:textId="77777777" w:rsidR="00A81746" w:rsidRPr="004235AA" w:rsidRDefault="00A81746" w:rsidP="00A81746">
      <w:pPr>
        <w:pStyle w:val="NormalHanging12a"/>
        <w:widowControl/>
      </w:pPr>
      <w:r w:rsidRPr="004235AA">
        <w:t>45.</w:t>
      </w:r>
      <w:r w:rsidRPr="004235AA">
        <w:tab/>
        <w:t>Europaparlamentet noterar att utbetalningar av budgetstöd inom ramen för EUF under 2022 uppgick till 105,2 miljoner EUR.</w:t>
      </w:r>
    </w:p>
    <w:p w14:paraId="1969364C" w14:textId="77777777" w:rsidR="00A81746" w:rsidRPr="004235AA" w:rsidRDefault="00A81746" w:rsidP="00A81746">
      <w:pPr>
        <w:pStyle w:val="NormalHanging12a"/>
        <w:widowControl/>
      </w:pPr>
      <w:r w:rsidRPr="004235AA">
        <w:t>46.</w:t>
      </w:r>
      <w:r w:rsidRPr="004235AA">
        <w:tab/>
        <w:t>Europaparlamentet noterar som en jämförelse att Ukraina blev den tredje budgetstödportföljen 2022, med nästan 800 miljoner EUR i pågående insatser.</w:t>
      </w:r>
    </w:p>
    <w:p w14:paraId="7454C68B" w14:textId="77777777" w:rsidR="00A81746" w:rsidRPr="004235AA" w:rsidRDefault="00A81746" w:rsidP="00A81746">
      <w:pPr>
        <w:pStyle w:val="NormalHanging12a"/>
        <w:widowControl/>
      </w:pPr>
      <w:r w:rsidRPr="004235AA">
        <w:t>47.</w:t>
      </w:r>
      <w:r w:rsidRPr="004235AA">
        <w:tab/>
        <w:t>Europaparlamentet framhåller att EU:s budgetstöd under de senaste tre åren har inneburit betalningar på totalt 6 miljarder EUR – 3 miljarder EUR 2020, 1,2 miljarder EUR 2021 och 1,8 miljarder EUR 2022. Parlamentet noterar vidare att budgetstödet stod för 15 % av kommissionens betalningar inom ramen för instrumentet för grannskapspolitik, utvecklingssamarbete och internationellt samarbete – Europa i världen (instrumentet Europa i världen), instrumentet för stöd inför anslutningen (IPA III), beslutet om ULT, inbegripet Grönland eller inom ramen för tidigare instrument.</w:t>
      </w:r>
    </w:p>
    <w:p w14:paraId="7351B788" w14:textId="77777777" w:rsidR="00A81746" w:rsidRPr="004235AA" w:rsidRDefault="00A81746" w:rsidP="00A81746">
      <w:pPr>
        <w:pStyle w:val="NormalHanging12a"/>
        <w:widowControl/>
      </w:pPr>
      <w:r w:rsidRPr="004235AA">
        <w:t>48.</w:t>
      </w:r>
      <w:r w:rsidRPr="004235AA">
        <w:tab/>
        <w:t xml:space="preserve">Europaparlamentet noterar att det europeiska grannskapet under 2022 blev den största mottagaren av budgetstöd (38 %), följt av Afrika söder om Sahara (24 %), Asien (18 %), västra Balkan (8 %), Latinamerika (6 %), Karibien (2 %), utomeuropeiska länder/territorier (2 %) och Stillahavsområdet (2 %), och att, per avtalstyp, prestationsavtal om sektorreformer väger tyngre än avtal om statsbyggande och </w:t>
      </w:r>
      <w:proofErr w:type="spellStart"/>
      <w:r w:rsidRPr="004235AA">
        <w:t>resiliensuppbyggnad</w:t>
      </w:r>
      <w:proofErr w:type="spellEnd"/>
      <w:r w:rsidRPr="004235AA">
        <w:t xml:space="preserve"> och avtal om målen för hållbar utveckling, med 74 % av portföljens värde, jämfört med 24,5 % respektive 1,5 %.</w:t>
      </w:r>
    </w:p>
    <w:p w14:paraId="20FAD21F" w14:textId="77777777" w:rsidR="00A81746" w:rsidRPr="004235AA" w:rsidRDefault="00A81746" w:rsidP="00A81746">
      <w:pPr>
        <w:pStyle w:val="NormalHanging12a"/>
        <w:widowControl/>
      </w:pPr>
      <w:r w:rsidRPr="004235AA">
        <w:t>49.</w:t>
      </w:r>
      <w:r w:rsidRPr="004235AA">
        <w:tab/>
        <w:t>Europaparlamentet beklagar vidare att revisionsrättens granskning</w:t>
      </w:r>
      <w:r w:rsidRPr="004235AA">
        <w:rPr>
          <w:rStyle w:val="FootnoteReference"/>
        </w:rPr>
        <w:footnoteReference w:id="31"/>
      </w:r>
      <w:r w:rsidRPr="004235AA">
        <w:t xml:space="preserve"> av korrektheten inte kan omfatta det som sker efter den tidpunkt då kommissionen betalar ut stöd till mottagarlandet, eftersom dessa medel då införlivas med landets egna budgetmedel.</w:t>
      </w:r>
    </w:p>
    <w:p w14:paraId="515BB086" w14:textId="77777777" w:rsidR="00A81746" w:rsidRPr="004235AA" w:rsidRDefault="00A81746" w:rsidP="00A81746">
      <w:pPr>
        <w:pStyle w:val="NormalHanging12a"/>
        <w:widowControl/>
      </w:pPr>
      <w:r w:rsidRPr="004235AA">
        <w:t>50.</w:t>
      </w:r>
      <w:r w:rsidRPr="004235AA">
        <w:rPr>
          <w:color w:val="00B050"/>
        </w:rPr>
        <w:tab/>
      </w:r>
      <w:r w:rsidRPr="004235AA">
        <w:t>Europaparlamentet noterar att de största mottagarna av EUF-betalningar under 2022 var Moçambique, Sudan och Demokratiska republiken Kongo, och att de sektorer som fick störst finansiering var förvaltning och civilsamhället, jordbruk, energi och social infrastruktur och sociala tjänster. Parlamentet noterar att genomförandet av EUF berör länder som står inför allvarliga konsekvenser av klimatförändringarna, förlust av biologisk mångfald och osäker livsmedelsförsörjning och som försvagas av ökande skulder, nya och bortglömda humanitära kriser och konflikter, vilket skapar växande ojämlikhet och fattigdom. Parlamentet begär att EUF ska vara villkorad när det finns bevis för kränkningar av de mänskliga rättigheterna och att EUF ska kontrolleras med avseende på korruption eller skatteundandragande.</w:t>
      </w:r>
    </w:p>
    <w:p w14:paraId="458FE689" w14:textId="77777777" w:rsidR="00A81746" w:rsidRPr="004235AA" w:rsidRDefault="00A81746" w:rsidP="00A81746">
      <w:pPr>
        <w:pStyle w:val="NormalHanging12a"/>
        <w:widowControl/>
      </w:pPr>
      <w:r w:rsidRPr="004235AA">
        <w:t>51.</w:t>
      </w:r>
      <w:r w:rsidRPr="004235AA">
        <w:tab/>
        <w:t xml:space="preserve">Europaparlamentet efterlyser en starkare samordning mellan kommissionen, utrikestjänsten och EU:s delegationer för att underlätta diskussioner och samarbete med </w:t>
      </w:r>
      <w:r w:rsidRPr="004235AA">
        <w:lastRenderedPageBreak/>
        <w:t>relevanta lokala aktörer på fältet för att identifiera de projekt som bäst uppfyller målen för utvecklingseffektivitet.</w:t>
      </w:r>
    </w:p>
    <w:p w14:paraId="3C8BF827" w14:textId="77777777" w:rsidR="00A81746" w:rsidRPr="004235AA" w:rsidRDefault="00A81746" w:rsidP="00A81746">
      <w:pPr>
        <w:pStyle w:val="NormalHanging12a"/>
        <w:widowControl/>
      </w:pPr>
      <w:r w:rsidRPr="004235AA">
        <w:t>52.</w:t>
      </w:r>
      <w:r w:rsidRPr="004235AA">
        <w:tab/>
        <w:t>Europaparlamentet noterar att lokala, icke-statliga aktörer är väl lämpade partner för att tillhandahålla unionsstöd till behövande, särskilt i avlägsna områden. Parlamentet framhåller att ett stärkt unionsengagemang med dessa organisationer skulle kunna påskynda utvecklingssamarbetets effektivitet.</w:t>
      </w:r>
    </w:p>
    <w:p w14:paraId="60BBB699" w14:textId="77777777" w:rsidR="00A81746" w:rsidRPr="004235AA" w:rsidRDefault="00A81746" w:rsidP="00A81746">
      <w:pPr>
        <w:keepNext/>
        <w:keepLines/>
        <w:widowControl/>
        <w:spacing w:after="240"/>
        <w:rPr>
          <w:b/>
          <w:i/>
        </w:rPr>
      </w:pPr>
      <w:r w:rsidRPr="004235AA">
        <w:rPr>
          <w:b/>
          <w:i/>
        </w:rPr>
        <w:t>Uppföljning av ansvarsfrihetsförfarandet för 2021</w:t>
      </w:r>
    </w:p>
    <w:p w14:paraId="1C5901E5" w14:textId="77777777" w:rsidR="00A81746" w:rsidRPr="004235AA" w:rsidRDefault="00A81746" w:rsidP="00A81746">
      <w:pPr>
        <w:widowControl/>
        <w:spacing w:after="240"/>
        <w:ind w:left="567" w:hanging="567"/>
      </w:pPr>
      <w:r w:rsidRPr="004235AA">
        <w:t>53.</w:t>
      </w:r>
      <w:r w:rsidRPr="004235AA">
        <w:tab/>
        <w:t>Europaparlamentet noterar i kommissionens rapport om uppföljning av ansvarsfrihetsförfarandet för 2021 att digitaliseringen av kontrollerna inom yttre åtgärder pågår i syfte att införa institutionell praxis och institutionella verktyg, och att den kommande övergången till intern e-revision kommer att underlätta en mer systematisk och integrerad övervakning av resultaten från revisioner och kontroller, vilket kommer att underlätta en mer holistisk uppföljningsprocess.</w:t>
      </w:r>
    </w:p>
    <w:p w14:paraId="1DAA80C4" w14:textId="77777777" w:rsidR="00A81746" w:rsidRPr="004235AA" w:rsidRDefault="00A81746" w:rsidP="00A81746">
      <w:pPr>
        <w:widowControl/>
        <w:spacing w:after="240"/>
        <w:ind w:left="567" w:hanging="567"/>
      </w:pPr>
      <w:r w:rsidRPr="004235AA">
        <w:t>54.</w:t>
      </w:r>
      <w:r w:rsidRPr="004235AA">
        <w:tab/>
        <w:t>Europaparlamentet noterar att den gemensamma utbildningen tillsammans med FN</w:t>
      </w:r>
      <w:r w:rsidRPr="004235AA">
        <w:noBreakHyphen/>
        <w:t>personal återupptogs 2023, och att kommissionen har kommit överens med FN om att inrätta gemensamma tekniska grupper för att regelbundet diskutera revisions- och kontrollfrågor, och att kommissionen kommer att fortsätta att vidta åtgärder för att hitta praktiska och långsiktiga lösningar på dessa frågor.</w:t>
      </w:r>
    </w:p>
    <w:p w14:paraId="311A9920" w14:textId="77777777" w:rsidR="00A81746" w:rsidRPr="004235AA" w:rsidRDefault="00A81746" w:rsidP="00A81746">
      <w:pPr>
        <w:widowControl/>
        <w:spacing w:after="240"/>
        <w:ind w:left="567" w:hanging="567"/>
      </w:pPr>
      <w:r w:rsidRPr="004235AA">
        <w:t>55.</w:t>
      </w:r>
      <w:r w:rsidRPr="004235AA">
        <w:tab/>
        <w:t>Europaparlamentet noterar att GD INTPA 2022 bedömde de systemrelaterade granskningsresultaten i utgiftskontrollerna av åtgärder som genomförts av 20 globalt verksamma internationella organisationer vars förvaltning av revisionsuppgifter är centraliserad och att GD INTPA delade med sig av sina iakttagelser samt föreslog riskreducerande åtgärder med relevant personal vid huvudkontoret och delegationerna i januari 2023.</w:t>
      </w:r>
    </w:p>
    <w:p w14:paraId="647123C2" w14:textId="77777777" w:rsidR="00A81746" w:rsidRPr="004235AA" w:rsidRDefault="00A81746" w:rsidP="00A81746">
      <w:pPr>
        <w:widowControl/>
        <w:spacing w:after="240"/>
        <w:ind w:left="567" w:hanging="567"/>
      </w:pPr>
      <w:r w:rsidRPr="004235AA">
        <w:t>56.</w:t>
      </w:r>
      <w:r w:rsidRPr="004235AA">
        <w:tab/>
        <w:t>Europaparlamentet noterar att kommissionen och dess partnerinstitutioner (inbegripet institutioner för utvecklingsfinansiering och utvecklingsbyråer) aktivt samarbetar med lokala organisationer inom den privata sektorn för att diskutera utmaningar och möjligheter att öka tillgången till finansiering genom finansieringsinstrument såsom blandfinansieringstransaktioner, och att den politiska dialogen förs i partnerskap med partnerländer genom EU-delegationer och nationella investeringsforum. Parlamentet betonar vikten av mobilisering av den privata sektorn för att överbrygga finansieringsunderskottet för utveckling och uppnå målen för hållbar utveckling.</w:t>
      </w:r>
    </w:p>
    <w:p w14:paraId="6375C016" w14:textId="77777777" w:rsidR="00A81746" w:rsidRPr="004235AA" w:rsidRDefault="00A81746" w:rsidP="00A81746">
      <w:pPr>
        <w:widowControl/>
        <w:spacing w:after="240"/>
        <w:ind w:left="567" w:hanging="567"/>
      </w:pPr>
      <w:r w:rsidRPr="004235AA">
        <w:t>57.</w:t>
      </w:r>
      <w:r w:rsidRPr="004235AA">
        <w:tab/>
        <w:t xml:space="preserve">Europaparlamentet välkomnar Global </w:t>
      </w:r>
      <w:proofErr w:type="spellStart"/>
      <w:r w:rsidRPr="004235AA">
        <w:t>Gateway</w:t>
      </w:r>
      <w:proofErr w:type="spellEnd"/>
      <w:r w:rsidRPr="004235AA">
        <w:t>-strategin som ett samordnat svar från unionen på globala utmaningar. Parlamentet anser att i tider av nya geostrategiska utmaningar måste unionens utrikes- och säkerhetspolitik och aktörer inom utvecklingssamarbetet samordna sig bättre för att öka unionens närvaro och synlighet världen över genom hårda och mjuka infrastrukturinvesteringar som skapar nationellt värde i partnerländerna genom samarbete med den privata sektorn och institutioner för utvecklingsfinansiering, i linje med målen för hållbar utveckling.</w:t>
      </w:r>
    </w:p>
    <w:p w14:paraId="3756FA70" w14:textId="77777777" w:rsidR="00A81746" w:rsidRPr="004235AA" w:rsidRDefault="00A81746" w:rsidP="00A81746">
      <w:pPr>
        <w:pStyle w:val="NormalHanging12a"/>
        <w:widowControl/>
      </w:pPr>
      <w:r w:rsidRPr="004235AA">
        <w:t>58.</w:t>
      </w:r>
      <w:r w:rsidRPr="004235AA">
        <w:tab/>
        <w:t xml:space="preserve">Europaparlamentet påminner om att globala kriser har skapat och ökat ojämlikhet både inom och mellan länder, vilket har undergrävt den sociala sammanhållningen, och välkomnar i detta sammanhang utvecklingen av en </w:t>
      </w:r>
      <w:proofErr w:type="spellStart"/>
      <w:r w:rsidRPr="004235AA">
        <w:t>Inequality</w:t>
      </w:r>
      <w:proofErr w:type="spellEnd"/>
      <w:r w:rsidRPr="004235AA">
        <w:t xml:space="preserve"> Marker (I-Marker) för att skapa ett sunt rapporterings- och </w:t>
      </w:r>
      <w:proofErr w:type="spellStart"/>
      <w:r w:rsidRPr="004235AA">
        <w:t>riktmärkningssystem</w:t>
      </w:r>
      <w:proofErr w:type="spellEnd"/>
      <w:r w:rsidRPr="004235AA">
        <w:t xml:space="preserve"> för hur alla insatser bidrar till att minska ojämlikheten.</w:t>
      </w:r>
    </w:p>
    <w:p w14:paraId="1ED26A7D" w14:textId="77777777" w:rsidR="00A81746" w:rsidRPr="004235AA" w:rsidRDefault="00A81746" w:rsidP="00A81746">
      <w:pPr>
        <w:widowControl/>
        <w:spacing w:after="240"/>
        <w:ind w:left="567" w:hanging="567"/>
      </w:pPr>
      <w:r w:rsidRPr="004235AA">
        <w:lastRenderedPageBreak/>
        <w:t>59.</w:t>
      </w:r>
      <w:r w:rsidRPr="004235AA">
        <w:tab/>
        <w:t>Europaparlamentet upprepar revisionsrättens rekommendationer till kommissionen, dvs. att</w:t>
      </w:r>
    </w:p>
    <w:p w14:paraId="094C020C" w14:textId="77777777" w:rsidR="00A81746" w:rsidRPr="004235AA" w:rsidRDefault="00A81746" w:rsidP="00A81746">
      <w:pPr>
        <w:widowControl/>
        <w:spacing w:after="240"/>
        <w:ind w:left="1134" w:hanging="567"/>
      </w:pPr>
      <w:r w:rsidRPr="004235AA">
        <w:t>a)</w:t>
      </w:r>
      <w:r w:rsidRPr="004235AA">
        <w:tab/>
        <w:t>kontrollera att saldon för avslutade EUF regleras i tid,</w:t>
      </w:r>
    </w:p>
    <w:p w14:paraId="43F74885" w14:textId="77777777" w:rsidR="00A81746" w:rsidRPr="004235AA" w:rsidRDefault="00A81746" w:rsidP="00A81746">
      <w:pPr>
        <w:widowControl/>
        <w:spacing w:after="240"/>
        <w:ind w:left="1134" w:hanging="567"/>
      </w:pPr>
      <w:r w:rsidRPr="004235AA">
        <w:t>b)</w:t>
      </w:r>
      <w:r w:rsidRPr="004235AA">
        <w:tab/>
        <w:t>kontrollera att förfinansiering och fakturor regleras i tid i årsräkenskaperna,</w:t>
      </w:r>
    </w:p>
    <w:p w14:paraId="00A5FF12" w14:textId="77777777" w:rsidR="00A81746" w:rsidRPr="004235AA" w:rsidRDefault="00A81746" w:rsidP="00A81746">
      <w:pPr>
        <w:widowControl/>
        <w:spacing w:after="240"/>
        <w:ind w:left="1134" w:hanging="567"/>
      </w:pPr>
      <w:r w:rsidRPr="004235AA">
        <w:t>c)</w:t>
      </w:r>
      <w:r w:rsidRPr="004235AA">
        <w:tab/>
        <w:t>vidta åtgärder för att förbättra EU-delegationernas kontrollsystem för reglering av förfinansiering,</w:t>
      </w:r>
    </w:p>
    <w:p w14:paraId="7B370677" w14:textId="77777777" w:rsidR="00A81746" w:rsidRPr="004235AA" w:rsidRDefault="00A81746" w:rsidP="00A81746">
      <w:pPr>
        <w:widowControl/>
        <w:spacing w:after="240"/>
        <w:ind w:left="1134" w:hanging="567"/>
      </w:pPr>
      <w:r w:rsidRPr="004235AA">
        <w:t>d)</w:t>
      </w:r>
      <w:r w:rsidRPr="004235AA">
        <w:tab/>
        <w:t>upprepa den uttalade skyldigheten att följa mervärdesskattereglerna och utföra lämpliga kontroller,</w:t>
      </w:r>
    </w:p>
    <w:p w14:paraId="08FFF487" w14:textId="77777777" w:rsidR="00A81746" w:rsidRPr="004235AA" w:rsidRDefault="00A81746" w:rsidP="00A81746">
      <w:pPr>
        <w:widowControl/>
        <w:spacing w:after="240"/>
        <w:ind w:left="1134" w:hanging="567"/>
      </w:pPr>
      <w:r w:rsidRPr="004235AA">
        <w:t>e)</w:t>
      </w:r>
      <w:r w:rsidRPr="004235AA">
        <w:tab/>
        <w:t>stärka förhandskontrollerna innan kostnader godkänns,</w:t>
      </w:r>
    </w:p>
    <w:p w14:paraId="5E549045" w14:textId="77777777" w:rsidR="00E365E1" w:rsidRPr="004235AA" w:rsidRDefault="00A81746" w:rsidP="003F6F76">
      <w:pPr>
        <w:widowControl/>
        <w:spacing w:after="240"/>
        <w:ind w:left="1134" w:hanging="567"/>
      </w:pPr>
      <w:r w:rsidRPr="004235AA">
        <w:t>f)</w:t>
      </w:r>
      <w:r w:rsidRPr="004235AA">
        <w:tab/>
        <w:t>förbättra metoden för att uppskatta procentsatsen för kvarstående fel och kontrollera att den tillämpas korrekt.</w:t>
      </w:r>
    </w:p>
    <w:sectPr w:rsidR="00E365E1" w:rsidRPr="004235AA" w:rsidSect="003F6F7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630561" w14:textId="77777777" w:rsidR="00257CFD" w:rsidRPr="0064696D" w:rsidRDefault="00257CFD">
      <w:r w:rsidRPr="0064696D">
        <w:separator/>
      </w:r>
    </w:p>
  </w:endnote>
  <w:endnote w:type="continuationSeparator" w:id="0">
    <w:p w14:paraId="5548E2C3" w14:textId="77777777" w:rsidR="00257CFD" w:rsidRPr="0064696D" w:rsidRDefault="00257CFD">
      <w:r w:rsidRPr="006469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6FA71" w14:textId="77777777" w:rsidR="00A81746" w:rsidRPr="0064696D" w:rsidRDefault="00A81746" w:rsidP="001A725A">
    <w:pPr>
      <w:pStyle w:val="EPFooter"/>
    </w:pPr>
    <w:r w:rsidRPr="0064696D">
      <w:t>PE</w:t>
    </w:r>
    <w:r w:rsidRPr="0064696D">
      <w:rPr>
        <w:rStyle w:val="HideTWBExt"/>
      </w:rPr>
      <w:t>&lt;NoPE&gt;</w:t>
    </w:r>
    <w:r w:rsidRPr="0064696D">
      <w:t>753.512</w:t>
    </w:r>
    <w:r w:rsidRPr="0064696D">
      <w:rPr>
        <w:rStyle w:val="HideTWBExt"/>
      </w:rPr>
      <w:t>&lt;/NoPE&gt;&lt;Version&gt;</w:t>
    </w:r>
    <w:r w:rsidRPr="0064696D">
      <w:t>v03-00</w:t>
    </w:r>
    <w:r w:rsidRPr="0064696D">
      <w:rPr>
        <w:rStyle w:val="HideTWBExt"/>
      </w:rPr>
      <w:t>&lt;/Version&gt;</w:t>
    </w:r>
    <w:r w:rsidRPr="0064696D">
      <w:tab/>
    </w:r>
    <w:r w:rsidRPr="0064696D">
      <w:fldChar w:fldCharType="begin"/>
    </w:r>
    <w:r w:rsidRPr="0064696D">
      <w:instrText xml:space="preserve"> PAGE  \* MERGEFORMAT </w:instrText>
    </w:r>
    <w:r w:rsidRPr="0064696D">
      <w:fldChar w:fldCharType="separate"/>
    </w:r>
    <w:r w:rsidR="0064696D" w:rsidRPr="0064696D">
      <w:rPr>
        <w:noProof/>
      </w:rPr>
      <w:t>2</w:t>
    </w:r>
    <w:r w:rsidRPr="0064696D">
      <w:fldChar w:fldCharType="end"/>
    </w:r>
    <w:r w:rsidRPr="0064696D">
      <w:t>/</w:t>
    </w:r>
    <w:fldSimple w:instr=" NUMPAGES  \* MERGEFORMAT ">
      <w:r w:rsidR="0064696D" w:rsidRPr="0064696D">
        <w:rPr>
          <w:noProof/>
        </w:rPr>
        <w:t>3</w:t>
      </w:r>
    </w:fldSimple>
    <w:r w:rsidRPr="0064696D">
      <w:tab/>
    </w:r>
    <w:r w:rsidRPr="0064696D">
      <w:rPr>
        <w:rStyle w:val="HideTWBExt"/>
      </w:rPr>
      <w:t>&lt;PathFdR&gt;</w:t>
    </w:r>
    <w:r w:rsidRPr="0064696D">
      <w:t>RR\1299097SV.docx</w:t>
    </w:r>
    <w:r w:rsidRPr="0064696D">
      <w:rPr>
        <w:rStyle w:val="HideTWBExt"/>
      </w:rPr>
      <w:t>&lt;/PathFdR&gt;</w:t>
    </w:r>
  </w:p>
  <w:p w14:paraId="5602B916" w14:textId="77777777" w:rsidR="00A81746" w:rsidRPr="0064696D" w:rsidRDefault="00A81746" w:rsidP="001A725A">
    <w:pPr>
      <w:pStyle w:val="EPFooter2"/>
    </w:pPr>
    <w:r w:rsidRPr="0064696D">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86C92" w14:textId="77777777" w:rsidR="00A81746" w:rsidRPr="0064696D" w:rsidRDefault="00A81746" w:rsidP="001A725A">
    <w:pPr>
      <w:pStyle w:val="EPFooter"/>
    </w:pPr>
    <w:r w:rsidRPr="0064696D">
      <w:rPr>
        <w:rStyle w:val="HideTWBExt"/>
      </w:rPr>
      <w:t>&lt;PathFdR&gt;</w:t>
    </w:r>
    <w:r w:rsidRPr="0064696D">
      <w:t>RR\1299097SV.docx</w:t>
    </w:r>
    <w:r w:rsidRPr="0064696D">
      <w:rPr>
        <w:rStyle w:val="HideTWBExt"/>
      </w:rPr>
      <w:t>&lt;/PathFdR&gt;</w:t>
    </w:r>
    <w:r w:rsidRPr="0064696D">
      <w:tab/>
    </w:r>
    <w:r w:rsidRPr="0064696D">
      <w:tab/>
      <w:t>PE</w:t>
    </w:r>
    <w:r w:rsidRPr="0064696D">
      <w:rPr>
        <w:rStyle w:val="HideTWBExt"/>
      </w:rPr>
      <w:t>&lt;NoPE&gt;</w:t>
    </w:r>
    <w:r w:rsidRPr="0064696D">
      <w:t>753.512</w:t>
    </w:r>
    <w:r w:rsidRPr="0064696D">
      <w:rPr>
        <w:rStyle w:val="HideTWBExt"/>
      </w:rPr>
      <w:t>&lt;/NoPE&gt;&lt;Version&gt;</w:t>
    </w:r>
    <w:r w:rsidRPr="0064696D">
      <w:t>v03-00</w:t>
    </w:r>
    <w:r w:rsidRPr="0064696D">
      <w:rPr>
        <w:rStyle w:val="HideTWBExt"/>
      </w:rPr>
      <w:t>&lt;/Version&gt;</w:t>
    </w:r>
  </w:p>
  <w:p w14:paraId="4BC9F66E" w14:textId="77777777" w:rsidR="00A81746" w:rsidRPr="0064696D" w:rsidRDefault="00A81746" w:rsidP="001A725A">
    <w:pPr>
      <w:pStyle w:val="EPFooter2"/>
    </w:pPr>
    <w:r w:rsidRPr="0064696D">
      <w:t>SV</w:t>
    </w:r>
    <w:r w:rsidRPr="0064696D">
      <w:tab/>
    </w:r>
    <w:r w:rsidRPr="0064696D">
      <w:rPr>
        <w:b w:val="0"/>
        <w:i/>
        <w:color w:val="C0C0C0"/>
        <w:sz w:val="22"/>
      </w:rPr>
      <w:t>Förenade i mångfalden</w:t>
    </w:r>
    <w:r w:rsidRPr="0064696D">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84739" w14:textId="77777777" w:rsidR="00064002" w:rsidRPr="0064696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6FFA9" w14:textId="77777777" w:rsidR="00064002" w:rsidRPr="0064696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186B4" w14:textId="77777777" w:rsidR="00064002" w:rsidRPr="006469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644988" w14:textId="77777777" w:rsidR="00257CFD" w:rsidRPr="0064696D" w:rsidRDefault="00257CFD">
      <w:r w:rsidRPr="0064696D">
        <w:separator/>
      </w:r>
    </w:p>
  </w:footnote>
  <w:footnote w:type="continuationSeparator" w:id="0">
    <w:p w14:paraId="1A21F94E" w14:textId="77777777" w:rsidR="00257CFD" w:rsidRPr="0064696D" w:rsidRDefault="00257CFD">
      <w:r w:rsidRPr="0064696D">
        <w:continuationSeparator/>
      </w:r>
    </w:p>
  </w:footnote>
  <w:footnote w:id="1">
    <w:p w14:paraId="7AA6E5AC" w14:textId="54FFF1DA" w:rsidR="00A81746" w:rsidRPr="00256236" w:rsidRDefault="00A81746" w:rsidP="0064696D">
      <w:pPr>
        <w:pStyle w:val="FootnoteText"/>
        <w:ind w:left="567" w:hanging="567"/>
        <w:rPr>
          <w:sz w:val="24"/>
          <w:lang w:val="fr-BE"/>
        </w:rPr>
      </w:pPr>
      <w:r w:rsidRPr="0064696D">
        <w:rPr>
          <w:rStyle w:val="FootnoteReference"/>
          <w:sz w:val="24"/>
          <w:lang w:val="sv-SE"/>
        </w:rPr>
        <w:footnoteRef/>
      </w:r>
      <w:r w:rsidR="0064696D" w:rsidRPr="00256236">
        <w:rPr>
          <w:sz w:val="24"/>
          <w:lang w:val="fr-BE"/>
        </w:rPr>
        <w:t xml:space="preserve"> </w:t>
      </w:r>
      <w:r w:rsidR="0064696D" w:rsidRPr="00256236">
        <w:rPr>
          <w:sz w:val="24"/>
          <w:lang w:val="fr-BE"/>
        </w:rPr>
        <w:tab/>
      </w:r>
      <w:r w:rsidRPr="00256236">
        <w:rPr>
          <w:sz w:val="24"/>
          <w:lang w:val="fr-BE"/>
        </w:rPr>
        <w:t xml:space="preserve">EUT </w:t>
      </w:r>
      <w:r w:rsidR="00075DD5">
        <w:rPr>
          <w:sz w:val="24"/>
          <w:lang w:val="fr-BE"/>
        </w:rPr>
        <w:t xml:space="preserve">C, </w:t>
      </w:r>
      <w:r w:rsidRPr="00256236">
        <w:rPr>
          <w:sz w:val="24"/>
          <w:lang w:val="fr-BE"/>
        </w:rPr>
        <w:t xml:space="preserve">C/2023/103, 4.10.2023. </w:t>
      </w:r>
    </w:p>
  </w:footnote>
  <w:footnote w:id="2">
    <w:p w14:paraId="6FC5DF8F" w14:textId="6AC37118" w:rsidR="00A81746" w:rsidRPr="00256236" w:rsidRDefault="00A81746" w:rsidP="0064696D">
      <w:pPr>
        <w:pStyle w:val="FootnoteText"/>
        <w:ind w:left="567" w:hanging="567"/>
        <w:rPr>
          <w:sz w:val="24"/>
          <w:lang w:val="fr-BE"/>
        </w:rPr>
      </w:pPr>
      <w:r w:rsidRPr="0064696D">
        <w:rPr>
          <w:rStyle w:val="FootnoteReference"/>
          <w:sz w:val="24"/>
          <w:lang w:val="sv-SE"/>
        </w:rPr>
        <w:footnoteRef/>
      </w:r>
      <w:r w:rsidR="0064696D" w:rsidRPr="00256236">
        <w:rPr>
          <w:sz w:val="24"/>
          <w:lang w:val="fr-BE"/>
        </w:rPr>
        <w:t xml:space="preserve"> </w:t>
      </w:r>
      <w:r w:rsidR="0064696D" w:rsidRPr="00256236">
        <w:rPr>
          <w:sz w:val="24"/>
          <w:lang w:val="fr-BE"/>
        </w:rPr>
        <w:tab/>
      </w:r>
      <w:r w:rsidRPr="00256236">
        <w:rPr>
          <w:sz w:val="24"/>
          <w:lang w:val="fr-BE"/>
        </w:rPr>
        <w:t xml:space="preserve">EUT </w:t>
      </w:r>
      <w:r w:rsidR="00075DD5">
        <w:rPr>
          <w:sz w:val="24"/>
          <w:lang w:val="fr-BE"/>
        </w:rPr>
        <w:t xml:space="preserve">C, </w:t>
      </w:r>
      <w:r w:rsidRPr="00256236">
        <w:rPr>
          <w:sz w:val="24"/>
          <w:lang w:val="fr-BE"/>
        </w:rPr>
        <w:t>C/2023/109, 12.10.2023.</w:t>
      </w:r>
    </w:p>
  </w:footnote>
  <w:footnote w:id="3">
    <w:p w14:paraId="151E6D42" w14:textId="77777777" w:rsidR="00A81746" w:rsidRPr="00256236" w:rsidRDefault="00A81746" w:rsidP="0064696D">
      <w:pPr>
        <w:pStyle w:val="FootnoteText"/>
        <w:ind w:left="567" w:hanging="567"/>
        <w:rPr>
          <w:sz w:val="24"/>
          <w:lang w:val="fr-BE"/>
        </w:rPr>
      </w:pPr>
      <w:r w:rsidRPr="0064696D">
        <w:rPr>
          <w:rStyle w:val="FootnoteReference"/>
          <w:sz w:val="24"/>
          <w:lang w:val="sv-SE"/>
        </w:rPr>
        <w:footnoteRef/>
      </w:r>
      <w:r w:rsidR="0064696D" w:rsidRPr="00256236">
        <w:rPr>
          <w:sz w:val="24"/>
          <w:lang w:val="fr-BE"/>
        </w:rPr>
        <w:t xml:space="preserve"> </w:t>
      </w:r>
      <w:r w:rsidR="0064696D" w:rsidRPr="00256236">
        <w:rPr>
          <w:sz w:val="24"/>
          <w:lang w:val="fr-BE"/>
        </w:rPr>
        <w:tab/>
      </w:r>
      <w:r w:rsidRPr="00256236">
        <w:rPr>
          <w:sz w:val="24"/>
          <w:lang w:val="fr-BE"/>
        </w:rPr>
        <w:t>EGT L 317, 15.12.2000, s. 3.</w:t>
      </w:r>
    </w:p>
  </w:footnote>
  <w:footnote w:id="4">
    <w:p w14:paraId="4B523DA4" w14:textId="77777777" w:rsidR="00A81746" w:rsidRPr="00256236" w:rsidRDefault="00A81746" w:rsidP="0064696D">
      <w:pPr>
        <w:pStyle w:val="FootnoteText"/>
        <w:ind w:left="567" w:hanging="567"/>
        <w:rPr>
          <w:sz w:val="24"/>
          <w:lang w:val="fr-BE"/>
        </w:rPr>
      </w:pPr>
      <w:r w:rsidRPr="0064696D">
        <w:rPr>
          <w:rStyle w:val="FootnoteReference"/>
          <w:sz w:val="24"/>
          <w:lang w:val="sv-SE"/>
        </w:rPr>
        <w:footnoteRef/>
      </w:r>
      <w:r w:rsidR="0064696D" w:rsidRPr="00256236">
        <w:rPr>
          <w:sz w:val="24"/>
          <w:lang w:val="fr-BE"/>
        </w:rPr>
        <w:t xml:space="preserve"> </w:t>
      </w:r>
      <w:r w:rsidR="0064696D" w:rsidRPr="00256236">
        <w:rPr>
          <w:sz w:val="24"/>
          <w:lang w:val="fr-BE"/>
        </w:rPr>
        <w:tab/>
      </w:r>
      <w:r w:rsidRPr="00256236">
        <w:rPr>
          <w:sz w:val="24"/>
          <w:lang w:val="fr-BE"/>
        </w:rPr>
        <w:t>EUT L 287, 4.11.2010, s. 3.</w:t>
      </w:r>
    </w:p>
  </w:footnote>
  <w:footnote w:id="5">
    <w:p w14:paraId="2D138D0D" w14:textId="77777777" w:rsidR="00A81746" w:rsidRPr="002777D5" w:rsidRDefault="00A81746" w:rsidP="0064696D">
      <w:pPr>
        <w:pStyle w:val="FootnoteText"/>
        <w:ind w:left="567" w:hanging="567"/>
        <w:rPr>
          <w:sz w:val="24"/>
        </w:rPr>
      </w:pPr>
      <w:r w:rsidRPr="0064696D">
        <w:rPr>
          <w:rStyle w:val="FootnoteReference"/>
          <w:sz w:val="24"/>
          <w:lang w:val="sv-SE"/>
        </w:rPr>
        <w:footnoteRef/>
      </w:r>
      <w:r w:rsidR="0064696D" w:rsidRPr="002777D5">
        <w:rPr>
          <w:sz w:val="24"/>
        </w:rPr>
        <w:t xml:space="preserve"> </w:t>
      </w:r>
      <w:r w:rsidR="0064696D" w:rsidRPr="002777D5">
        <w:rPr>
          <w:sz w:val="24"/>
        </w:rPr>
        <w:tab/>
      </w:r>
      <w:r w:rsidRPr="002777D5">
        <w:rPr>
          <w:sz w:val="24"/>
        </w:rPr>
        <w:t>EUT L 344, 19.12.2013, s. 1.</w:t>
      </w:r>
    </w:p>
  </w:footnote>
  <w:footnote w:id="6">
    <w:p w14:paraId="621708B5" w14:textId="77777777" w:rsidR="00A81746" w:rsidRPr="00075DD5" w:rsidRDefault="00A81746" w:rsidP="0064696D">
      <w:pPr>
        <w:pStyle w:val="FootnoteText"/>
        <w:ind w:left="567" w:hanging="567"/>
        <w:rPr>
          <w:sz w:val="24"/>
        </w:rPr>
      </w:pPr>
      <w:r w:rsidRPr="0064696D">
        <w:rPr>
          <w:rStyle w:val="FootnoteReference"/>
          <w:sz w:val="24"/>
          <w:lang w:val="sv-SE"/>
        </w:rPr>
        <w:footnoteRef/>
      </w:r>
      <w:r w:rsidR="0064696D" w:rsidRPr="00075DD5">
        <w:rPr>
          <w:sz w:val="24"/>
        </w:rPr>
        <w:t xml:space="preserve"> </w:t>
      </w:r>
      <w:r w:rsidR="0064696D" w:rsidRPr="00075DD5">
        <w:rPr>
          <w:sz w:val="24"/>
        </w:rPr>
        <w:tab/>
      </w:r>
      <w:r w:rsidRPr="00075DD5">
        <w:rPr>
          <w:sz w:val="24"/>
        </w:rPr>
        <w:t>EUT L 355, 7.10.2021, s. 6.</w:t>
      </w:r>
    </w:p>
  </w:footnote>
  <w:footnote w:id="7">
    <w:p w14:paraId="28B5F18E" w14:textId="77777777" w:rsidR="00A81746" w:rsidRPr="002777D5" w:rsidRDefault="00A81746" w:rsidP="0064696D">
      <w:pPr>
        <w:pStyle w:val="FootnoteText"/>
        <w:ind w:left="567" w:hanging="567"/>
        <w:rPr>
          <w:sz w:val="24"/>
          <w:lang w:val="de-DE"/>
        </w:rPr>
      </w:pPr>
      <w:r w:rsidRPr="0064696D">
        <w:rPr>
          <w:rStyle w:val="FootnoteReference"/>
          <w:sz w:val="24"/>
          <w:lang w:val="sv-SE"/>
        </w:rPr>
        <w:footnoteRef/>
      </w:r>
      <w:r w:rsidR="0064696D" w:rsidRPr="002777D5">
        <w:rPr>
          <w:sz w:val="24"/>
          <w:lang w:val="de-DE"/>
        </w:rPr>
        <w:t xml:space="preserve"> </w:t>
      </w:r>
      <w:r w:rsidR="0064696D" w:rsidRPr="002777D5">
        <w:rPr>
          <w:sz w:val="24"/>
          <w:lang w:val="de-DE"/>
        </w:rPr>
        <w:tab/>
      </w:r>
      <w:r w:rsidRPr="002777D5">
        <w:rPr>
          <w:sz w:val="24"/>
          <w:lang w:val="de-DE"/>
        </w:rPr>
        <w:t>EGT L 156, 29.5.1998, s. 108.</w:t>
      </w:r>
    </w:p>
  </w:footnote>
  <w:footnote w:id="8">
    <w:p w14:paraId="67009A58" w14:textId="77777777" w:rsidR="00A81746" w:rsidRPr="002777D5" w:rsidRDefault="00A81746" w:rsidP="0064696D">
      <w:pPr>
        <w:pStyle w:val="FootnoteText"/>
        <w:ind w:left="567" w:hanging="567"/>
        <w:rPr>
          <w:sz w:val="24"/>
          <w:lang w:val="de-DE"/>
        </w:rPr>
      </w:pPr>
      <w:r w:rsidRPr="0064696D">
        <w:rPr>
          <w:rStyle w:val="FootnoteReference"/>
          <w:sz w:val="24"/>
          <w:lang w:val="sv-SE"/>
        </w:rPr>
        <w:footnoteRef/>
      </w:r>
      <w:r w:rsidR="0064696D" w:rsidRPr="002777D5">
        <w:rPr>
          <w:sz w:val="24"/>
          <w:lang w:val="de-DE"/>
        </w:rPr>
        <w:t xml:space="preserve"> </w:t>
      </w:r>
      <w:r w:rsidR="0064696D" w:rsidRPr="002777D5">
        <w:rPr>
          <w:sz w:val="24"/>
          <w:lang w:val="de-DE"/>
        </w:rPr>
        <w:tab/>
      </w:r>
      <w:r w:rsidRPr="002777D5">
        <w:rPr>
          <w:sz w:val="24"/>
          <w:lang w:val="de-DE"/>
        </w:rPr>
        <w:t>EGT L 317, 15.12.2000, s. 355.</w:t>
      </w:r>
    </w:p>
  </w:footnote>
  <w:footnote w:id="9">
    <w:p w14:paraId="1D2DFFEE" w14:textId="77777777" w:rsidR="00A81746" w:rsidRPr="002777D5" w:rsidRDefault="00A81746" w:rsidP="0064696D">
      <w:pPr>
        <w:pStyle w:val="FootnoteText"/>
        <w:ind w:left="567" w:hanging="567"/>
        <w:rPr>
          <w:sz w:val="24"/>
          <w:lang w:val="de-DE"/>
        </w:rPr>
      </w:pPr>
      <w:r w:rsidRPr="0064696D">
        <w:rPr>
          <w:rStyle w:val="FootnoteReference"/>
          <w:sz w:val="24"/>
          <w:lang w:val="sv-SE"/>
        </w:rPr>
        <w:footnoteRef/>
      </w:r>
      <w:r w:rsidR="0064696D" w:rsidRPr="002777D5">
        <w:rPr>
          <w:sz w:val="24"/>
          <w:lang w:val="de-DE"/>
        </w:rPr>
        <w:t xml:space="preserve"> </w:t>
      </w:r>
      <w:r w:rsidR="0064696D" w:rsidRPr="002777D5">
        <w:rPr>
          <w:sz w:val="24"/>
          <w:lang w:val="de-DE"/>
        </w:rPr>
        <w:tab/>
      </w:r>
      <w:r w:rsidRPr="002777D5">
        <w:rPr>
          <w:sz w:val="24"/>
          <w:lang w:val="de-DE"/>
        </w:rPr>
        <w:t>EUT L 210, 6.8.2013, s. 1.</w:t>
      </w:r>
    </w:p>
  </w:footnote>
  <w:footnote w:id="10">
    <w:p w14:paraId="08C01EC3" w14:textId="77777777" w:rsidR="00A81746" w:rsidRPr="002777D5" w:rsidRDefault="00A81746" w:rsidP="0064696D">
      <w:pPr>
        <w:pStyle w:val="FootnoteText"/>
        <w:ind w:left="567" w:hanging="567"/>
        <w:rPr>
          <w:sz w:val="24"/>
          <w:lang w:val="de-DE"/>
        </w:rPr>
      </w:pPr>
      <w:r w:rsidRPr="0064696D">
        <w:rPr>
          <w:rStyle w:val="FootnoteReference"/>
          <w:sz w:val="24"/>
          <w:lang w:val="sv-SE"/>
        </w:rPr>
        <w:footnoteRef/>
      </w:r>
      <w:r w:rsidR="0064696D" w:rsidRPr="002777D5">
        <w:rPr>
          <w:sz w:val="24"/>
          <w:lang w:val="de-DE"/>
        </w:rPr>
        <w:t xml:space="preserve"> </w:t>
      </w:r>
      <w:r w:rsidR="0064696D" w:rsidRPr="002777D5">
        <w:rPr>
          <w:sz w:val="24"/>
          <w:lang w:val="de-DE"/>
        </w:rPr>
        <w:tab/>
      </w:r>
      <w:r w:rsidRPr="002777D5">
        <w:rPr>
          <w:sz w:val="24"/>
          <w:lang w:val="de-DE"/>
        </w:rPr>
        <w:t>EGT L 191, 7.7.1998, s. 53.</w:t>
      </w:r>
    </w:p>
  </w:footnote>
  <w:footnote w:id="11">
    <w:p w14:paraId="4D68D563" w14:textId="77777777" w:rsidR="00A81746" w:rsidRPr="00075DD5" w:rsidRDefault="00A81746" w:rsidP="0064696D">
      <w:pPr>
        <w:pStyle w:val="FootnoteText"/>
        <w:ind w:left="567" w:hanging="567"/>
        <w:rPr>
          <w:sz w:val="24"/>
        </w:rPr>
      </w:pPr>
      <w:r w:rsidRPr="0064696D">
        <w:rPr>
          <w:rStyle w:val="FootnoteReference"/>
          <w:sz w:val="24"/>
          <w:lang w:val="sv-SE"/>
        </w:rPr>
        <w:footnoteRef/>
      </w:r>
      <w:r w:rsidR="0064696D" w:rsidRPr="00075DD5">
        <w:rPr>
          <w:sz w:val="24"/>
        </w:rPr>
        <w:t xml:space="preserve"> </w:t>
      </w:r>
      <w:r w:rsidR="0064696D" w:rsidRPr="00075DD5">
        <w:rPr>
          <w:sz w:val="24"/>
        </w:rPr>
        <w:tab/>
      </w:r>
      <w:r w:rsidRPr="00075DD5">
        <w:rPr>
          <w:sz w:val="24"/>
        </w:rPr>
        <w:t>EUT L 83, 1.4.2003, s. 1.</w:t>
      </w:r>
    </w:p>
  </w:footnote>
  <w:footnote w:id="12">
    <w:p w14:paraId="49CF19CC" w14:textId="77777777" w:rsidR="00A81746" w:rsidRPr="002777D5" w:rsidRDefault="00A81746" w:rsidP="0064696D">
      <w:pPr>
        <w:pStyle w:val="FootnoteText"/>
        <w:ind w:left="567" w:hanging="567"/>
        <w:rPr>
          <w:sz w:val="24"/>
        </w:rPr>
      </w:pPr>
      <w:r w:rsidRPr="0064696D">
        <w:rPr>
          <w:rStyle w:val="FootnoteReference"/>
          <w:sz w:val="24"/>
          <w:lang w:val="sv-SE"/>
        </w:rPr>
        <w:footnoteRef/>
      </w:r>
      <w:r w:rsidR="0064696D" w:rsidRPr="002777D5">
        <w:rPr>
          <w:sz w:val="24"/>
        </w:rPr>
        <w:t xml:space="preserve"> </w:t>
      </w:r>
      <w:r w:rsidR="0064696D" w:rsidRPr="002777D5">
        <w:rPr>
          <w:sz w:val="24"/>
        </w:rPr>
        <w:tab/>
      </w:r>
      <w:r w:rsidRPr="002777D5">
        <w:rPr>
          <w:sz w:val="24"/>
        </w:rPr>
        <w:t>EUT L 78, 19.3.2008, s. 1.</w:t>
      </w:r>
    </w:p>
  </w:footnote>
  <w:footnote w:id="13">
    <w:p w14:paraId="291D70FE" w14:textId="77777777" w:rsidR="00A81746" w:rsidRPr="002777D5" w:rsidRDefault="00A81746" w:rsidP="0064696D">
      <w:pPr>
        <w:pStyle w:val="FootnoteText"/>
        <w:ind w:left="567" w:hanging="567"/>
        <w:rPr>
          <w:sz w:val="24"/>
        </w:rPr>
      </w:pPr>
      <w:r w:rsidRPr="0064696D">
        <w:rPr>
          <w:rStyle w:val="FootnoteReference"/>
          <w:sz w:val="24"/>
          <w:lang w:val="sv-SE"/>
        </w:rPr>
        <w:footnoteRef/>
      </w:r>
      <w:r w:rsidR="0064696D" w:rsidRPr="002777D5">
        <w:rPr>
          <w:sz w:val="24"/>
        </w:rPr>
        <w:t xml:space="preserve"> </w:t>
      </w:r>
      <w:r w:rsidR="0064696D" w:rsidRPr="002777D5">
        <w:rPr>
          <w:sz w:val="24"/>
        </w:rPr>
        <w:tab/>
      </w:r>
      <w:r w:rsidRPr="002777D5">
        <w:rPr>
          <w:sz w:val="24"/>
        </w:rPr>
        <w:t>EUT L 58, 3.3.2015, s. 17.</w:t>
      </w:r>
    </w:p>
  </w:footnote>
  <w:footnote w:id="14">
    <w:p w14:paraId="6984777E" w14:textId="77777777" w:rsidR="00A81746" w:rsidRPr="002777D5" w:rsidRDefault="00A81746" w:rsidP="0064696D">
      <w:pPr>
        <w:pStyle w:val="FootnoteText"/>
        <w:ind w:left="567" w:hanging="567"/>
        <w:rPr>
          <w:sz w:val="24"/>
        </w:rPr>
      </w:pPr>
      <w:r w:rsidRPr="0064696D">
        <w:rPr>
          <w:rStyle w:val="FootnoteReference"/>
          <w:sz w:val="24"/>
          <w:lang w:val="sv-SE"/>
        </w:rPr>
        <w:footnoteRef/>
      </w:r>
      <w:r w:rsidR="0064696D" w:rsidRPr="002777D5">
        <w:rPr>
          <w:sz w:val="24"/>
        </w:rPr>
        <w:t xml:space="preserve"> </w:t>
      </w:r>
      <w:r w:rsidR="0064696D" w:rsidRPr="002777D5">
        <w:rPr>
          <w:sz w:val="24"/>
        </w:rPr>
        <w:tab/>
      </w:r>
      <w:r w:rsidRPr="002777D5">
        <w:rPr>
          <w:sz w:val="24"/>
        </w:rPr>
        <w:t>EUT L 307, 3.12.2018, s. 1.</w:t>
      </w:r>
    </w:p>
  </w:footnote>
  <w:footnote w:id="15">
    <w:p w14:paraId="19E917F5" w14:textId="75F61057" w:rsidR="00A81746" w:rsidRPr="00256236" w:rsidRDefault="00A81746" w:rsidP="0064696D">
      <w:pPr>
        <w:pStyle w:val="FootnoteText"/>
        <w:ind w:left="567" w:hanging="567"/>
        <w:rPr>
          <w:sz w:val="24"/>
          <w:lang w:val="fr-BE"/>
        </w:rPr>
      </w:pPr>
      <w:r w:rsidRPr="0064696D">
        <w:rPr>
          <w:rStyle w:val="FootnoteReference"/>
          <w:sz w:val="24"/>
          <w:lang w:val="sv-SE"/>
        </w:rPr>
        <w:footnoteRef/>
      </w:r>
      <w:r w:rsidR="0064696D" w:rsidRPr="00256236">
        <w:rPr>
          <w:sz w:val="24"/>
          <w:lang w:val="fr-BE"/>
        </w:rPr>
        <w:t xml:space="preserve"> </w:t>
      </w:r>
      <w:r w:rsidR="0064696D" w:rsidRPr="00256236">
        <w:rPr>
          <w:sz w:val="24"/>
          <w:lang w:val="fr-BE"/>
        </w:rPr>
        <w:tab/>
      </w:r>
      <w:r w:rsidRPr="00256236">
        <w:rPr>
          <w:sz w:val="24"/>
          <w:lang w:val="fr-BE"/>
        </w:rPr>
        <w:t xml:space="preserve">EUT </w:t>
      </w:r>
      <w:r w:rsidR="00075DD5">
        <w:rPr>
          <w:sz w:val="24"/>
          <w:lang w:val="fr-BE"/>
        </w:rPr>
        <w:t xml:space="preserve">C, </w:t>
      </w:r>
      <w:r w:rsidRPr="00256236">
        <w:rPr>
          <w:sz w:val="24"/>
          <w:lang w:val="fr-BE"/>
        </w:rPr>
        <w:t>C/2023/103, 4.10.2023.</w:t>
      </w:r>
    </w:p>
  </w:footnote>
  <w:footnote w:id="16">
    <w:p w14:paraId="1E48DD29" w14:textId="32C22C26" w:rsidR="00A81746" w:rsidRPr="00256236" w:rsidRDefault="00A81746" w:rsidP="0064696D">
      <w:pPr>
        <w:pStyle w:val="FootnoteText"/>
        <w:ind w:left="567" w:hanging="567"/>
        <w:rPr>
          <w:sz w:val="24"/>
          <w:lang w:val="fr-BE"/>
        </w:rPr>
      </w:pPr>
      <w:r w:rsidRPr="0064696D">
        <w:rPr>
          <w:rStyle w:val="FootnoteReference"/>
          <w:sz w:val="24"/>
          <w:lang w:val="sv-SE"/>
        </w:rPr>
        <w:footnoteRef/>
      </w:r>
      <w:r w:rsidR="0064696D" w:rsidRPr="00256236">
        <w:rPr>
          <w:sz w:val="24"/>
          <w:lang w:val="fr-BE"/>
        </w:rPr>
        <w:t xml:space="preserve"> </w:t>
      </w:r>
      <w:r w:rsidR="0064696D" w:rsidRPr="00256236">
        <w:rPr>
          <w:sz w:val="24"/>
          <w:lang w:val="fr-BE"/>
        </w:rPr>
        <w:tab/>
      </w:r>
      <w:r w:rsidRPr="00256236">
        <w:rPr>
          <w:sz w:val="24"/>
          <w:lang w:val="fr-BE"/>
        </w:rPr>
        <w:t xml:space="preserve">EUT </w:t>
      </w:r>
      <w:r w:rsidR="00075DD5">
        <w:rPr>
          <w:sz w:val="24"/>
          <w:lang w:val="fr-BE"/>
        </w:rPr>
        <w:t xml:space="preserve">C, </w:t>
      </w:r>
      <w:bookmarkStart w:id="9" w:name="_GoBack"/>
      <w:bookmarkEnd w:id="9"/>
      <w:r w:rsidRPr="00256236">
        <w:rPr>
          <w:sz w:val="24"/>
          <w:lang w:val="fr-BE"/>
        </w:rPr>
        <w:t>C/2023/109, 12.10.2023.</w:t>
      </w:r>
    </w:p>
  </w:footnote>
  <w:footnote w:id="17">
    <w:p w14:paraId="6C59287C" w14:textId="77777777" w:rsidR="00A81746" w:rsidRPr="00075DD5" w:rsidRDefault="00A81746" w:rsidP="0064696D">
      <w:pPr>
        <w:pStyle w:val="FootnoteText"/>
        <w:ind w:left="567" w:hanging="567"/>
        <w:rPr>
          <w:sz w:val="24"/>
        </w:rPr>
      </w:pPr>
      <w:r w:rsidRPr="0064696D">
        <w:rPr>
          <w:rStyle w:val="FootnoteReference"/>
          <w:sz w:val="24"/>
          <w:lang w:val="sv-SE"/>
        </w:rPr>
        <w:footnoteRef/>
      </w:r>
      <w:r w:rsidR="0064696D" w:rsidRPr="00075DD5">
        <w:rPr>
          <w:sz w:val="24"/>
        </w:rPr>
        <w:t xml:space="preserve"> </w:t>
      </w:r>
      <w:r w:rsidR="0064696D" w:rsidRPr="00075DD5">
        <w:rPr>
          <w:sz w:val="24"/>
        </w:rPr>
        <w:tab/>
      </w:r>
      <w:r w:rsidRPr="00075DD5">
        <w:rPr>
          <w:sz w:val="24"/>
        </w:rPr>
        <w:t>EGT L 317, 15.12.2000, s. 3.</w:t>
      </w:r>
    </w:p>
  </w:footnote>
  <w:footnote w:id="18">
    <w:p w14:paraId="33731EE6" w14:textId="77777777" w:rsidR="00A81746" w:rsidRPr="00075DD5" w:rsidRDefault="00A81746" w:rsidP="0064696D">
      <w:pPr>
        <w:pStyle w:val="FootnoteText"/>
        <w:ind w:left="567" w:hanging="567"/>
        <w:rPr>
          <w:sz w:val="24"/>
        </w:rPr>
      </w:pPr>
      <w:r w:rsidRPr="0064696D">
        <w:rPr>
          <w:rStyle w:val="FootnoteReference"/>
          <w:sz w:val="24"/>
          <w:lang w:val="sv-SE"/>
        </w:rPr>
        <w:footnoteRef/>
      </w:r>
      <w:r w:rsidR="0064696D" w:rsidRPr="00075DD5">
        <w:rPr>
          <w:sz w:val="24"/>
        </w:rPr>
        <w:t xml:space="preserve"> </w:t>
      </w:r>
      <w:r w:rsidR="0064696D" w:rsidRPr="00075DD5">
        <w:rPr>
          <w:sz w:val="24"/>
        </w:rPr>
        <w:tab/>
      </w:r>
      <w:r w:rsidRPr="00075DD5">
        <w:rPr>
          <w:sz w:val="24"/>
        </w:rPr>
        <w:t>EUT L 287, 4.11.2010, s. 3.</w:t>
      </w:r>
    </w:p>
  </w:footnote>
  <w:footnote w:id="19">
    <w:p w14:paraId="62752F26" w14:textId="77777777" w:rsidR="00A81746" w:rsidRPr="002777D5" w:rsidRDefault="00A81746" w:rsidP="0064696D">
      <w:pPr>
        <w:pStyle w:val="FootnoteText"/>
        <w:ind w:left="567" w:hanging="567"/>
        <w:rPr>
          <w:sz w:val="24"/>
        </w:rPr>
      </w:pPr>
      <w:r w:rsidRPr="0064696D">
        <w:rPr>
          <w:rStyle w:val="FootnoteReference"/>
          <w:sz w:val="24"/>
          <w:lang w:val="sv-SE"/>
        </w:rPr>
        <w:footnoteRef/>
      </w:r>
      <w:r w:rsidR="0064696D" w:rsidRPr="002777D5">
        <w:rPr>
          <w:sz w:val="24"/>
        </w:rPr>
        <w:t xml:space="preserve"> </w:t>
      </w:r>
      <w:r w:rsidR="0064696D" w:rsidRPr="002777D5">
        <w:rPr>
          <w:sz w:val="24"/>
        </w:rPr>
        <w:tab/>
      </w:r>
      <w:r w:rsidRPr="002777D5">
        <w:rPr>
          <w:sz w:val="24"/>
        </w:rPr>
        <w:t>EUT L 344, 19.12.2013, s. 1.</w:t>
      </w:r>
    </w:p>
  </w:footnote>
  <w:footnote w:id="20">
    <w:p w14:paraId="449EBD97" w14:textId="77777777" w:rsidR="00A81746" w:rsidRPr="00075DD5" w:rsidRDefault="00A81746" w:rsidP="0064696D">
      <w:pPr>
        <w:pStyle w:val="FootnoteText"/>
        <w:ind w:left="567" w:hanging="567"/>
        <w:rPr>
          <w:sz w:val="24"/>
          <w:lang w:val="de-DE"/>
        </w:rPr>
      </w:pPr>
      <w:r w:rsidRPr="0064696D">
        <w:rPr>
          <w:rStyle w:val="FootnoteReference"/>
          <w:sz w:val="24"/>
          <w:lang w:val="sv-SE"/>
        </w:rPr>
        <w:footnoteRef/>
      </w:r>
      <w:r w:rsidR="0064696D" w:rsidRPr="00075DD5">
        <w:rPr>
          <w:sz w:val="24"/>
          <w:lang w:val="de-DE"/>
        </w:rPr>
        <w:t xml:space="preserve"> </w:t>
      </w:r>
      <w:r w:rsidR="0064696D" w:rsidRPr="00075DD5">
        <w:rPr>
          <w:sz w:val="24"/>
          <w:lang w:val="de-DE"/>
        </w:rPr>
        <w:tab/>
      </w:r>
      <w:r w:rsidRPr="00075DD5">
        <w:rPr>
          <w:sz w:val="24"/>
          <w:lang w:val="de-DE"/>
        </w:rPr>
        <w:t>EUT L 355, 7.10.2021, s. 6.</w:t>
      </w:r>
    </w:p>
  </w:footnote>
  <w:footnote w:id="21">
    <w:p w14:paraId="18DC1C34" w14:textId="77777777" w:rsidR="00A81746" w:rsidRPr="002777D5" w:rsidRDefault="00A81746" w:rsidP="0064696D">
      <w:pPr>
        <w:pStyle w:val="FootnoteText"/>
        <w:ind w:left="567" w:hanging="567"/>
        <w:rPr>
          <w:sz w:val="24"/>
          <w:lang w:val="de-DE"/>
        </w:rPr>
      </w:pPr>
      <w:r w:rsidRPr="0064696D">
        <w:rPr>
          <w:rStyle w:val="FootnoteReference"/>
          <w:sz w:val="24"/>
          <w:lang w:val="sv-SE"/>
        </w:rPr>
        <w:footnoteRef/>
      </w:r>
      <w:r w:rsidR="0064696D" w:rsidRPr="002777D5">
        <w:rPr>
          <w:sz w:val="24"/>
          <w:lang w:val="de-DE"/>
        </w:rPr>
        <w:t xml:space="preserve"> </w:t>
      </w:r>
      <w:r w:rsidR="0064696D" w:rsidRPr="002777D5">
        <w:rPr>
          <w:sz w:val="24"/>
          <w:lang w:val="de-DE"/>
        </w:rPr>
        <w:tab/>
      </w:r>
      <w:r w:rsidRPr="002777D5">
        <w:rPr>
          <w:sz w:val="24"/>
          <w:lang w:val="de-DE"/>
        </w:rPr>
        <w:t>EGT L 156, 29.5.1998, s. 108.</w:t>
      </w:r>
    </w:p>
  </w:footnote>
  <w:footnote w:id="22">
    <w:p w14:paraId="4F32C245" w14:textId="77777777" w:rsidR="00A81746" w:rsidRPr="002777D5" w:rsidRDefault="00A81746" w:rsidP="0064696D">
      <w:pPr>
        <w:pStyle w:val="FootnoteText"/>
        <w:ind w:left="567" w:hanging="567"/>
        <w:rPr>
          <w:sz w:val="24"/>
          <w:lang w:val="de-DE"/>
        </w:rPr>
      </w:pPr>
      <w:r w:rsidRPr="0064696D">
        <w:rPr>
          <w:rStyle w:val="FootnoteReference"/>
          <w:sz w:val="24"/>
          <w:lang w:val="sv-SE"/>
        </w:rPr>
        <w:footnoteRef/>
      </w:r>
      <w:r w:rsidR="0064696D" w:rsidRPr="002777D5">
        <w:rPr>
          <w:sz w:val="24"/>
          <w:lang w:val="de-DE"/>
        </w:rPr>
        <w:t xml:space="preserve"> </w:t>
      </w:r>
      <w:r w:rsidR="0064696D" w:rsidRPr="002777D5">
        <w:rPr>
          <w:sz w:val="24"/>
          <w:lang w:val="de-DE"/>
        </w:rPr>
        <w:tab/>
      </w:r>
      <w:r w:rsidRPr="002777D5">
        <w:rPr>
          <w:sz w:val="24"/>
          <w:lang w:val="de-DE"/>
        </w:rPr>
        <w:t>EGT L 317, 15.12.2000, s. 355.</w:t>
      </w:r>
    </w:p>
  </w:footnote>
  <w:footnote w:id="23">
    <w:p w14:paraId="6953A090" w14:textId="77777777" w:rsidR="00A81746" w:rsidRPr="002777D5" w:rsidRDefault="00A81746" w:rsidP="0064696D">
      <w:pPr>
        <w:pStyle w:val="FootnoteText"/>
        <w:ind w:left="567" w:hanging="567"/>
        <w:rPr>
          <w:sz w:val="24"/>
          <w:lang w:val="de-DE"/>
        </w:rPr>
      </w:pPr>
      <w:r w:rsidRPr="0064696D">
        <w:rPr>
          <w:rStyle w:val="FootnoteReference"/>
          <w:sz w:val="24"/>
          <w:lang w:val="sv-SE"/>
        </w:rPr>
        <w:footnoteRef/>
      </w:r>
      <w:r w:rsidR="0064696D" w:rsidRPr="002777D5">
        <w:rPr>
          <w:sz w:val="24"/>
          <w:lang w:val="de-DE"/>
        </w:rPr>
        <w:t xml:space="preserve"> </w:t>
      </w:r>
      <w:r w:rsidR="0064696D" w:rsidRPr="002777D5">
        <w:rPr>
          <w:sz w:val="24"/>
          <w:lang w:val="de-DE"/>
        </w:rPr>
        <w:tab/>
      </w:r>
      <w:r w:rsidRPr="002777D5">
        <w:rPr>
          <w:sz w:val="24"/>
          <w:lang w:val="de-DE"/>
        </w:rPr>
        <w:t>EUT L 210, 6.8.2013, s. 1.</w:t>
      </w:r>
    </w:p>
  </w:footnote>
  <w:footnote w:id="24">
    <w:p w14:paraId="4843A9CD" w14:textId="77777777" w:rsidR="00A81746" w:rsidRPr="002777D5" w:rsidRDefault="00A81746" w:rsidP="0064696D">
      <w:pPr>
        <w:pStyle w:val="FootnoteText"/>
        <w:ind w:left="567" w:hanging="567"/>
        <w:rPr>
          <w:sz w:val="24"/>
          <w:lang w:val="de-DE"/>
        </w:rPr>
      </w:pPr>
      <w:r w:rsidRPr="0064696D">
        <w:rPr>
          <w:rStyle w:val="FootnoteReference"/>
          <w:sz w:val="24"/>
          <w:lang w:val="sv-SE"/>
        </w:rPr>
        <w:footnoteRef/>
      </w:r>
      <w:r w:rsidR="0064696D" w:rsidRPr="002777D5">
        <w:rPr>
          <w:sz w:val="24"/>
          <w:lang w:val="de-DE"/>
        </w:rPr>
        <w:t xml:space="preserve"> </w:t>
      </w:r>
      <w:r w:rsidR="0064696D" w:rsidRPr="002777D5">
        <w:rPr>
          <w:sz w:val="24"/>
          <w:lang w:val="de-DE"/>
        </w:rPr>
        <w:tab/>
      </w:r>
      <w:r w:rsidRPr="002777D5">
        <w:rPr>
          <w:sz w:val="24"/>
          <w:lang w:val="de-DE"/>
        </w:rPr>
        <w:t>EGT L 191, 7.7.1998, s. 53.</w:t>
      </w:r>
    </w:p>
  </w:footnote>
  <w:footnote w:id="25">
    <w:p w14:paraId="66D5F01E" w14:textId="77777777" w:rsidR="00A81746" w:rsidRPr="00075DD5" w:rsidRDefault="00A81746" w:rsidP="0064696D">
      <w:pPr>
        <w:pStyle w:val="FootnoteText"/>
        <w:ind w:left="567" w:hanging="567"/>
        <w:rPr>
          <w:sz w:val="24"/>
          <w:lang w:val="de-DE"/>
        </w:rPr>
      </w:pPr>
      <w:r w:rsidRPr="0064696D">
        <w:rPr>
          <w:rStyle w:val="FootnoteReference"/>
          <w:sz w:val="24"/>
          <w:lang w:val="sv-SE"/>
        </w:rPr>
        <w:footnoteRef/>
      </w:r>
      <w:r w:rsidR="0064696D" w:rsidRPr="00075DD5">
        <w:rPr>
          <w:sz w:val="24"/>
          <w:lang w:val="de-DE"/>
        </w:rPr>
        <w:t xml:space="preserve"> </w:t>
      </w:r>
      <w:r w:rsidR="0064696D" w:rsidRPr="00075DD5">
        <w:rPr>
          <w:sz w:val="24"/>
          <w:lang w:val="de-DE"/>
        </w:rPr>
        <w:tab/>
      </w:r>
      <w:r w:rsidRPr="00075DD5">
        <w:rPr>
          <w:sz w:val="24"/>
          <w:lang w:val="de-DE"/>
        </w:rPr>
        <w:t>EUT L 83, 1.4.2003, s. 1.</w:t>
      </w:r>
    </w:p>
  </w:footnote>
  <w:footnote w:id="26">
    <w:p w14:paraId="38699627" w14:textId="77777777" w:rsidR="00A81746" w:rsidRPr="002777D5" w:rsidRDefault="00A81746" w:rsidP="0064696D">
      <w:pPr>
        <w:pStyle w:val="FootnoteText"/>
        <w:ind w:left="567" w:hanging="567"/>
        <w:rPr>
          <w:sz w:val="24"/>
        </w:rPr>
      </w:pPr>
      <w:r w:rsidRPr="0064696D">
        <w:rPr>
          <w:rStyle w:val="FootnoteReference"/>
          <w:sz w:val="24"/>
          <w:lang w:val="sv-SE"/>
        </w:rPr>
        <w:footnoteRef/>
      </w:r>
      <w:r w:rsidR="0064696D" w:rsidRPr="002777D5">
        <w:rPr>
          <w:sz w:val="24"/>
        </w:rPr>
        <w:t xml:space="preserve"> </w:t>
      </w:r>
      <w:r w:rsidR="0064696D" w:rsidRPr="002777D5">
        <w:rPr>
          <w:sz w:val="24"/>
        </w:rPr>
        <w:tab/>
      </w:r>
      <w:r w:rsidRPr="002777D5">
        <w:rPr>
          <w:sz w:val="24"/>
        </w:rPr>
        <w:t>EUT L 78, 19.3.2008, s. 1.</w:t>
      </w:r>
    </w:p>
  </w:footnote>
  <w:footnote w:id="27">
    <w:p w14:paraId="45B2152F" w14:textId="77777777" w:rsidR="00A81746" w:rsidRPr="002777D5" w:rsidRDefault="00A81746" w:rsidP="0064696D">
      <w:pPr>
        <w:pStyle w:val="FootnoteText"/>
        <w:ind w:left="567" w:hanging="567"/>
        <w:rPr>
          <w:sz w:val="24"/>
        </w:rPr>
      </w:pPr>
      <w:r w:rsidRPr="0064696D">
        <w:rPr>
          <w:rStyle w:val="FootnoteReference"/>
          <w:sz w:val="24"/>
          <w:lang w:val="sv-SE"/>
        </w:rPr>
        <w:footnoteRef/>
      </w:r>
      <w:r w:rsidR="0064696D" w:rsidRPr="002777D5">
        <w:rPr>
          <w:sz w:val="24"/>
        </w:rPr>
        <w:t xml:space="preserve"> </w:t>
      </w:r>
      <w:r w:rsidR="0064696D" w:rsidRPr="002777D5">
        <w:rPr>
          <w:sz w:val="24"/>
        </w:rPr>
        <w:tab/>
      </w:r>
      <w:r w:rsidRPr="002777D5">
        <w:rPr>
          <w:sz w:val="24"/>
        </w:rPr>
        <w:t>EUT L 58, 3.3.2015, s. 17.</w:t>
      </w:r>
    </w:p>
  </w:footnote>
  <w:footnote w:id="28">
    <w:p w14:paraId="5BE37CB2" w14:textId="77777777" w:rsidR="00A81746" w:rsidRPr="00075DD5" w:rsidRDefault="00A81746" w:rsidP="0064696D">
      <w:pPr>
        <w:pStyle w:val="FootnoteText"/>
        <w:ind w:left="567" w:hanging="567"/>
        <w:rPr>
          <w:sz w:val="24"/>
          <w:lang w:val="sv-SE"/>
        </w:rPr>
      </w:pPr>
      <w:r w:rsidRPr="0064696D">
        <w:rPr>
          <w:rStyle w:val="FootnoteReference"/>
          <w:sz w:val="24"/>
          <w:lang w:val="sv-SE"/>
        </w:rPr>
        <w:footnoteRef/>
      </w:r>
      <w:r w:rsidR="0064696D" w:rsidRPr="00075DD5">
        <w:rPr>
          <w:sz w:val="24"/>
          <w:lang w:val="sv-SE"/>
        </w:rPr>
        <w:t xml:space="preserve"> </w:t>
      </w:r>
      <w:r w:rsidR="0064696D" w:rsidRPr="00075DD5">
        <w:rPr>
          <w:sz w:val="24"/>
          <w:lang w:val="sv-SE"/>
        </w:rPr>
        <w:tab/>
      </w:r>
      <w:r w:rsidRPr="00075DD5">
        <w:rPr>
          <w:sz w:val="24"/>
          <w:lang w:val="sv-SE"/>
        </w:rPr>
        <w:t>EUT L 307, 3.12.2018, s. 1.</w:t>
      </w:r>
    </w:p>
  </w:footnote>
  <w:footnote w:id="29">
    <w:p w14:paraId="2471203B" w14:textId="77777777" w:rsidR="00A81746" w:rsidRPr="0064696D" w:rsidRDefault="00A81746" w:rsidP="0064696D">
      <w:pPr>
        <w:pStyle w:val="FootnoteText"/>
        <w:ind w:left="567" w:hanging="567"/>
        <w:rPr>
          <w:sz w:val="24"/>
          <w:lang w:val="sv-SE"/>
        </w:rPr>
      </w:pPr>
      <w:r w:rsidRPr="0064696D">
        <w:rPr>
          <w:rStyle w:val="FootnoteReference"/>
          <w:sz w:val="24"/>
          <w:lang w:val="sv-SE"/>
        </w:rPr>
        <w:footnoteRef/>
      </w:r>
      <w:r w:rsidR="0064696D" w:rsidRPr="0064696D">
        <w:rPr>
          <w:sz w:val="24"/>
          <w:lang w:val="sv-SE"/>
        </w:rPr>
        <w:t xml:space="preserve"> </w:t>
      </w:r>
      <w:r w:rsidR="0064696D" w:rsidRPr="0064696D">
        <w:rPr>
          <w:sz w:val="24"/>
          <w:lang w:val="sv-SE"/>
        </w:rPr>
        <w:tab/>
      </w:r>
      <w:r w:rsidRPr="0064696D">
        <w:rPr>
          <w:sz w:val="24"/>
          <w:lang w:val="sv-SE"/>
        </w:rPr>
        <w:t>Rådets förordning (EU) 2018/1877 av den 26 november 2018 med budgetförordning för elfte Europeiska utvecklingsfonden och om upphävande av förordning (EU) 2015/323 (EUT L 307, 3.12.2018, s. 1).</w:t>
      </w:r>
    </w:p>
  </w:footnote>
  <w:footnote w:id="30">
    <w:p w14:paraId="22EE4E6D" w14:textId="77777777" w:rsidR="00A81746" w:rsidRPr="0064696D" w:rsidRDefault="00A81746" w:rsidP="0064696D">
      <w:pPr>
        <w:pStyle w:val="FootnoteText"/>
        <w:ind w:left="567" w:hanging="567"/>
        <w:rPr>
          <w:sz w:val="24"/>
          <w:lang w:val="sv-SE"/>
        </w:rPr>
      </w:pPr>
      <w:r w:rsidRPr="0064696D">
        <w:rPr>
          <w:rStyle w:val="FootnoteReference"/>
          <w:sz w:val="24"/>
          <w:lang w:val="sv-SE"/>
        </w:rPr>
        <w:footnoteRef/>
      </w:r>
      <w:r w:rsidR="0064696D" w:rsidRPr="0064696D">
        <w:rPr>
          <w:sz w:val="24"/>
          <w:lang w:val="sv-SE"/>
        </w:rPr>
        <w:t xml:space="preserve"> </w:t>
      </w:r>
      <w:r w:rsidR="0064696D" w:rsidRPr="0064696D">
        <w:rPr>
          <w:sz w:val="24"/>
          <w:lang w:val="sv-SE"/>
        </w:rPr>
        <w:tab/>
      </w:r>
      <w:r w:rsidRPr="0064696D">
        <w:rPr>
          <w:sz w:val="24"/>
          <w:lang w:val="sv-SE"/>
        </w:rPr>
        <w:t xml:space="preserve">Benin, Botswana, Burkina Faso, Djibouti, Etiopien, Fiji, Gabon, </w:t>
      </w:r>
      <w:proofErr w:type="spellStart"/>
      <w:r w:rsidRPr="0064696D">
        <w:rPr>
          <w:sz w:val="24"/>
          <w:lang w:val="sv-SE"/>
        </w:rPr>
        <w:t>São</w:t>
      </w:r>
      <w:proofErr w:type="spellEnd"/>
      <w:r w:rsidRPr="0064696D">
        <w:rPr>
          <w:sz w:val="24"/>
          <w:lang w:val="sv-SE"/>
        </w:rPr>
        <w:t xml:space="preserve"> Tomé och Príncipe, Guinea-Bissau, Haiti, Elfenbenskusten, Liberia, Madagaskar, Malawi, Nigeria, Tanzania, Gambia, Togo, Uganda och Zimbabwe.</w:t>
      </w:r>
    </w:p>
  </w:footnote>
  <w:footnote w:id="31">
    <w:p w14:paraId="2B438104" w14:textId="5E024589" w:rsidR="00A81746" w:rsidRPr="0064696D" w:rsidRDefault="00A81746" w:rsidP="0064696D">
      <w:pPr>
        <w:pStyle w:val="FootnoteText"/>
        <w:ind w:left="567" w:hanging="567"/>
        <w:rPr>
          <w:sz w:val="24"/>
          <w:lang w:val="sv-SE"/>
        </w:rPr>
      </w:pPr>
      <w:r w:rsidRPr="0064696D">
        <w:rPr>
          <w:rStyle w:val="FootnoteReference"/>
          <w:sz w:val="24"/>
          <w:lang w:val="sv-SE"/>
        </w:rPr>
        <w:footnoteRef/>
      </w:r>
      <w:r w:rsidR="0064696D" w:rsidRPr="0064696D">
        <w:rPr>
          <w:sz w:val="24"/>
          <w:lang w:val="sv-SE"/>
        </w:rPr>
        <w:t xml:space="preserve"> </w:t>
      </w:r>
      <w:r w:rsidR="0064696D" w:rsidRPr="0064696D">
        <w:rPr>
          <w:sz w:val="24"/>
          <w:lang w:val="sv-SE"/>
        </w:rPr>
        <w:tab/>
      </w:r>
      <w:r w:rsidRPr="0064696D">
        <w:rPr>
          <w:sz w:val="24"/>
          <w:lang w:val="sv-SE"/>
        </w:rPr>
        <w:t>Revisionsrättens särskilda rapport</w:t>
      </w:r>
      <w:r w:rsidR="00256236">
        <w:rPr>
          <w:sz w:val="24"/>
          <w:lang w:val="sv-SE"/>
        </w:rPr>
        <w:t xml:space="preserve"> nr</w:t>
      </w:r>
      <w:r w:rsidRPr="0064696D">
        <w:rPr>
          <w:sz w:val="24"/>
          <w:lang w:val="sv-SE"/>
        </w:rPr>
        <w:t xml:space="preserve"> 25/2019: </w:t>
      </w:r>
      <w:r w:rsidRPr="0064696D">
        <w:rPr>
          <w:i/>
          <w:sz w:val="24"/>
          <w:lang w:val="sv-SE"/>
        </w:rPr>
        <w:t>Uppgiftskvalitet vid budgetstöd:</w:t>
      </w:r>
      <w:r w:rsidRPr="0064696D">
        <w:rPr>
          <w:sz w:val="24"/>
          <w:lang w:val="sv-SE"/>
        </w:rPr>
        <w:t xml:space="preserve"> </w:t>
      </w:r>
      <w:r w:rsidRPr="0064696D">
        <w:rPr>
          <w:i/>
          <w:sz w:val="24"/>
          <w:lang w:val="sv-SE"/>
        </w:rPr>
        <w:t>brister i några indikatorer och i kontrollen inför utbetalning av rörliga delbetalningar.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40530" w14:textId="77777777" w:rsidR="00064002" w:rsidRPr="0064696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65752" w14:textId="77777777" w:rsidR="00064002" w:rsidRPr="0064696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03922" w14:textId="77777777" w:rsidR="00064002" w:rsidRPr="006469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0/2024"/>
    <w:docVar w:name="dvlangue" w:val="SV"/>
    <w:docVar w:name="dvnumam" w:val="0"/>
    <w:docVar w:name="dvpe" w:val="753.512"/>
    <w:docVar w:name="dvrapporteur" w:val="Föredragande: "/>
    <w:docVar w:name="dvtitre" w:val="Europaparlamentets beslut av den xx xx 2024 om ansvarsfrihet för genomförandet av budgeten för nionde, tionde och elfte Europeiska utvecklingsfonden för budgetåret 2022(2023/2183(DEC))"/>
  </w:docVars>
  <w:rsids>
    <w:rsidRoot w:val="00257CFD"/>
    <w:rsid w:val="00002272"/>
    <w:rsid w:val="00006F54"/>
    <w:rsid w:val="00064002"/>
    <w:rsid w:val="000677B9"/>
    <w:rsid w:val="00075DD5"/>
    <w:rsid w:val="000831BA"/>
    <w:rsid w:val="000A42CC"/>
    <w:rsid w:val="000E7DD9"/>
    <w:rsid w:val="0010095E"/>
    <w:rsid w:val="00125B37"/>
    <w:rsid w:val="00187494"/>
    <w:rsid w:val="001F32AE"/>
    <w:rsid w:val="00256236"/>
    <w:rsid w:val="00257CFD"/>
    <w:rsid w:val="002767FF"/>
    <w:rsid w:val="002777D5"/>
    <w:rsid w:val="002B18FE"/>
    <w:rsid w:val="002B5493"/>
    <w:rsid w:val="00343214"/>
    <w:rsid w:val="00361C00"/>
    <w:rsid w:val="00395FA1"/>
    <w:rsid w:val="003E15D4"/>
    <w:rsid w:val="003F6F76"/>
    <w:rsid w:val="00411CCE"/>
    <w:rsid w:val="0041666E"/>
    <w:rsid w:val="00421060"/>
    <w:rsid w:val="004235AA"/>
    <w:rsid w:val="00471C19"/>
    <w:rsid w:val="004867E3"/>
    <w:rsid w:val="00494A28"/>
    <w:rsid w:val="004C0004"/>
    <w:rsid w:val="004C5D52"/>
    <w:rsid w:val="0050519A"/>
    <w:rsid w:val="005072A1"/>
    <w:rsid w:val="00514517"/>
    <w:rsid w:val="00545827"/>
    <w:rsid w:val="00560270"/>
    <w:rsid w:val="005C2568"/>
    <w:rsid w:val="006037C0"/>
    <w:rsid w:val="0064696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0B5A"/>
    <w:rsid w:val="00A1687D"/>
    <w:rsid w:val="00A43E52"/>
    <w:rsid w:val="00A4678D"/>
    <w:rsid w:val="00A778C7"/>
    <w:rsid w:val="00A8174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6C3E5E"/>
  <w15:chartTrackingRefBased/>
  <w15:docId w15:val="{8C2CA457-ADC1-4526-B493-26C913734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8174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81746"/>
    <w:pPr>
      <w:spacing w:before="480" w:after="240"/>
    </w:pPr>
  </w:style>
  <w:style w:type="paragraph" w:customStyle="1" w:styleId="PageHeading">
    <w:name w:val="PageHeading"/>
    <w:basedOn w:val="Normal"/>
    <w:rsid w:val="00A81746"/>
    <w:pPr>
      <w:keepNext/>
      <w:spacing w:after="480"/>
      <w:jc w:val="center"/>
    </w:pPr>
    <w:rPr>
      <w:rFonts w:ascii="Arial" w:hAnsi="Arial" w:cs="Arial"/>
      <w:b/>
    </w:rPr>
  </w:style>
  <w:style w:type="paragraph" w:customStyle="1" w:styleId="NormalBold">
    <w:name w:val="NormalBold"/>
    <w:basedOn w:val="Normal"/>
    <w:rsid w:val="00A81746"/>
    <w:rPr>
      <w:b/>
    </w:rPr>
  </w:style>
  <w:style w:type="paragraph" w:customStyle="1" w:styleId="NormalHanging12a">
    <w:name w:val="NormalHanging12a"/>
    <w:basedOn w:val="Normal"/>
    <w:link w:val="NormalHanging12aChar"/>
    <w:rsid w:val="00A81746"/>
    <w:pPr>
      <w:spacing w:after="240"/>
      <w:ind w:left="567" w:hanging="567"/>
    </w:pPr>
  </w:style>
  <w:style w:type="paragraph" w:customStyle="1" w:styleId="EPFooter">
    <w:name w:val="EPFooter"/>
    <w:basedOn w:val="Normal"/>
    <w:rsid w:val="00A81746"/>
    <w:pPr>
      <w:tabs>
        <w:tab w:val="center" w:pos="4535"/>
        <w:tab w:val="right" w:pos="9071"/>
      </w:tabs>
      <w:spacing w:before="240" w:after="240"/>
    </w:pPr>
    <w:rPr>
      <w:color w:val="010000"/>
      <w:sz w:val="22"/>
    </w:rPr>
  </w:style>
  <w:style w:type="paragraph" w:styleId="Header">
    <w:name w:val="header"/>
    <w:basedOn w:val="Normal"/>
    <w:link w:val="HeaderChar"/>
    <w:rsid w:val="00A81746"/>
    <w:pPr>
      <w:tabs>
        <w:tab w:val="center" w:pos="4513"/>
        <w:tab w:val="right" w:pos="9026"/>
      </w:tabs>
    </w:pPr>
  </w:style>
  <w:style w:type="character" w:customStyle="1" w:styleId="HeaderChar">
    <w:name w:val="Header Char"/>
    <w:basedOn w:val="DefaultParagraphFont"/>
    <w:link w:val="Header"/>
    <w:rsid w:val="00A81746"/>
    <w:rPr>
      <w:sz w:val="24"/>
      <w:lang w:val="sv-SE"/>
    </w:rPr>
  </w:style>
  <w:style w:type="character" w:customStyle="1" w:styleId="NormalHanging12aChar">
    <w:name w:val="NormalHanging12a Char"/>
    <w:basedOn w:val="DefaultParagraphFont"/>
    <w:link w:val="NormalHanging12a"/>
    <w:locked/>
    <w:rsid w:val="00A81746"/>
    <w:rPr>
      <w:sz w:val="24"/>
      <w:lang w:val="sv-SE"/>
    </w:rPr>
  </w:style>
  <w:style w:type="character" w:styleId="Hyperlink">
    <w:name w:val="Hyperlink"/>
    <w:basedOn w:val="DefaultParagraphFont"/>
    <w:rsid w:val="00A81746"/>
    <w:rPr>
      <w:color w:val="0563C1" w:themeColor="hyperlink"/>
      <w:u w:val="single"/>
    </w:rPr>
  </w:style>
  <w:style w:type="paragraph" w:customStyle="1" w:styleId="Normal24a">
    <w:name w:val="Normal24a"/>
    <w:basedOn w:val="Normal"/>
    <w:rsid w:val="00A81746"/>
    <w:pPr>
      <w:spacing w:after="480"/>
    </w:pPr>
  </w:style>
  <w:style w:type="paragraph" w:customStyle="1" w:styleId="NormalBoldCenter">
    <w:name w:val="NormalBoldCenter"/>
    <w:basedOn w:val="Normal"/>
    <w:rsid w:val="00A81746"/>
    <w:pPr>
      <w:jc w:val="center"/>
    </w:pPr>
    <w:rPr>
      <w:b/>
    </w:rPr>
  </w:style>
  <w:style w:type="paragraph" w:customStyle="1" w:styleId="Normal12a">
    <w:name w:val="Normal12a"/>
    <w:basedOn w:val="Normal"/>
    <w:rsid w:val="00A81746"/>
    <w:pPr>
      <w:spacing w:after="240"/>
    </w:pPr>
  </w:style>
  <w:style w:type="paragraph" w:customStyle="1" w:styleId="PageHeadingNotTOC">
    <w:name w:val="PageHeadingNotTOC"/>
    <w:basedOn w:val="Normal"/>
    <w:rsid w:val="00A81746"/>
    <w:pPr>
      <w:keepNext/>
      <w:spacing w:after="480"/>
      <w:jc w:val="center"/>
    </w:pPr>
    <w:rPr>
      <w:rFonts w:ascii="Arial" w:hAnsi="Arial" w:cs="Arial"/>
      <w:b/>
    </w:rPr>
  </w:style>
  <w:style w:type="character" w:styleId="CommentReference">
    <w:name w:val="annotation reference"/>
    <w:basedOn w:val="DefaultParagraphFont"/>
    <w:rsid w:val="003F6F76"/>
    <w:rPr>
      <w:sz w:val="16"/>
      <w:szCs w:val="16"/>
    </w:rPr>
  </w:style>
  <w:style w:type="paragraph" w:styleId="CommentText">
    <w:name w:val="annotation text"/>
    <w:basedOn w:val="Normal"/>
    <w:link w:val="CommentTextChar"/>
    <w:rsid w:val="003F6F76"/>
    <w:rPr>
      <w:sz w:val="20"/>
    </w:rPr>
  </w:style>
  <w:style w:type="character" w:customStyle="1" w:styleId="CommentTextChar">
    <w:name w:val="Comment Text Char"/>
    <w:basedOn w:val="DefaultParagraphFont"/>
    <w:link w:val="CommentText"/>
    <w:rsid w:val="003F6F76"/>
    <w:rPr>
      <w:lang w:val="sv-SE"/>
    </w:rPr>
  </w:style>
  <w:style w:type="paragraph" w:styleId="CommentSubject">
    <w:name w:val="annotation subject"/>
    <w:basedOn w:val="CommentText"/>
    <w:next w:val="CommentText"/>
    <w:link w:val="CommentSubjectChar"/>
    <w:rsid w:val="003F6F76"/>
    <w:rPr>
      <w:b/>
      <w:bCs/>
    </w:rPr>
  </w:style>
  <w:style w:type="character" w:customStyle="1" w:styleId="CommentSubjectChar">
    <w:name w:val="Comment Subject Char"/>
    <w:basedOn w:val="CommentTextChar"/>
    <w:link w:val="CommentSubject"/>
    <w:rsid w:val="003F6F76"/>
    <w:rPr>
      <w:b/>
      <w:bCs/>
      <w:lang w:val="sv-SE"/>
    </w:rPr>
  </w:style>
  <w:style w:type="paragraph" w:styleId="BalloonText">
    <w:name w:val="Balloon Text"/>
    <w:basedOn w:val="Normal"/>
    <w:link w:val="BalloonTextChar"/>
    <w:rsid w:val="003F6F76"/>
    <w:rPr>
      <w:rFonts w:ascii="Segoe UI" w:hAnsi="Segoe UI" w:cs="Segoe UI"/>
      <w:sz w:val="18"/>
      <w:szCs w:val="18"/>
    </w:rPr>
  </w:style>
  <w:style w:type="character" w:customStyle="1" w:styleId="BalloonTextChar">
    <w:name w:val="Balloon Text Char"/>
    <w:basedOn w:val="DefaultParagraphFont"/>
    <w:link w:val="BalloonText"/>
    <w:rsid w:val="003F6F76"/>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0A1B7-AA54-4110-8E64-5281EE8FF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6373</Words>
  <Characters>41264</Characters>
  <Application>Microsoft Office Word</Application>
  <DocSecurity>0</DocSecurity>
  <Lines>343</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Karina Pesa</cp:lastModifiedBy>
  <cp:revision>3</cp:revision>
  <cp:lastPrinted>2004-11-19T15:42:00Z</cp:lastPrinted>
  <dcterms:created xsi:type="dcterms:W3CDTF">2024-05-17T11:37:00Z</dcterms:created>
  <dcterms:modified xsi:type="dcterms:W3CDTF">2024-10-30T18:53:00Z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P9_TA(2024)0279_</vt:lpwstr>
  </property>
  <property fmtid="{D5CDD505-2E9C-101B-9397-08002B2CF9AE}" pid="4" name="&lt;Type&gt;">
    <vt:lpwstr>RR</vt:lpwstr>
  </property>
</Properties>
</file>